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1005840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791845</wp:posOffset>
            </wp:positionV>
            <wp:extent cx="711517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240665</wp:posOffset>
            </wp:positionV>
            <wp:extent cx="10541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149860</wp:posOffset>
            </wp:positionV>
            <wp:extent cx="10541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3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Date of Report (Date of Earliest Event Reported): August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160655</wp:posOffset>
            </wp:positionV>
            <wp:extent cx="10541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3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OCCIDENTAL PETROLEUM CORPORATION</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81915</wp:posOffset>
            </wp:positionV>
            <wp:extent cx="10541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350"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3640" w:type="dxa"/>
            <w:vAlign w:val="bottom"/>
          </w:tcPr>
          <w:p>
            <w:pPr>
              <w:jc w:val="center"/>
              <w:ind w:right="1807"/>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400" w:type="dxa"/>
            <w:vAlign w:val="bottom"/>
          </w:tcPr>
          <w:p>
            <w:pPr>
              <w:jc w:val="center"/>
              <w:ind w:right="385"/>
              <w:spacing w:after="0"/>
              <w:rPr>
                <w:sz w:val="20"/>
                <w:szCs w:val="20"/>
                <w:color w:val="auto"/>
              </w:rPr>
            </w:pPr>
            <w:r>
              <w:rPr>
                <w:rFonts w:ascii="Times New Roman" w:cs="Times New Roman" w:eastAsia="Times New Roman" w:hAnsi="Times New Roman"/>
                <w:sz w:val="16"/>
                <w:szCs w:val="16"/>
                <w:b w:val="1"/>
                <w:bCs w:val="1"/>
                <w:color w:val="auto"/>
              </w:rPr>
              <w:t>1-9210</w:t>
            </w:r>
          </w:p>
        </w:tc>
        <w:tc>
          <w:tcPr>
            <w:tcW w:w="2860" w:type="dxa"/>
            <w:vAlign w:val="bottom"/>
          </w:tcPr>
          <w:p>
            <w:pPr>
              <w:jc w:val="center"/>
              <w:ind w:left="1646"/>
              <w:spacing w:after="0"/>
              <w:rPr>
                <w:sz w:val="20"/>
                <w:szCs w:val="20"/>
                <w:color w:val="auto"/>
              </w:rPr>
            </w:pPr>
            <w:r>
              <w:rPr>
                <w:rFonts w:ascii="Times New Roman" w:cs="Times New Roman" w:eastAsia="Times New Roman" w:hAnsi="Times New Roman"/>
                <w:sz w:val="16"/>
                <w:szCs w:val="16"/>
                <w:b w:val="1"/>
                <w:bCs w:val="1"/>
                <w:color w:val="auto"/>
              </w:rPr>
              <w:t>95-4035997</w:t>
            </w:r>
          </w:p>
        </w:tc>
      </w:tr>
      <w:tr>
        <w:trPr>
          <w:trHeight w:val="238"/>
        </w:trPr>
        <w:tc>
          <w:tcPr>
            <w:tcW w:w="3640" w:type="dxa"/>
            <w:vAlign w:val="bottom"/>
          </w:tcPr>
          <w:p>
            <w:pPr>
              <w:jc w:val="center"/>
              <w:ind w:right="1847"/>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00" w:type="dxa"/>
            <w:vAlign w:val="bottom"/>
          </w:tcPr>
          <w:p>
            <w:pPr>
              <w:jc w:val="center"/>
              <w:ind w:right="445"/>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860" w:type="dxa"/>
            <w:vAlign w:val="bottom"/>
          </w:tcPr>
          <w:p>
            <w:pPr>
              <w:jc w:val="center"/>
              <w:ind w:left="1606"/>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07"/>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00" w:type="dxa"/>
            <w:vAlign w:val="bottom"/>
          </w:tcPr>
          <w:p>
            <w:pPr>
              <w:jc w:val="center"/>
              <w:ind w:right="385"/>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60" w:type="dxa"/>
            <w:vAlign w:val="bottom"/>
          </w:tcPr>
          <w:p>
            <w:pPr>
              <w:jc w:val="center"/>
              <w:ind w:left="1646"/>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66"/>
        </w:trPr>
        <w:tc>
          <w:tcPr>
            <w:tcW w:w="3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5 Greenway Plaza, Suite 110</w:t>
            </w:r>
          </w:p>
        </w:tc>
        <w:tc>
          <w:tcPr>
            <w:tcW w:w="240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04"/>
        </w:trPr>
        <w:tc>
          <w:tcPr>
            <w:tcW w:w="3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Houston, Texas</w:t>
            </w:r>
          </w:p>
        </w:tc>
        <w:tc>
          <w:tcPr>
            <w:tcW w:w="2400" w:type="dxa"/>
            <w:vAlign w:val="bottom"/>
          </w:tcPr>
          <w:p>
            <w:pPr>
              <w:spacing w:after="0"/>
              <w:rPr>
                <w:sz w:val="17"/>
                <w:szCs w:val="17"/>
                <w:color w:val="auto"/>
              </w:rPr>
            </w:pPr>
          </w:p>
        </w:tc>
        <w:tc>
          <w:tcPr>
            <w:tcW w:w="2860" w:type="dxa"/>
            <w:vAlign w:val="bottom"/>
          </w:tcPr>
          <w:p>
            <w:pPr>
              <w:jc w:val="right"/>
              <w:ind w:right="1246"/>
              <w:spacing w:after="0"/>
              <w:rPr>
                <w:sz w:val="20"/>
                <w:szCs w:val="20"/>
                <w:color w:val="auto"/>
              </w:rPr>
            </w:pPr>
            <w:r>
              <w:rPr>
                <w:rFonts w:ascii="Times New Roman" w:cs="Times New Roman" w:eastAsia="Times New Roman" w:hAnsi="Times New Roman"/>
                <w:sz w:val="14"/>
                <w:szCs w:val="14"/>
                <w:b w:val="1"/>
                <w:bCs w:val="1"/>
                <w:color w:val="auto"/>
              </w:rPr>
              <w:t>77046</w:t>
            </w:r>
          </w:p>
        </w:tc>
      </w:tr>
      <w:tr>
        <w:trPr>
          <w:trHeight w:val="230"/>
        </w:trPr>
        <w:tc>
          <w:tcPr>
            <w:tcW w:w="3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00" w:type="dxa"/>
            <w:vAlign w:val="bottom"/>
          </w:tcPr>
          <w:p>
            <w:pPr>
              <w:spacing w:after="0"/>
              <w:rPr>
                <w:sz w:val="19"/>
                <w:szCs w:val="19"/>
                <w:color w:val="auto"/>
              </w:rPr>
            </w:pPr>
          </w:p>
        </w:tc>
        <w:tc>
          <w:tcPr>
            <w:tcW w:w="2860" w:type="dxa"/>
            <w:vAlign w:val="bottom"/>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3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(713) 215-7000</w:t>
      </w:r>
    </w:p>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150495</wp:posOffset>
            </wp:positionV>
            <wp:extent cx="1054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55"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420" w:hanging="394"/>
        <w:spacing w:after="0"/>
        <w:tabs>
          <w:tab w:leader="none" w:pos="4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420" w:hanging="394"/>
        <w:spacing w:after="0"/>
        <w:tabs>
          <w:tab w:leader="none" w:pos="4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420" w:hanging="394"/>
        <w:spacing w:after="0"/>
        <w:tabs>
          <w:tab w:leader="none" w:pos="4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325"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740" w:type="dxa"/>
            <w:vAlign w:val="bottom"/>
          </w:tcPr>
          <w:p>
            <w:pPr>
              <w:spacing w:after="0"/>
              <w:rPr>
                <w:sz w:val="16"/>
                <w:szCs w:val="16"/>
                <w:color w:val="auto"/>
              </w:rPr>
            </w:pPr>
          </w:p>
        </w:tc>
        <w:tc>
          <w:tcPr>
            <w:tcW w:w="4120" w:type="dxa"/>
            <w:vAlign w:val="bottom"/>
          </w:tcPr>
          <w:p>
            <w:pPr>
              <w:spacing w:after="0"/>
              <w:rPr>
                <w:sz w:val="16"/>
                <w:szCs w:val="16"/>
                <w:color w:val="auto"/>
              </w:rPr>
            </w:pPr>
          </w:p>
        </w:tc>
      </w:tr>
      <w:tr>
        <w:trPr>
          <w:trHeight w:val="217"/>
        </w:trPr>
        <w:tc>
          <w:tcPr>
            <w:tcW w:w="4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12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Name of Each Exchange on Which</w:t>
            </w:r>
          </w:p>
        </w:tc>
      </w:tr>
      <w:tr>
        <w:trPr>
          <w:trHeight w:val="202"/>
        </w:trPr>
        <w:tc>
          <w:tcPr>
            <w:tcW w:w="43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Title of Each Class</w:t>
            </w:r>
          </w:p>
        </w:tc>
        <w:tc>
          <w:tcPr>
            <w:tcW w:w="274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Trading Symbol(s)</w:t>
            </w:r>
          </w:p>
        </w:tc>
        <w:tc>
          <w:tcPr>
            <w:tcW w:w="41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Registered</w:t>
            </w:r>
          </w:p>
        </w:tc>
      </w:tr>
      <w:tr>
        <w:trPr>
          <w:trHeight w:val="24"/>
        </w:trPr>
        <w:tc>
          <w:tcPr>
            <w:tcW w:w="43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199"/>
        </w:trPr>
        <w:tc>
          <w:tcPr>
            <w:tcW w:w="43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Common Stock, $0.20 par value</w:t>
            </w:r>
          </w:p>
        </w:tc>
        <w:tc>
          <w:tcPr>
            <w:tcW w:w="274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OXY</w:t>
            </w:r>
          </w:p>
        </w:tc>
        <w:tc>
          <w:tcPr>
            <w:tcW w:w="41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30"/>
        </w:trPr>
        <w:tc>
          <w:tcPr>
            <w:tcW w:w="43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Warrants to Purchase Common Stock, $0.20 par value</w:t>
            </w:r>
          </w:p>
        </w:tc>
        <w:tc>
          <w:tcPr>
            <w:tcW w:w="274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OXY WS</w:t>
            </w:r>
          </w:p>
        </w:tc>
        <w:tc>
          <w:tcPr>
            <w:tcW w:w="41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311" w:lineRule="exact"/>
        <w:rPr>
          <w:sz w:val="24"/>
          <w:szCs w:val="24"/>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(17 CFR 230.405) or Rule 12b-2 of the Securities Exchange Act of 1934 (17 CFR 240.12b-2).</w:t>
      </w:r>
    </w:p>
    <w:p>
      <w:pPr>
        <w:spacing w:after="0" w:line="2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13" w:lineRule="exact"/>
        <w:rPr>
          <w:sz w:val="24"/>
          <w:szCs w:val="24"/>
          <w:color w:val="auto"/>
        </w:rPr>
      </w:pPr>
    </w:p>
    <w:p>
      <w:pPr>
        <w:ind w:right="540"/>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1205865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378460</wp:posOffset>
            </wp:positionV>
            <wp:extent cx="711517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292735</wp:posOffset>
            </wp:positionV>
            <wp:extent cx="7115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Introductory Note</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As previously disclosed, on August 1, 2024, Occidental Petroleum Corporation (“Occidental”) consummated the previously announced acquisition (the "Acquisition") of 100% of the issued and outstanding partner interests of CrownRock, L.P., a Delaware limited partnership (“CrownRock”), pursuant to the terms of that certain Partnership Interest Purchase Agreement, dated December 10, 2023, by and among Occidental, CrownRock Holdings, L.P., a Delaware limited partnership, CrownRock GP, LLC, a Delaware limited liability company, Coral Holdings LP, LLC, a Delaware limited liability company and a wholly owned indirect subsidiary of Occidental, and Coral Holdings GP, LLC, a Delaware limited liability company and wholly owned indirect subsidiary of Occidental.</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On July 19, 2024, Occidental filed a Current Report on Form 8-K containing historical financial information of CrownRock and pro forma financial information to give effect to the Acquisition. Occidental is filing this Current Report on Form 8-K to provide updated financial information of CrownRock as well as updated pro forma financial information through June 30, 2024 to give effect to the Acquisition, as set forth in Item 8.01 below.</w:t>
      </w:r>
    </w:p>
    <w:p>
      <w:pPr>
        <w:spacing w:after="0" w:line="17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8.01</w:t>
      </w:r>
      <w:r>
        <w:rPr>
          <w:sz w:val="20"/>
          <w:szCs w:val="20"/>
          <w:color w:val="auto"/>
        </w:rPr>
        <w:tab/>
      </w:r>
      <w:r>
        <w:rPr>
          <w:rFonts w:ascii="Times New Roman" w:cs="Times New Roman" w:eastAsia="Times New Roman" w:hAnsi="Times New Roman"/>
          <w:sz w:val="21"/>
          <w:szCs w:val="21"/>
          <w:b w:val="1"/>
          <w:bCs w:val="1"/>
          <w:color w:val="auto"/>
        </w:rPr>
        <w:t>Other Events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Financial Statements</w:t>
      </w:r>
    </w:p>
    <w:p>
      <w:pPr>
        <w:spacing w:after="0" w:line="2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following unaudited condensed consolidated financial statements of CrownRock as of and for the six months ended June 30, 2024 and the related notes thereto are filed as Exhibit 99.1 to this Current Report on Form 8-K and are incorporated herein by reference:</w:t>
      </w:r>
    </w:p>
    <w:p>
      <w:pPr>
        <w:spacing w:after="0" w:line="15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Unaudited Condensed Consolidated Statement of Income for the Six Months Ended June 30, 2024;</w:t>
      </w:r>
    </w:p>
    <w:p>
      <w:pPr>
        <w:spacing w:after="0" w:line="14"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Unaudited Condensed Consolidated Balance Sheet at June 30, 2024;</w:t>
      </w:r>
    </w:p>
    <w:p>
      <w:pPr>
        <w:ind w:left="660" w:hanging="328"/>
        <w:spacing w:after="0" w:line="230"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Unaudited Condensed Consolidated Statement of Partners' Capital for the Six Months Ended June 30, 2024;</w:t>
      </w:r>
    </w:p>
    <w:p>
      <w:pPr>
        <w:ind w:left="660" w:hanging="328"/>
        <w:spacing w:after="0" w:line="230"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Unaudited Condensed Consolidated Statement of Cash Flows for the Six Months Ended June 30, 2024; and</w:t>
      </w: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 to the Unaudited Condensed Consolidated Financial Statements</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following unaudited pro forma condensed combined financial statements combining the historical consolidated financial statements of Occidental and its subsidiaries and CrownRock and its majority-owned subsidiaries to give effect to the Acquisition and the transactions contemplated therewith are filed as Exhibit 99.2 to this Current Report on Form 8-K and are incorporated herein by reference:</w:t>
      </w:r>
    </w:p>
    <w:p>
      <w:pPr>
        <w:spacing w:after="0" w:line="16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Unaudited Pro Forma Condensed Combined Balance Sheet as of June 30, 2024;</w:t>
      </w:r>
    </w:p>
    <w:p>
      <w:pPr>
        <w:spacing w:after="0" w:line="14" w:lineRule="exact"/>
        <w:rPr>
          <w:rFonts w:ascii="Times New Roman" w:cs="Times New Roman" w:eastAsia="Times New Roman" w:hAnsi="Times New Roman"/>
          <w:sz w:val="22"/>
          <w:szCs w:val="22"/>
          <w:color w:val="auto"/>
        </w:rPr>
      </w:pPr>
    </w:p>
    <w:p>
      <w:pPr>
        <w:ind w:left="660" w:right="240" w:hanging="328"/>
        <w:spacing w:after="0" w:line="230"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Unaudited Pro Forma Condensed Statement of Combined Operations for the year ended December 31, 2023 and the six months ended June 30, 2024; and</w:t>
      </w:r>
    </w:p>
    <w:p>
      <w:pPr>
        <w:spacing w:after="0" w:line="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 to Pro Forma Condensed Combined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Statement Regarding Forward-Looking Statements</w:t>
      </w:r>
    </w:p>
    <w:p>
      <w:pPr>
        <w:spacing w:after="0" w:line="22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This Current Report on Form 8-K (“Current Report”) contains forward-looking statements within the meaning of Section 27A of the Securities Act and Section 21E of the Exchange Act, including but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790575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both"/>
        <w:spacing w:after="0" w:line="248" w:lineRule="auto"/>
        <w:rPr>
          <w:sz w:val="20"/>
          <w:szCs w:val="20"/>
          <w:color w:val="auto"/>
        </w:rPr>
      </w:pPr>
      <w:r>
        <w:rPr>
          <w:rFonts w:ascii="Times New Roman" w:cs="Times New Roman" w:eastAsia="Times New Roman" w:hAnsi="Times New Roman"/>
          <w:sz w:val="22"/>
          <w:szCs w:val="22"/>
          <w:color w:val="auto"/>
        </w:rPr>
        <w:t>limited to statements about Occidental’s expectations, beliefs, plans or forecasts. All statements other than statements of historical fact are “forward-looking statements” for purposes of federal and state securities laws, including, but not limited to: any projections of revenue or other financial items or future financial position or sources of financing; any statements of the plans, strategies and objectives of management for future operations or business strategy; any statements regarding future economic conditions or performance; any statements of belief; and any statements of assumptions underlying any of the foregoing. Words such as “estimate,” “project,” “will,” “should,” “could,” “may,” “anticipate,” “plan,” “intend,” “believe,” “expect,” “target,” “commit,” “advance,” or similar expressions that convey the prospective nature of events or outcomes are generally indicative of forward-looking statements. You should not place undue reliance on these forward-looking statements, which speak only as of the date of this Current Report unless an earlier date is specified. Unless legally required, Occidental does not undertake any obligation to update, modify or withdraw any forward-looking statements as a result of new information, future events or otherwise.</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Forward-looking statements involve estimates, expectations, projections, goals, forecasts, assumptions, risks and uncertainties. Actual outcomes or results may differ from anticipated results, sometimes materially. Factors that could cause results to differ from those projected or assumed in any forward-looking statement include, but are not limited to: general economic conditions, including slowdowns and recessions, domestically or internationally; Occidental’s indebtedness and other payment obligations, including the need to generate sufficient cash flows to fund operations; Occidental’s ability to successfully monetize select assets and repay or refinance debt and the impact of changes in Occidental’s credit ratings or future increases in interest rates; assumptions about energy markets; global and local commodity and commodity-futures pricing fluctuations and volatility; supply and demand considerations for, and the prices of, Occidental’s products and services; actions by the Organization of the Petroleum Exporting Countries (“OPEC”) and non-OPEC oil producing countries; results from operations and competitive conditions; future impairments of Occidental's proved and unproved oil and gas properties or equity investments, or write-downs of productive assets, causing charges to earnings; unexpected changes in costs; inflation, its impact on markets and economic activity and related monetary policy actions by governments in response to inflation; availability of capital resources, levels of capital expenditures and contractual obligations; the regulatory approval environment, including Occidental's ability to timely obtain or maintain permits or other government approvals, including those necessary for drilling and/or development projects; Occidental's ability to successfully complete, or any material delay of, field developments, expansion projects, capital expenditures, efficiency projects, acquisitions or divestitures; risks associated with acquisitions, mergers and joint ventures, such as difficulties integrating businesses, uncertainty associated with financial projections, projected synergies, restructuring, increased costs and adverse tax consequences; uncertainties and liabilities associated with acquired and divested properties and businesses; uncertainties about the estimated quantities of oil, natural gas liquids and natural gas reserves; lower-than-expected production from development projects or acquisitions; Occidental’s ability to realize the anticipated benefits from prior or future streamlining actions to reduce fixed costs, simplify or improve processes and improve Occidental’s competitiveness; exploration, drilling and other operational risks; disruptions to, capacity constraints in, or other limitations on the pipeline systems that deliver Occidental’s oil and natural gas and other processing and transportation considerations; volatility in the securities, capital or credit markets, including capital market disruptions and instability of financial institutions; government actions, war (including the Russia-Ukraine war and conflicts in the Middle East) and political conditions and events; health, safety and environmental (“HSE”) risks, costs and liability under existing or future federal, regional, state, provincial, tribal, local and international HSE laws, regulations and litigation (including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814070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3" w:name="page4"/>
    <w:bookmarkEnd w:id="3"/>
    <w:p>
      <w:pPr>
        <w:jc w:val="both"/>
        <w:spacing w:after="0" w:line="248" w:lineRule="auto"/>
        <w:rPr>
          <w:sz w:val="20"/>
          <w:szCs w:val="20"/>
          <w:color w:val="auto"/>
        </w:rPr>
      </w:pPr>
      <w:r>
        <w:rPr>
          <w:rFonts w:ascii="Times New Roman" w:cs="Times New Roman" w:eastAsia="Times New Roman" w:hAnsi="Times New Roman"/>
          <w:sz w:val="22"/>
          <w:szCs w:val="22"/>
          <w:color w:val="auto"/>
        </w:rPr>
        <w:t>climate change or remedial actions or assessments); legislative or regulatory changes, including changes relating to hydraulic fracturing or other oil and natural gas operations, retroactive royalty or production tax regimes, and deep-water and onshore drilling and permitting regulations; Occidental's ability to recognize intended benefits from its business strategies and initiatives, such as Occidental's low-carbon ventures businesses or announced greenhouse gas emissions reduction targets or net-zero goals; potential liability resulting from pending or future litigation, government investigations and other proceedings; disruption or interruption of production or manufacturing or facility damage due to accidents, chemical releases, labor unrest, weather, power outages, natural disasters, cyber-attacks, terrorist acts or insurgent activity; the scope and duration of global or regional health pandemics or epidemics, and actions taken by government authorities and other third parties in connection therewith; the creditworthiness and performance of Occidental's counterparties, including financial institutions, operating partners and other parties; failure of risk management; Occidental’s ability to retain and hire key personnel; supply, transportation, and labor constraints; reorganization or restructuring of Occidental’s operations; changes in state, federal or international tax rates; and actions by third parties that are beyond Occidental’s control.</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Additional information concerning these and other factors that may cause Occidental’s results of operations and financial position to differ from expectations can be found in Occidental’s filings with the U.S. Securities and Exchange Commission, including Occidental’s Annual Report on Form 10-K for the year ended December 31, 2023, Quarterly Reports on Form 10-Q and Current Reports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4" w:name="page5"/>
    <w:bookmarkEnd w:id="4"/>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20"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Exhibits</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ind w:left="1020" w:hanging="984"/>
        <w:spacing w:after="0" w:line="281" w:lineRule="auto"/>
        <w:tabs>
          <w:tab w:leader="none" w:pos="100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2"/>
          <w:szCs w:val="22"/>
          <w:color w:val="auto"/>
        </w:rPr>
        <w:t>CrownRock, L.P. Unaudited Condensed Consolidated Financial Statements as of June 30, 2024 and for the six months ended June 30, 2024, and accompanying notes thereto.</w:t>
      </w:r>
    </w:p>
    <w:p>
      <w:pPr>
        <w:spacing w:after="0" w:line="2"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22"/>
          <w:szCs w:val="22"/>
          <w:color w:val="auto"/>
        </w:rPr>
        <w:t>99.2</w:t>
      </w:r>
      <w:r>
        <w:rPr>
          <w:sz w:val="20"/>
          <w:szCs w:val="20"/>
          <w:color w:val="auto"/>
        </w:rPr>
        <w:tab/>
      </w:r>
      <w:r>
        <w:rPr>
          <w:rFonts w:ascii="Times New Roman" w:cs="Times New Roman" w:eastAsia="Times New Roman" w:hAnsi="Times New Roman"/>
          <w:sz w:val="21"/>
          <w:szCs w:val="21"/>
          <w:color w:val="auto"/>
        </w:rPr>
        <w:t>Unaudited Pro Forma Condensed Combined Financial Statements.</w:t>
      </w:r>
    </w:p>
    <w:p>
      <w:pPr>
        <w:spacing w:after="0" w:line="71"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2"/>
          <w:szCs w:val="22"/>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881380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1310" w:right="10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August 12, 2024</w:t>
            </w:r>
          </w:p>
        </w:tc>
        <w:tc>
          <w:tcPr>
            <w:tcW w:w="7600" w:type="dxa"/>
            <w:vAlign w:val="bottom"/>
            <w:gridSpan w:val="2"/>
          </w:tcPr>
          <w:p>
            <w:pPr>
              <w:ind w:left="1740"/>
              <w:spacing w:after="0"/>
              <w:rPr>
                <w:sz w:val="20"/>
                <w:szCs w:val="20"/>
                <w:color w:val="auto"/>
              </w:rPr>
            </w:pPr>
            <w:r>
              <w:rPr>
                <w:rFonts w:ascii="Times New Roman" w:cs="Times New Roman" w:eastAsia="Times New Roman" w:hAnsi="Times New Roman"/>
                <w:sz w:val="22"/>
                <w:szCs w:val="22"/>
                <w:b w:val="1"/>
                <w:bCs w:val="1"/>
                <w:color w:val="auto"/>
              </w:rPr>
              <w:t>OCCIDENTAL PETROLEUM CORPORATION</w:t>
            </w:r>
          </w:p>
        </w:tc>
        <w:tc>
          <w:tcPr>
            <w:tcW w:w="440" w:type="dxa"/>
            <w:vAlign w:val="bottom"/>
          </w:tcPr>
          <w:p>
            <w:pPr>
              <w:spacing w:after="0"/>
              <w:rPr>
                <w:sz w:val="24"/>
                <w:szCs w:val="24"/>
                <w:color w:val="auto"/>
              </w:rPr>
            </w:pPr>
          </w:p>
        </w:tc>
      </w:tr>
      <w:tr>
        <w:trPr>
          <w:trHeight w:val="324"/>
        </w:trPr>
        <w:tc>
          <w:tcPr>
            <w:tcW w:w="3160" w:type="dxa"/>
            <w:vAlign w:val="bottom"/>
          </w:tcPr>
          <w:p>
            <w:pPr>
              <w:spacing w:after="0"/>
              <w:rPr>
                <w:sz w:val="24"/>
                <w:szCs w:val="24"/>
                <w:color w:val="auto"/>
              </w:rPr>
            </w:pPr>
          </w:p>
        </w:tc>
        <w:tc>
          <w:tcPr>
            <w:tcW w:w="2800" w:type="dxa"/>
            <w:vAlign w:val="bottom"/>
          </w:tcPr>
          <w:p>
            <w:pPr>
              <w:ind w:left="1740"/>
              <w:spacing w:after="0"/>
              <w:rPr>
                <w:sz w:val="20"/>
                <w:szCs w:val="20"/>
                <w:color w:val="auto"/>
              </w:rPr>
            </w:pPr>
            <w:r>
              <w:rPr>
                <w:rFonts w:ascii="Times New Roman" w:cs="Times New Roman" w:eastAsia="Times New Roman" w:hAnsi="Times New Roman"/>
                <w:sz w:val="22"/>
                <w:szCs w:val="22"/>
                <w:color w:val="auto"/>
              </w:rPr>
              <w:t>By:</w:t>
            </w:r>
          </w:p>
        </w:tc>
        <w:tc>
          <w:tcPr>
            <w:tcW w:w="4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Christopher O. Champion</w:t>
            </w:r>
          </w:p>
        </w:tc>
        <w:tc>
          <w:tcPr>
            <w:tcW w:w="440" w:type="dxa"/>
            <w:vAlign w:val="bottom"/>
          </w:tcPr>
          <w:p>
            <w:pPr>
              <w:spacing w:after="0"/>
              <w:rPr>
                <w:sz w:val="24"/>
                <w:szCs w:val="24"/>
                <w:color w:val="auto"/>
              </w:rPr>
            </w:pPr>
          </w:p>
        </w:tc>
      </w:tr>
      <w:tr>
        <w:trPr>
          <w:trHeight w:val="29"/>
        </w:trPr>
        <w:tc>
          <w:tcPr>
            <w:tcW w:w="3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289"/>
        </w:trPr>
        <w:tc>
          <w:tcPr>
            <w:tcW w:w="3160" w:type="dxa"/>
            <w:vAlign w:val="bottom"/>
          </w:tcPr>
          <w:p>
            <w:pPr>
              <w:spacing w:after="0"/>
              <w:rPr>
                <w:sz w:val="24"/>
                <w:szCs w:val="24"/>
                <w:color w:val="auto"/>
              </w:rPr>
            </w:pPr>
          </w:p>
        </w:tc>
        <w:tc>
          <w:tcPr>
            <w:tcW w:w="2800" w:type="dxa"/>
            <w:vAlign w:val="bottom"/>
          </w:tcPr>
          <w:p>
            <w:pPr>
              <w:ind w:left="1740"/>
              <w:spacing w:after="0"/>
              <w:rPr>
                <w:sz w:val="20"/>
                <w:szCs w:val="20"/>
                <w:color w:val="auto"/>
              </w:rPr>
            </w:pPr>
            <w:r>
              <w:rPr>
                <w:rFonts w:ascii="Times New Roman" w:cs="Times New Roman" w:eastAsia="Times New Roman" w:hAnsi="Times New Roman"/>
                <w:sz w:val="22"/>
                <w:szCs w:val="22"/>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Christopher O. Champion</w:t>
            </w:r>
          </w:p>
        </w:tc>
        <w:tc>
          <w:tcPr>
            <w:tcW w:w="440" w:type="dxa"/>
            <w:vAlign w:val="bottom"/>
          </w:tcPr>
          <w:p>
            <w:pPr>
              <w:spacing w:after="0"/>
              <w:rPr>
                <w:sz w:val="24"/>
                <w:szCs w:val="24"/>
                <w:color w:val="auto"/>
              </w:rPr>
            </w:pPr>
          </w:p>
        </w:tc>
      </w:tr>
      <w:tr>
        <w:trPr>
          <w:trHeight w:val="312"/>
        </w:trPr>
        <w:tc>
          <w:tcPr>
            <w:tcW w:w="3160" w:type="dxa"/>
            <w:vAlign w:val="bottom"/>
          </w:tcPr>
          <w:p>
            <w:pPr>
              <w:spacing w:after="0"/>
              <w:rPr>
                <w:sz w:val="24"/>
                <w:szCs w:val="24"/>
                <w:color w:val="auto"/>
              </w:rPr>
            </w:pPr>
          </w:p>
        </w:tc>
        <w:tc>
          <w:tcPr>
            <w:tcW w:w="2800" w:type="dxa"/>
            <w:vAlign w:val="bottom"/>
          </w:tcPr>
          <w:p>
            <w:pPr>
              <w:ind w:left="1740"/>
              <w:spacing w:after="0"/>
              <w:rPr>
                <w:sz w:val="20"/>
                <w:szCs w:val="20"/>
                <w:color w:val="auto"/>
              </w:rPr>
            </w:pPr>
            <w:r>
              <w:rPr>
                <w:rFonts w:ascii="Times New Roman" w:cs="Times New Roman" w:eastAsia="Times New Roman" w:hAnsi="Times New Roman"/>
                <w:sz w:val="22"/>
                <w:szCs w:val="22"/>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Vice President, Chief Accounting Officer and</w:t>
            </w:r>
          </w:p>
        </w:tc>
        <w:tc>
          <w:tcPr>
            <w:tcW w:w="440" w:type="dxa"/>
            <w:vAlign w:val="bottom"/>
          </w:tcPr>
          <w:p>
            <w:pPr>
              <w:spacing w:after="0"/>
              <w:rPr>
                <w:sz w:val="24"/>
                <w:szCs w:val="24"/>
                <w:color w:val="auto"/>
              </w:rPr>
            </w:pPr>
          </w:p>
        </w:tc>
      </w:tr>
      <w:tr>
        <w:trPr>
          <w:trHeight w:val="282"/>
        </w:trPr>
        <w:tc>
          <w:tcPr>
            <w:tcW w:w="31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Controller</w:t>
            </w:r>
          </w:p>
        </w:tc>
        <w:tc>
          <w:tcPr>
            <w:tcW w:w="440" w:type="dxa"/>
            <w:vAlign w:val="bottom"/>
          </w:tcPr>
          <w:p>
            <w:pPr>
              <w:spacing w:after="0"/>
              <w:rPr>
                <w:sz w:val="24"/>
                <w:szCs w:val="24"/>
                <w:color w:val="auto"/>
              </w:rPr>
            </w:pPr>
          </w:p>
        </w:tc>
      </w:tr>
      <w:tr>
        <w:trPr>
          <w:trHeight w:val="474"/>
        </w:trPr>
        <w:tc>
          <w:tcPr>
            <w:tcW w:w="3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20"/>
          </w:cols>
          <w:pgMar w:left="320" w:top="1067" w:right="3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80"/>
        <w:spacing w:after="0" w:line="278" w:lineRule="auto"/>
        <w:rPr>
          <w:sz w:val="20"/>
          <w:szCs w:val="20"/>
          <w:color w:val="auto"/>
        </w:rPr>
      </w:pPr>
      <w:r>
        <w:rPr>
          <w:rFonts w:ascii="Times New Roman" w:cs="Times New Roman" w:eastAsia="Times New Roman" w:hAnsi="Times New Roman"/>
          <w:sz w:val="29"/>
          <w:szCs w:val="29"/>
          <w:b w:val="1"/>
          <w:bCs w:val="1"/>
          <w:color w:val="auto"/>
        </w:rPr>
        <w:t>Condensed Consolidated Financial Statements of CrownRock, L.P. and Subsidiaries for the Period Ended June 30, 2024</w:t>
      </w:r>
    </w:p>
    <w:p>
      <w:pPr>
        <w:sectPr>
          <w:pgSz w:w="11900" w:h="16838" w:orient="portrait"/>
          <w:cols w:equalWidth="0" w:num="1">
            <w:col w:w="11060"/>
          </w:cols>
          <w:pgMar w:left="500" w:top="175" w:right="339" w:bottom="1440" w:gutter="0" w:footer="0" w:header="0"/>
        </w:sectPr>
      </w:pPr>
    </w:p>
    <w:bookmarkStart w:id="7" w:name="page8"/>
    <w:bookmarkEnd w:id="7"/>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40" w:type="dxa"/>
            <w:vAlign w:val="bottom"/>
          </w:tcPr>
          <w:p>
            <w:pPr>
              <w:ind w:left="428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95"/>
        </w:trPr>
        <w:tc>
          <w:tcPr>
            <w:tcW w:w="8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 (Unaudited)</w:t>
            </w:r>
          </w:p>
        </w:tc>
        <w:tc>
          <w:tcPr>
            <w:tcW w:w="2120" w:type="dxa"/>
            <w:vAlign w:val="bottom"/>
          </w:tcPr>
          <w:p>
            <w:pPr>
              <w:spacing w:after="0"/>
              <w:rPr>
                <w:sz w:val="24"/>
                <w:szCs w:val="24"/>
                <w:color w:val="auto"/>
              </w:rPr>
            </w:pPr>
          </w:p>
        </w:tc>
      </w:tr>
      <w:tr>
        <w:trPr>
          <w:trHeight w:val="229"/>
        </w:trPr>
        <w:tc>
          <w:tcPr>
            <w:tcW w:w="8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Condensed Consolidated Balance Sheet as of June 30, 2024</w:t>
            </w:r>
          </w:p>
        </w:tc>
        <w:tc>
          <w:tcPr>
            <w:tcW w:w="21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Condensed Consolidated Statement of Income for the Six Months Ended June 30, 2024</w:t>
            </w:r>
          </w:p>
        </w:tc>
        <w:tc>
          <w:tcPr>
            <w:tcW w:w="21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Condensed Consolidated Statement of Partners' Capital for the Six Months Ended June 30, 2024</w:t>
            </w:r>
          </w:p>
        </w:tc>
        <w:tc>
          <w:tcPr>
            <w:tcW w:w="21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Condensed Consolidated Statement of Cash Flows for the Six Months Ended June 30, 2024</w:t>
            </w:r>
          </w:p>
        </w:tc>
        <w:tc>
          <w:tcPr>
            <w:tcW w:w="21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8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21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0960"/>
          </w:cols>
          <w:pgMar w:left="380" w:top="761" w:right="55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0" w:type="dxa"/>
            <w:vAlign w:val="bottom"/>
          </w:tcPr>
          <w:p>
            <w:pPr>
              <w:jc w:val="center"/>
              <w:ind w:left="2694"/>
              <w:spacing w:after="0"/>
              <w:rPr>
                <w:sz w:val="20"/>
                <w:szCs w:val="20"/>
                <w:color w:val="auto"/>
              </w:rPr>
            </w:pPr>
            <w:r>
              <w:rPr>
                <w:rFonts w:ascii="Times New Roman" w:cs="Times New Roman" w:eastAsia="Times New Roman" w:hAnsi="Times New Roman"/>
                <w:sz w:val="18"/>
                <w:szCs w:val="18"/>
                <w:b w:val="1"/>
                <w:bCs w:val="1"/>
                <w:color w:val="auto"/>
                <w:w w:val="98"/>
              </w:rPr>
              <w:t>CROWNROCK, L.P.</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tcPr>
          <w:p>
            <w:pPr>
              <w:jc w:val="center"/>
              <w:ind w:left="2694"/>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400" w:type="dxa"/>
            <w:vAlign w:val="bottom"/>
          </w:tcPr>
          <w:p>
            <w:pPr>
              <w:jc w:val="center"/>
              <w:ind w:left="2694"/>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0"/>
        </w:trPr>
        <w:tc>
          <w:tcPr>
            <w:tcW w:w="84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b w:val="1"/>
                <w:bCs w:val="1"/>
                <w:color w:val="auto"/>
              </w:rPr>
              <w:t>June 30, 2024</w:t>
            </w:r>
          </w:p>
        </w:tc>
        <w:tc>
          <w:tcPr>
            <w:tcW w:w="0" w:type="dxa"/>
            <w:vAlign w:val="bottom"/>
          </w:tcPr>
          <w:p>
            <w:pPr>
              <w:spacing w:after="0"/>
              <w:rPr>
                <w:sz w:val="1"/>
                <w:szCs w:val="1"/>
                <w:color w:val="auto"/>
              </w:rPr>
            </w:pPr>
          </w:p>
        </w:tc>
      </w:tr>
      <w:tr>
        <w:trPr>
          <w:trHeight w:val="286"/>
        </w:trPr>
        <w:tc>
          <w:tcPr>
            <w:tcW w:w="8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60" w:type="dxa"/>
            <w:vAlign w:val="bottom"/>
          </w:tcPr>
          <w:p>
            <w:pPr>
              <w:jc w:val="right"/>
              <w:ind w:right="652"/>
              <w:spacing w:after="0"/>
              <w:rPr>
                <w:sz w:val="20"/>
                <w:szCs w:val="20"/>
                <w:color w:val="auto"/>
              </w:rPr>
            </w:pPr>
            <w:r>
              <w:rPr>
                <w:rFonts w:ascii="Times New Roman" w:cs="Times New Roman" w:eastAsia="Times New Roman" w:hAnsi="Times New Roman"/>
                <w:sz w:val="22"/>
                <w:szCs w:val="22"/>
                <w:b w:val="1"/>
                <w:bCs w:val="1"/>
                <w:color w:val="auto"/>
              </w:rPr>
              <w:t>(in thousands)</w:t>
            </w:r>
          </w:p>
        </w:tc>
        <w:tc>
          <w:tcPr>
            <w:tcW w:w="0" w:type="dxa"/>
            <w:vAlign w:val="bottom"/>
          </w:tcPr>
          <w:p>
            <w:pPr>
              <w:spacing w:after="0"/>
              <w:rPr>
                <w:sz w:val="1"/>
                <w:szCs w:val="1"/>
                <w:color w:val="auto"/>
              </w:rPr>
            </w:pPr>
          </w:p>
        </w:tc>
      </w:tr>
      <w:tr>
        <w:trPr>
          <w:trHeight w:val="509"/>
        </w:trPr>
        <w:tc>
          <w:tcPr>
            <w:tcW w:w="8400" w:type="dxa"/>
            <w:vAlign w:val="bottom"/>
          </w:tcPr>
          <w:p>
            <w:pPr>
              <w:jc w:val="center"/>
              <w:ind w:left="2694"/>
              <w:spacing w:after="0"/>
              <w:rPr>
                <w:sz w:val="20"/>
                <w:szCs w:val="20"/>
                <w:color w:val="auto"/>
              </w:rPr>
            </w:pPr>
            <w:r>
              <w:rPr>
                <w:rFonts w:ascii="Times New Roman" w:cs="Times New Roman" w:eastAsia="Times New Roman" w:hAnsi="Times New Roman"/>
                <w:sz w:val="22"/>
                <w:szCs w:val="22"/>
                <w:b w:val="1"/>
                <w:bCs w:val="1"/>
                <w:color w:val="auto"/>
                <w:w w:val="97"/>
              </w:rPr>
              <w:t>ASSETS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Current assets: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84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460" w:type="dxa"/>
            <w:vAlign w:val="bottom"/>
            <w:gridSpan w:val="2"/>
          </w:tcPr>
          <w:p>
            <w:pPr>
              <w:jc w:val="right"/>
              <w:ind w:right="232"/>
              <w:spacing w:after="0"/>
              <w:rPr>
                <w:sz w:val="20"/>
                <w:szCs w:val="20"/>
                <w:color w:val="auto"/>
              </w:rPr>
            </w:pPr>
            <w:r>
              <w:rPr>
                <w:rFonts w:ascii="Times New Roman" w:cs="Times New Roman" w:eastAsia="Times New Roman" w:hAnsi="Times New Roman"/>
                <w:sz w:val="22"/>
                <w:szCs w:val="22"/>
                <w:color w:val="auto"/>
                <w:w w:val="90"/>
              </w:rPr>
              <w:t>$</w:t>
            </w:r>
          </w:p>
        </w:tc>
        <w:tc>
          <w:tcPr>
            <w:tcW w:w="23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431,064</w:t>
            </w:r>
          </w:p>
        </w:tc>
        <w:tc>
          <w:tcPr>
            <w:tcW w:w="0" w:type="dxa"/>
            <w:vAlign w:val="bottom"/>
          </w:tcPr>
          <w:p>
            <w:pPr>
              <w:spacing w:after="0"/>
              <w:rPr>
                <w:sz w:val="1"/>
                <w:szCs w:val="1"/>
                <w:color w:val="auto"/>
              </w:rPr>
            </w:pPr>
          </w:p>
        </w:tc>
      </w:tr>
      <w:tr>
        <w:trPr>
          <w:trHeight w:val="270"/>
        </w:trPr>
        <w:tc>
          <w:tcPr>
            <w:tcW w:w="84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Accounts receivable – related party:</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Oil and natural gas</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3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189,855</w:t>
            </w:r>
          </w:p>
        </w:tc>
        <w:tc>
          <w:tcPr>
            <w:tcW w:w="0" w:type="dxa"/>
            <w:vAlign w:val="bottom"/>
          </w:tcPr>
          <w:p>
            <w:pPr>
              <w:spacing w:after="0"/>
              <w:rPr>
                <w:sz w:val="1"/>
                <w:szCs w:val="1"/>
                <w:color w:val="auto"/>
              </w:rPr>
            </w:pPr>
          </w:p>
        </w:tc>
      </w:tr>
      <w:tr>
        <w:trPr>
          <w:trHeight w:val="270"/>
        </w:trPr>
        <w:tc>
          <w:tcPr>
            <w:tcW w:w="84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Other</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3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30,343</w:t>
            </w:r>
          </w:p>
        </w:tc>
        <w:tc>
          <w:tcPr>
            <w:tcW w:w="0" w:type="dxa"/>
            <w:vAlign w:val="bottom"/>
          </w:tcPr>
          <w:p>
            <w:pPr>
              <w:spacing w:after="0"/>
              <w:rPr>
                <w:sz w:val="1"/>
                <w:szCs w:val="1"/>
                <w:color w:val="auto"/>
              </w:rPr>
            </w:pPr>
          </w:p>
        </w:tc>
      </w:tr>
      <w:tr>
        <w:trPr>
          <w:trHeight w:val="291"/>
        </w:trPr>
        <w:tc>
          <w:tcPr>
            <w:tcW w:w="84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Prepaid costs and other current assets</w:t>
            </w: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1,559</w:t>
            </w:r>
          </w:p>
        </w:tc>
        <w:tc>
          <w:tcPr>
            <w:tcW w:w="0" w:type="dxa"/>
            <w:vAlign w:val="bottom"/>
          </w:tcPr>
          <w:p>
            <w:pPr>
              <w:spacing w:after="0"/>
              <w:rPr>
                <w:sz w:val="1"/>
                <w:szCs w:val="1"/>
                <w:color w:val="auto"/>
              </w:rPr>
            </w:pPr>
          </w:p>
        </w:tc>
      </w:tr>
      <w:tr>
        <w:trPr>
          <w:trHeight w:val="282"/>
        </w:trPr>
        <w:tc>
          <w:tcPr>
            <w:tcW w:w="84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Total current assets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652,821</w:t>
            </w:r>
          </w:p>
        </w:tc>
        <w:tc>
          <w:tcPr>
            <w:tcW w:w="0" w:type="dxa"/>
            <w:vAlign w:val="bottom"/>
          </w:tcPr>
          <w:p>
            <w:pPr>
              <w:spacing w:after="0"/>
              <w:rPr>
                <w:sz w:val="1"/>
                <w:szCs w:val="1"/>
                <w:color w:val="auto"/>
              </w:rPr>
            </w:pPr>
          </w:p>
        </w:tc>
      </w:tr>
      <w:tr>
        <w:trPr>
          <w:trHeight w:val="783"/>
        </w:trPr>
        <w:tc>
          <w:tcPr>
            <w:tcW w:w="84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 xml:space="preserve">Oil and natural gas properties, </w:t>
            </w:r>
            <w:r>
              <w:rPr>
                <w:rFonts w:ascii="Times New Roman" w:cs="Times New Roman" w:eastAsia="Times New Roman" w:hAnsi="Times New Roman"/>
                <w:sz w:val="22"/>
                <w:szCs w:val="22"/>
                <w:color w:val="auto"/>
              </w:rPr>
              <w:t>net, successful efforts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4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method of accounting</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4,034,021</w:t>
            </w:r>
          </w:p>
        </w:tc>
        <w:tc>
          <w:tcPr>
            <w:tcW w:w="0" w:type="dxa"/>
            <w:vAlign w:val="bottom"/>
          </w:tcPr>
          <w:p>
            <w:pPr>
              <w:spacing w:after="0"/>
              <w:rPr>
                <w:sz w:val="1"/>
                <w:szCs w:val="1"/>
                <w:color w:val="auto"/>
              </w:rPr>
            </w:pPr>
          </w:p>
        </w:tc>
      </w:tr>
      <w:tr>
        <w:trPr>
          <w:trHeight w:val="405"/>
        </w:trPr>
        <w:tc>
          <w:tcPr>
            <w:tcW w:w="84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 xml:space="preserve">Other property and equipment, </w:t>
            </w:r>
            <w:r>
              <w:rPr>
                <w:rFonts w:ascii="Times New Roman" w:cs="Times New Roman" w:eastAsia="Times New Roman" w:hAnsi="Times New Roman"/>
                <w:sz w:val="22"/>
                <w:szCs w:val="22"/>
                <w:color w:val="auto"/>
              </w:rPr>
              <w:t>net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143,010</w:t>
            </w:r>
          </w:p>
        </w:tc>
        <w:tc>
          <w:tcPr>
            <w:tcW w:w="0" w:type="dxa"/>
            <w:vAlign w:val="bottom"/>
          </w:tcPr>
          <w:p>
            <w:pPr>
              <w:spacing w:after="0"/>
              <w:rPr>
                <w:sz w:val="1"/>
                <w:szCs w:val="1"/>
                <w:color w:val="auto"/>
              </w:rPr>
            </w:pPr>
          </w:p>
        </w:tc>
      </w:tr>
      <w:tr>
        <w:trPr>
          <w:trHeight w:val="414"/>
        </w:trPr>
        <w:tc>
          <w:tcPr>
            <w:tcW w:w="84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 xml:space="preserve">Deferred loan costs, </w:t>
            </w:r>
            <w:r>
              <w:rPr>
                <w:rFonts w:ascii="Times New Roman" w:cs="Times New Roman" w:eastAsia="Times New Roman" w:hAnsi="Times New Roman"/>
                <w:sz w:val="22"/>
                <w:szCs w:val="22"/>
                <w:color w:val="auto"/>
              </w:rPr>
              <w:t>net</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8,377</w:t>
            </w:r>
          </w:p>
        </w:tc>
        <w:tc>
          <w:tcPr>
            <w:tcW w:w="0" w:type="dxa"/>
            <w:vAlign w:val="bottom"/>
          </w:tcPr>
          <w:p>
            <w:pPr>
              <w:spacing w:after="0"/>
              <w:rPr>
                <w:sz w:val="1"/>
                <w:szCs w:val="1"/>
                <w:color w:val="auto"/>
              </w:rPr>
            </w:pPr>
          </w:p>
        </w:tc>
      </w:tr>
      <w:tr>
        <w:trPr>
          <w:trHeight w:val="371"/>
        </w:trPr>
        <w:tc>
          <w:tcPr>
            <w:tcW w:w="84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Assets</w:t>
            </w:r>
          </w:p>
        </w:tc>
        <w:tc>
          <w:tcPr>
            <w:tcW w:w="46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4,838,229</w:t>
            </w:r>
          </w:p>
        </w:tc>
        <w:tc>
          <w:tcPr>
            <w:tcW w:w="0" w:type="dxa"/>
            <w:vAlign w:val="bottom"/>
          </w:tcPr>
          <w:p>
            <w:pPr>
              <w:spacing w:after="0"/>
              <w:rPr>
                <w:sz w:val="1"/>
                <w:szCs w:val="1"/>
                <w:color w:val="auto"/>
              </w:rPr>
            </w:pPr>
          </w:p>
        </w:tc>
      </w:tr>
      <w:tr>
        <w:trPr>
          <w:trHeight w:val="21"/>
        </w:trPr>
        <w:tc>
          <w:tcPr>
            <w:tcW w:w="8400" w:type="dxa"/>
            <w:vAlign w:val="bottom"/>
            <w:vMerge w:val="restart"/>
          </w:tcPr>
          <w:p>
            <w:pPr>
              <w:jc w:val="center"/>
              <w:ind w:left="2694"/>
              <w:spacing w:after="0"/>
              <w:rPr>
                <w:sz w:val="20"/>
                <w:szCs w:val="20"/>
                <w:color w:val="auto"/>
              </w:rPr>
            </w:pPr>
            <w:r>
              <w:rPr>
                <w:rFonts w:ascii="Times New Roman" w:cs="Times New Roman" w:eastAsia="Times New Roman" w:hAnsi="Times New Roman"/>
                <w:sz w:val="22"/>
                <w:szCs w:val="22"/>
                <w:b w:val="1"/>
                <w:bCs w:val="1"/>
                <w:color w:val="auto"/>
                <w:w w:val="97"/>
              </w:rPr>
              <w:t>LIABILITIES AND PARTNERS' CAPITAL</w:t>
            </w: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0"/>
        </w:trPr>
        <w:tc>
          <w:tcPr>
            <w:tcW w:w="84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Current liabilities: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84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Accrued drilling cost – related party</w:t>
            </w:r>
          </w:p>
        </w:tc>
        <w:tc>
          <w:tcPr>
            <w:tcW w:w="46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23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81,863</w:t>
            </w:r>
          </w:p>
        </w:tc>
        <w:tc>
          <w:tcPr>
            <w:tcW w:w="0" w:type="dxa"/>
            <w:vAlign w:val="bottom"/>
          </w:tcPr>
          <w:p>
            <w:pPr>
              <w:spacing w:after="0"/>
              <w:rPr>
                <w:sz w:val="1"/>
                <w:szCs w:val="1"/>
                <w:color w:val="auto"/>
              </w:rPr>
            </w:pPr>
          </w:p>
        </w:tc>
      </w:tr>
      <w:tr>
        <w:trPr>
          <w:trHeight w:val="270"/>
        </w:trPr>
        <w:tc>
          <w:tcPr>
            <w:tcW w:w="84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Other accrued liabilities – related party</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3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15,217</w:t>
            </w:r>
          </w:p>
        </w:tc>
        <w:tc>
          <w:tcPr>
            <w:tcW w:w="0" w:type="dxa"/>
            <w:vAlign w:val="bottom"/>
          </w:tcPr>
          <w:p>
            <w:pPr>
              <w:spacing w:after="0"/>
              <w:rPr>
                <w:sz w:val="1"/>
                <w:szCs w:val="1"/>
                <w:color w:val="auto"/>
              </w:rPr>
            </w:pPr>
          </w:p>
        </w:tc>
      </w:tr>
      <w:tr>
        <w:trPr>
          <w:trHeight w:val="270"/>
        </w:trPr>
        <w:tc>
          <w:tcPr>
            <w:tcW w:w="84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Accrued interest payable</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3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13,307</w:t>
            </w:r>
          </w:p>
        </w:tc>
        <w:tc>
          <w:tcPr>
            <w:tcW w:w="0" w:type="dxa"/>
            <w:vAlign w:val="bottom"/>
          </w:tcPr>
          <w:p>
            <w:pPr>
              <w:spacing w:after="0"/>
              <w:rPr>
                <w:sz w:val="1"/>
                <w:szCs w:val="1"/>
                <w:color w:val="auto"/>
              </w:rPr>
            </w:pPr>
          </w:p>
        </w:tc>
      </w:tr>
      <w:tr>
        <w:trPr>
          <w:trHeight w:val="282"/>
        </w:trPr>
        <w:tc>
          <w:tcPr>
            <w:tcW w:w="84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Asset retirement obligations, current portion</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430</w:t>
            </w:r>
          </w:p>
        </w:tc>
        <w:tc>
          <w:tcPr>
            <w:tcW w:w="0" w:type="dxa"/>
            <w:vAlign w:val="bottom"/>
          </w:tcPr>
          <w:p>
            <w:pPr>
              <w:spacing w:after="0"/>
              <w:rPr>
                <w:sz w:val="1"/>
                <w:szCs w:val="1"/>
                <w:color w:val="auto"/>
              </w:rPr>
            </w:pPr>
          </w:p>
        </w:tc>
      </w:tr>
      <w:tr>
        <w:trPr>
          <w:trHeight w:val="277"/>
        </w:trPr>
        <w:tc>
          <w:tcPr>
            <w:tcW w:w="84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current liabilities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110,817</w:t>
            </w:r>
          </w:p>
        </w:tc>
        <w:tc>
          <w:tcPr>
            <w:tcW w:w="0" w:type="dxa"/>
            <w:vAlign w:val="bottom"/>
          </w:tcPr>
          <w:p>
            <w:pPr>
              <w:spacing w:after="0"/>
              <w:rPr>
                <w:sz w:val="1"/>
                <w:szCs w:val="1"/>
                <w:color w:val="auto"/>
              </w:rPr>
            </w:pPr>
          </w:p>
        </w:tc>
      </w:tr>
      <w:tr>
        <w:trPr>
          <w:trHeight w:val="391"/>
        </w:trPr>
        <w:tc>
          <w:tcPr>
            <w:tcW w:w="84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Long-term debt, net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1,238,507</w:t>
            </w:r>
          </w:p>
        </w:tc>
        <w:tc>
          <w:tcPr>
            <w:tcW w:w="0" w:type="dxa"/>
            <w:vAlign w:val="bottom"/>
          </w:tcPr>
          <w:p>
            <w:pPr>
              <w:spacing w:after="0"/>
              <w:rPr>
                <w:sz w:val="1"/>
                <w:szCs w:val="1"/>
                <w:color w:val="auto"/>
              </w:rPr>
            </w:pPr>
          </w:p>
        </w:tc>
      </w:tr>
      <w:tr>
        <w:trPr>
          <w:trHeight w:val="306"/>
        </w:trPr>
        <w:tc>
          <w:tcPr>
            <w:tcW w:w="84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Asset retirement obligations</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48,232</w:t>
            </w:r>
          </w:p>
        </w:tc>
        <w:tc>
          <w:tcPr>
            <w:tcW w:w="0" w:type="dxa"/>
            <w:vAlign w:val="bottom"/>
          </w:tcPr>
          <w:p>
            <w:pPr>
              <w:spacing w:after="0"/>
              <w:rPr>
                <w:sz w:val="1"/>
                <w:szCs w:val="1"/>
                <w:color w:val="auto"/>
              </w:rPr>
            </w:pPr>
          </w:p>
        </w:tc>
      </w:tr>
      <w:tr>
        <w:trPr>
          <w:trHeight w:val="277"/>
        </w:trPr>
        <w:tc>
          <w:tcPr>
            <w:tcW w:w="84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liabilities</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1,397,556</w:t>
            </w:r>
          </w:p>
        </w:tc>
        <w:tc>
          <w:tcPr>
            <w:tcW w:w="0" w:type="dxa"/>
            <w:vAlign w:val="bottom"/>
          </w:tcPr>
          <w:p>
            <w:pPr>
              <w:spacing w:after="0"/>
              <w:rPr>
                <w:sz w:val="1"/>
                <w:szCs w:val="1"/>
                <w:color w:val="auto"/>
              </w:rPr>
            </w:pPr>
          </w:p>
        </w:tc>
      </w:tr>
      <w:tr>
        <w:trPr>
          <w:trHeight w:val="309"/>
        </w:trPr>
        <w:tc>
          <w:tcPr>
            <w:tcW w:w="84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 xml:space="preserve">Commitments and Contingencies </w:t>
            </w:r>
            <w:r>
              <w:rPr>
                <w:rFonts w:ascii="Times New Roman" w:cs="Times New Roman" w:eastAsia="Times New Roman" w:hAnsi="Times New Roman"/>
                <w:sz w:val="22"/>
                <w:szCs w:val="22"/>
                <w:color w:val="auto"/>
              </w:rPr>
              <w:t>(Note I)</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84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Partners' Capital</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3,440,673</w:t>
            </w:r>
          </w:p>
        </w:tc>
        <w:tc>
          <w:tcPr>
            <w:tcW w:w="0" w:type="dxa"/>
            <w:vAlign w:val="bottom"/>
          </w:tcPr>
          <w:p>
            <w:pPr>
              <w:spacing w:after="0"/>
              <w:rPr>
                <w:sz w:val="1"/>
                <w:szCs w:val="1"/>
                <w:color w:val="auto"/>
              </w:rPr>
            </w:pPr>
          </w:p>
        </w:tc>
      </w:tr>
      <w:tr>
        <w:trPr>
          <w:trHeight w:val="277"/>
        </w:trPr>
        <w:tc>
          <w:tcPr>
            <w:tcW w:w="84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Liabilities and Partners' Capital</w:t>
            </w:r>
          </w:p>
        </w:tc>
        <w:tc>
          <w:tcPr>
            <w:tcW w:w="60" w:type="dxa"/>
            <w:vAlign w:val="bottom"/>
          </w:tcPr>
          <w:p>
            <w:pPr>
              <w:spacing w:after="0"/>
              <w:rPr>
                <w:sz w:val="24"/>
                <w:szCs w:val="24"/>
                <w:color w:val="auto"/>
              </w:rPr>
            </w:pPr>
          </w:p>
        </w:tc>
        <w:tc>
          <w:tcPr>
            <w:tcW w:w="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2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4,838,229</w:t>
            </w: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i w:val="1"/>
          <w:iCs w:val="1"/>
          <w:color w:val="auto"/>
        </w:rPr>
        <w:t>See accompanying notes to these condensed consolidated financial statements.</w:t>
      </w:r>
    </w:p>
    <w:p>
      <w:pPr>
        <w:sectPr>
          <w:pgSz w:w="11900" w:h="16838" w:orient="portrait"/>
          <w:cols w:equalWidth="0" w:num="1">
            <w:col w:w="11220"/>
          </w:cols>
          <w:pgMar w:left="340" w:top="10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20"/>
          </w:cols>
          <w:pgMar w:left="340" w:top="1031" w:right="339" w:bottom="1440" w:gutter="0" w:footer="0" w:header="0"/>
          <w:type w:val="continuous"/>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CROWNROCK, L.P.</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INCOME</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6360" w:type="dxa"/>
            <w:vAlign w:val="bottom"/>
          </w:tcPr>
          <w:p>
            <w:pPr>
              <w:spacing w:after="0"/>
              <w:rPr>
                <w:sz w:val="24"/>
                <w:szCs w:val="24"/>
                <w:color w:val="auto"/>
              </w:rPr>
            </w:pPr>
          </w:p>
        </w:tc>
        <w:tc>
          <w:tcPr>
            <w:tcW w:w="4860" w:type="dxa"/>
            <w:vAlign w:val="bottom"/>
            <w:gridSpan w:val="3"/>
          </w:tcPr>
          <w:p>
            <w:pPr>
              <w:jc w:val="right"/>
              <w:ind w:right="96"/>
              <w:spacing w:after="0"/>
              <w:rPr>
                <w:sz w:val="20"/>
                <w:szCs w:val="20"/>
                <w:color w:val="auto"/>
              </w:rPr>
            </w:pPr>
            <w:r>
              <w:rPr>
                <w:rFonts w:ascii="Times New Roman" w:cs="Times New Roman" w:eastAsia="Times New Roman" w:hAnsi="Times New Roman"/>
                <w:sz w:val="23"/>
                <w:szCs w:val="23"/>
                <w:b w:val="1"/>
                <w:bCs w:val="1"/>
                <w:color w:val="auto"/>
              </w:rPr>
              <w:t>Six months ended June 30,</w:t>
            </w:r>
          </w:p>
        </w:tc>
      </w:tr>
      <w:tr>
        <w:trPr>
          <w:trHeight w:val="324"/>
        </w:trPr>
        <w:tc>
          <w:tcPr>
            <w:tcW w:w="6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jc w:val="right"/>
              <w:ind w:right="956"/>
              <w:spacing w:after="0"/>
              <w:rPr>
                <w:sz w:val="20"/>
                <w:szCs w:val="20"/>
                <w:color w:val="auto"/>
              </w:rPr>
            </w:pPr>
            <w:r>
              <w:rPr>
                <w:rFonts w:ascii="Times New Roman" w:cs="Times New Roman" w:eastAsia="Times New Roman" w:hAnsi="Times New Roman"/>
                <w:sz w:val="23"/>
                <w:szCs w:val="23"/>
                <w:b w:val="1"/>
                <w:bCs w:val="1"/>
                <w:color w:val="auto"/>
              </w:rPr>
              <w:t>2024</w:t>
            </w:r>
          </w:p>
        </w:tc>
      </w:tr>
      <w:tr>
        <w:trPr>
          <w:trHeight w:val="65"/>
        </w:trPr>
        <w:tc>
          <w:tcPr>
            <w:tcW w:w="6360" w:type="dxa"/>
            <w:vAlign w:val="bottom"/>
          </w:tcPr>
          <w:p>
            <w:pPr>
              <w:spacing w:after="0"/>
              <w:rPr>
                <w:sz w:val="5"/>
                <w:szCs w:val="5"/>
                <w:color w:val="auto"/>
              </w:rPr>
            </w:pPr>
          </w:p>
        </w:tc>
        <w:tc>
          <w:tcPr>
            <w:tcW w:w="22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200" w:type="dxa"/>
            <w:vAlign w:val="bottom"/>
            <w:tcBorders>
              <w:bottom w:val="single" w:sz="8" w:color="auto"/>
            </w:tcBorders>
          </w:tcPr>
          <w:p>
            <w:pPr>
              <w:spacing w:after="0"/>
              <w:rPr>
                <w:sz w:val="5"/>
                <w:szCs w:val="5"/>
                <w:color w:val="auto"/>
              </w:rPr>
            </w:pPr>
          </w:p>
        </w:tc>
      </w:tr>
      <w:tr>
        <w:trPr>
          <w:trHeight w:val="266"/>
        </w:trPr>
        <w:tc>
          <w:tcPr>
            <w:tcW w:w="636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0" w:type="dxa"/>
            <w:vAlign w:val="bottom"/>
          </w:tcPr>
          <w:p>
            <w:pPr>
              <w:jc w:val="right"/>
              <w:ind w:right="556"/>
              <w:spacing w:after="0"/>
              <w:rPr>
                <w:sz w:val="20"/>
                <w:szCs w:val="20"/>
                <w:color w:val="auto"/>
              </w:rPr>
            </w:pPr>
            <w:r>
              <w:rPr>
                <w:rFonts w:ascii="Times New Roman" w:cs="Times New Roman" w:eastAsia="Times New Roman" w:hAnsi="Times New Roman"/>
                <w:sz w:val="21"/>
                <w:szCs w:val="21"/>
                <w:b w:val="1"/>
                <w:bCs w:val="1"/>
                <w:color w:val="auto"/>
              </w:rPr>
              <w:t>(in thousands)</w:t>
            </w:r>
          </w:p>
        </w:tc>
      </w:tr>
      <w:tr>
        <w:trPr>
          <w:trHeight w:val="349"/>
        </w:trPr>
        <w:tc>
          <w:tcPr>
            <w:tcW w:w="6360" w:type="dxa"/>
            <w:vAlign w:val="bottom"/>
          </w:tcPr>
          <w:p>
            <w:pPr>
              <w:spacing w:after="0"/>
              <w:rPr>
                <w:sz w:val="20"/>
                <w:szCs w:val="20"/>
                <w:color w:val="auto"/>
              </w:rPr>
            </w:pPr>
            <w:r>
              <w:rPr>
                <w:rFonts w:ascii="Times New Roman" w:cs="Times New Roman" w:eastAsia="Times New Roman" w:hAnsi="Times New Roman"/>
                <w:sz w:val="21"/>
                <w:szCs w:val="21"/>
                <w:b w:val="1"/>
                <w:bCs w:val="1"/>
                <w:i w:val="1"/>
                <w:iCs w:val="1"/>
                <w:color w:val="auto"/>
              </w:rPr>
              <w:t>Statement of Income</w:t>
            </w:r>
          </w:p>
        </w:tc>
        <w:tc>
          <w:tcPr>
            <w:tcW w:w="2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72"/>
        </w:trPr>
        <w:tc>
          <w:tcPr>
            <w:tcW w:w="636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Revenues:</w:t>
            </w:r>
          </w:p>
        </w:tc>
        <w:tc>
          <w:tcPr>
            <w:tcW w:w="2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0" w:type="dxa"/>
            <w:vAlign w:val="bottom"/>
          </w:tcPr>
          <w:p>
            <w:pPr>
              <w:spacing w:after="0"/>
              <w:rPr>
                <w:sz w:val="23"/>
                <w:szCs w:val="23"/>
                <w:color w:val="auto"/>
              </w:rPr>
            </w:pPr>
          </w:p>
        </w:tc>
      </w:tr>
      <w:tr>
        <w:trPr>
          <w:trHeight w:val="275"/>
        </w:trPr>
        <w:tc>
          <w:tcPr>
            <w:tcW w:w="63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Oil and natural gas sales</w:t>
            </w:r>
          </w:p>
        </w:tc>
        <w:tc>
          <w:tcPr>
            <w:tcW w:w="2660" w:type="dxa"/>
            <w:vAlign w:val="bottom"/>
            <w:gridSpan w:val="2"/>
          </w:tcPr>
          <w:p>
            <w:pPr>
              <w:jc w:val="right"/>
              <w:ind w:right="177"/>
              <w:spacing w:after="0"/>
              <w:rPr>
                <w:sz w:val="20"/>
                <w:szCs w:val="20"/>
                <w:color w:val="auto"/>
              </w:rPr>
            </w:pPr>
            <w:r>
              <w:rPr>
                <w:rFonts w:ascii="Times New Roman" w:cs="Times New Roman" w:eastAsia="Times New Roman" w:hAnsi="Times New Roman"/>
                <w:sz w:val="21"/>
                <w:szCs w:val="21"/>
                <w:color w:val="auto"/>
              </w:rPr>
              <w:t>$</w:t>
            </w:r>
          </w:p>
        </w:tc>
        <w:tc>
          <w:tcPr>
            <w:tcW w:w="2200" w:type="dxa"/>
            <w:vAlign w:val="bottom"/>
          </w:tcPr>
          <w:p>
            <w:pPr>
              <w:jc w:val="right"/>
              <w:ind w:right="16"/>
              <w:spacing w:after="0"/>
              <w:rPr>
                <w:sz w:val="20"/>
                <w:szCs w:val="20"/>
                <w:color w:val="auto"/>
              </w:rPr>
            </w:pPr>
            <w:r>
              <w:rPr>
                <w:rFonts w:ascii="Times New Roman" w:cs="Times New Roman" w:eastAsia="Times New Roman" w:hAnsi="Times New Roman"/>
                <w:sz w:val="21"/>
                <w:szCs w:val="21"/>
                <w:color w:val="auto"/>
              </w:rPr>
              <w:t>1,187,043</w:t>
            </w:r>
          </w:p>
        </w:tc>
      </w:tr>
      <w:tr>
        <w:trPr>
          <w:trHeight w:val="257"/>
        </w:trPr>
        <w:tc>
          <w:tcPr>
            <w:tcW w:w="63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Saltwater disposal</w:t>
            </w:r>
          </w:p>
        </w:tc>
        <w:tc>
          <w:tcPr>
            <w:tcW w:w="2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0" w:type="dxa"/>
            <w:vAlign w:val="bottom"/>
          </w:tcPr>
          <w:p>
            <w:pPr>
              <w:jc w:val="right"/>
              <w:ind w:right="16"/>
              <w:spacing w:after="0"/>
              <w:rPr>
                <w:sz w:val="20"/>
                <w:szCs w:val="20"/>
                <w:color w:val="auto"/>
              </w:rPr>
            </w:pPr>
            <w:r>
              <w:rPr>
                <w:rFonts w:ascii="Times New Roman" w:cs="Times New Roman" w:eastAsia="Times New Roman" w:hAnsi="Times New Roman"/>
                <w:sz w:val="21"/>
                <w:szCs w:val="21"/>
                <w:color w:val="auto"/>
              </w:rPr>
              <w:t>40,904</w:t>
            </w:r>
          </w:p>
        </w:tc>
      </w:tr>
      <w:tr>
        <w:trPr>
          <w:trHeight w:val="257"/>
        </w:trPr>
        <w:tc>
          <w:tcPr>
            <w:tcW w:w="63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Gathering system rent and transportation fees</w:t>
            </w:r>
          </w:p>
        </w:tc>
        <w:tc>
          <w:tcPr>
            <w:tcW w:w="2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0" w:type="dxa"/>
            <w:vAlign w:val="bottom"/>
          </w:tcPr>
          <w:p>
            <w:pPr>
              <w:jc w:val="right"/>
              <w:ind w:right="16"/>
              <w:spacing w:after="0"/>
              <w:rPr>
                <w:sz w:val="20"/>
                <w:szCs w:val="20"/>
                <w:color w:val="auto"/>
              </w:rPr>
            </w:pPr>
            <w:r>
              <w:rPr>
                <w:rFonts w:ascii="Times New Roman" w:cs="Times New Roman" w:eastAsia="Times New Roman" w:hAnsi="Times New Roman"/>
                <w:sz w:val="21"/>
                <w:szCs w:val="21"/>
                <w:color w:val="auto"/>
              </w:rPr>
              <w:t>26,328</w:t>
            </w:r>
          </w:p>
        </w:tc>
      </w:tr>
      <w:tr>
        <w:trPr>
          <w:trHeight w:val="257"/>
        </w:trPr>
        <w:tc>
          <w:tcPr>
            <w:tcW w:w="63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Fresh water supply</w:t>
            </w:r>
          </w:p>
        </w:tc>
        <w:tc>
          <w:tcPr>
            <w:tcW w:w="2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0" w:type="dxa"/>
            <w:vAlign w:val="bottom"/>
          </w:tcPr>
          <w:p>
            <w:pPr>
              <w:jc w:val="right"/>
              <w:ind w:right="16"/>
              <w:spacing w:after="0"/>
              <w:rPr>
                <w:sz w:val="20"/>
                <w:szCs w:val="20"/>
                <w:color w:val="auto"/>
              </w:rPr>
            </w:pPr>
            <w:r>
              <w:rPr>
                <w:rFonts w:ascii="Times New Roman" w:cs="Times New Roman" w:eastAsia="Times New Roman" w:hAnsi="Times New Roman"/>
                <w:sz w:val="21"/>
                <w:szCs w:val="21"/>
                <w:color w:val="auto"/>
              </w:rPr>
              <w:t>7,799</w:t>
            </w:r>
          </w:p>
        </w:tc>
      </w:tr>
      <w:tr>
        <w:trPr>
          <w:trHeight w:val="262"/>
        </w:trPr>
        <w:tc>
          <w:tcPr>
            <w:tcW w:w="63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Surface ownership</w:t>
            </w:r>
          </w:p>
        </w:tc>
        <w:tc>
          <w:tcPr>
            <w:tcW w:w="22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21"/>
                <w:szCs w:val="21"/>
                <w:color w:val="auto"/>
              </w:rPr>
              <w:t>2,432</w:t>
            </w:r>
          </w:p>
        </w:tc>
      </w:tr>
      <w:tr>
        <w:trPr>
          <w:trHeight w:val="250"/>
        </w:trPr>
        <w:tc>
          <w:tcPr>
            <w:tcW w:w="6360" w:type="dxa"/>
            <w:vAlign w:val="bottom"/>
          </w:tcPr>
          <w:p>
            <w:pPr>
              <w:ind w:left="60"/>
              <w:spacing w:after="0"/>
              <w:rPr>
                <w:sz w:val="20"/>
                <w:szCs w:val="20"/>
                <w:color w:val="auto"/>
              </w:rPr>
            </w:pPr>
            <w:r>
              <w:rPr>
                <w:rFonts w:ascii="Times New Roman" w:cs="Times New Roman" w:eastAsia="Times New Roman" w:hAnsi="Times New Roman"/>
                <w:sz w:val="21"/>
                <w:szCs w:val="21"/>
                <w:b w:val="1"/>
                <w:bCs w:val="1"/>
                <w:color w:val="auto"/>
              </w:rPr>
              <w:t>Total revenues</w:t>
            </w:r>
          </w:p>
        </w:tc>
        <w:tc>
          <w:tcPr>
            <w:tcW w:w="22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21"/>
                <w:szCs w:val="21"/>
                <w:color w:val="auto"/>
              </w:rPr>
              <w:t>1,264,506</w:t>
            </w:r>
          </w:p>
        </w:tc>
      </w:tr>
      <w:tr>
        <w:trPr>
          <w:trHeight w:val="231"/>
        </w:trPr>
        <w:tc>
          <w:tcPr>
            <w:tcW w:w="6360" w:type="dxa"/>
            <w:vAlign w:val="bottom"/>
          </w:tcPr>
          <w:p>
            <w:pPr>
              <w:ind w:left="60"/>
              <w:spacing w:after="0" w:line="231" w:lineRule="exact"/>
              <w:rPr>
                <w:sz w:val="20"/>
                <w:szCs w:val="20"/>
                <w:color w:val="auto"/>
              </w:rPr>
            </w:pPr>
            <w:r>
              <w:rPr>
                <w:rFonts w:ascii="Times New Roman" w:cs="Times New Roman" w:eastAsia="Times New Roman" w:hAnsi="Times New Roman"/>
                <w:sz w:val="21"/>
                <w:szCs w:val="21"/>
                <w:b w:val="1"/>
                <w:bCs w:val="1"/>
                <w:color w:val="auto"/>
              </w:rPr>
              <w:t>Costs and expenses:</w:t>
            </w:r>
          </w:p>
        </w:tc>
        <w:tc>
          <w:tcPr>
            <w:tcW w:w="2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257"/>
        </w:trPr>
        <w:tc>
          <w:tcPr>
            <w:tcW w:w="63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Lease operating expense</w:t>
            </w:r>
          </w:p>
        </w:tc>
        <w:tc>
          <w:tcPr>
            <w:tcW w:w="2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0" w:type="dxa"/>
            <w:vAlign w:val="bottom"/>
          </w:tcPr>
          <w:p>
            <w:pPr>
              <w:jc w:val="right"/>
              <w:ind w:right="16"/>
              <w:spacing w:after="0"/>
              <w:rPr>
                <w:sz w:val="20"/>
                <w:szCs w:val="20"/>
                <w:color w:val="auto"/>
              </w:rPr>
            </w:pPr>
            <w:r>
              <w:rPr>
                <w:rFonts w:ascii="Times New Roman" w:cs="Times New Roman" w:eastAsia="Times New Roman" w:hAnsi="Times New Roman"/>
                <w:sz w:val="21"/>
                <w:szCs w:val="21"/>
                <w:color w:val="auto"/>
              </w:rPr>
              <w:t>215,927</w:t>
            </w:r>
          </w:p>
        </w:tc>
      </w:tr>
      <w:tr>
        <w:trPr>
          <w:trHeight w:val="257"/>
        </w:trPr>
        <w:tc>
          <w:tcPr>
            <w:tcW w:w="63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Production and ad valorem taxes</w:t>
            </w:r>
          </w:p>
        </w:tc>
        <w:tc>
          <w:tcPr>
            <w:tcW w:w="2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0" w:type="dxa"/>
            <w:vAlign w:val="bottom"/>
          </w:tcPr>
          <w:p>
            <w:pPr>
              <w:jc w:val="right"/>
              <w:ind w:right="16"/>
              <w:spacing w:after="0"/>
              <w:rPr>
                <w:sz w:val="20"/>
                <w:szCs w:val="20"/>
                <w:color w:val="auto"/>
              </w:rPr>
            </w:pPr>
            <w:r>
              <w:rPr>
                <w:rFonts w:ascii="Times New Roman" w:cs="Times New Roman" w:eastAsia="Times New Roman" w:hAnsi="Times New Roman"/>
                <w:sz w:val="21"/>
                <w:szCs w:val="21"/>
                <w:color w:val="auto"/>
              </w:rPr>
              <w:t>64,743</w:t>
            </w:r>
          </w:p>
        </w:tc>
      </w:tr>
      <w:tr>
        <w:trPr>
          <w:trHeight w:val="256"/>
        </w:trPr>
        <w:tc>
          <w:tcPr>
            <w:tcW w:w="63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Depreciation, depletion and amortization</w:t>
            </w:r>
          </w:p>
        </w:tc>
        <w:tc>
          <w:tcPr>
            <w:tcW w:w="2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0" w:type="dxa"/>
            <w:vAlign w:val="bottom"/>
          </w:tcPr>
          <w:p>
            <w:pPr>
              <w:jc w:val="right"/>
              <w:ind w:right="16"/>
              <w:spacing w:after="0"/>
              <w:rPr>
                <w:sz w:val="20"/>
                <w:szCs w:val="20"/>
                <w:color w:val="auto"/>
              </w:rPr>
            </w:pPr>
            <w:r>
              <w:rPr>
                <w:rFonts w:ascii="Times New Roman" w:cs="Times New Roman" w:eastAsia="Times New Roman" w:hAnsi="Times New Roman"/>
                <w:sz w:val="21"/>
                <w:szCs w:val="21"/>
                <w:color w:val="auto"/>
              </w:rPr>
              <w:t>324,165</w:t>
            </w:r>
          </w:p>
        </w:tc>
      </w:tr>
      <w:tr>
        <w:trPr>
          <w:trHeight w:val="257"/>
        </w:trPr>
        <w:tc>
          <w:tcPr>
            <w:tcW w:w="63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Accretion of discount on asset retirement obligation</w:t>
            </w:r>
          </w:p>
        </w:tc>
        <w:tc>
          <w:tcPr>
            <w:tcW w:w="2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0" w:type="dxa"/>
            <w:vAlign w:val="bottom"/>
          </w:tcPr>
          <w:p>
            <w:pPr>
              <w:jc w:val="right"/>
              <w:ind w:right="16"/>
              <w:spacing w:after="0"/>
              <w:rPr>
                <w:sz w:val="20"/>
                <w:szCs w:val="20"/>
                <w:color w:val="auto"/>
              </w:rPr>
            </w:pPr>
            <w:r>
              <w:rPr>
                <w:rFonts w:ascii="Times New Roman" w:cs="Times New Roman" w:eastAsia="Times New Roman" w:hAnsi="Times New Roman"/>
                <w:sz w:val="21"/>
                <w:szCs w:val="21"/>
                <w:color w:val="auto"/>
              </w:rPr>
              <w:t>1,075</w:t>
            </w:r>
          </w:p>
        </w:tc>
      </w:tr>
      <w:tr>
        <w:trPr>
          <w:trHeight w:val="262"/>
        </w:trPr>
        <w:tc>
          <w:tcPr>
            <w:tcW w:w="63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General and administrative</w:t>
            </w:r>
          </w:p>
        </w:tc>
        <w:tc>
          <w:tcPr>
            <w:tcW w:w="22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21"/>
                <w:szCs w:val="21"/>
                <w:color w:val="auto"/>
              </w:rPr>
              <w:t>8,578</w:t>
            </w:r>
          </w:p>
        </w:tc>
      </w:tr>
      <w:tr>
        <w:trPr>
          <w:trHeight w:val="250"/>
        </w:trPr>
        <w:tc>
          <w:tcPr>
            <w:tcW w:w="6360" w:type="dxa"/>
            <w:vAlign w:val="bottom"/>
          </w:tcPr>
          <w:p>
            <w:pPr>
              <w:ind w:left="60"/>
              <w:spacing w:after="0"/>
              <w:rPr>
                <w:sz w:val="20"/>
                <w:szCs w:val="20"/>
                <w:color w:val="auto"/>
              </w:rPr>
            </w:pPr>
            <w:r>
              <w:rPr>
                <w:rFonts w:ascii="Times New Roman" w:cs="Times New Roman" w:eastAsia="Times New Roman" w:hAnsi="Times New Roman"/>
                <w:sz w:val="21"/>
                <w:szCs w:val="21"/>
                <w:b w:val="1"/>
                <w:bCs w:val="1"/>
                <w:color w:val="auto"/>
              </w:rPr>
              <w:t>Total costs and expenses</w:t>
            </w:r>
          </w:p>
        </w:tc>
        <w:tc>
          <w:tcPr>
            <w:tcW w:w="22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21"/>
                <w:szCs w:val="21"/>
                <w:color w:val="auto"/>
              </w:rPr>
              <w:t>614,488</w:t>
            </w:r>
          </w:p>
        </w:tc>
      </w:tr>
      <w:tr>
        <w:trPr>
          <w:trHeight w:val="250"/>
        </w:trPr>
        <w:tc>
          <w:tcPr>
            <w:tcW w:w="6360" w:type="dxa"/>
            <w:vAlign w:val="bottom"/>
          </w:tcPr>
          <w:p>
            <w:pPr>
              <w:ind w:left="60"/>
              <w:spacing w:after="0"/>
              <w:rPr>
                <w:sz w:val="20"/>
                <w:szCs w:val="20"/>
                <w:color w:val="auto"/>
              </w:rPr>
            </w:pPr>
            <w:r>
              <w:rPr>
                <w:rFonts w:ascii="Times New Roman" w:cs="Times New Roman" w:eastAsia="Times New Roman" w:hAnsi="Times New Roman"/>
                <w:sz w:val="21"/>
                <w:szCs w:val="21"/>
                <w:b w:val="1"/>
                <w:bCs w:val="1"/>
                <w:color w:val="auto"/>
              </w:rPr>
              <w:t>Operating income</w:t>
            </w:r>
          </w:p>
        </w:tc>
        <w:tc>
          <w:tcPr>
            <w:tcW w:w="22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21"/>
                <w:szCs w:val="21"/>
                <w:color w:val="auto"/>
              </w:rPr>
              <w:t>650,018</w:t>
            </w:r>
          </w:p>
        </w:tc>
      </w:tr>
      <w:tr>
        <w:trPr>
          <w:trHeight w:val="231"/>
        </w:trPr>
        <w:tc>
          <w:tcPr>
            <w:tcW w:w="6360" w:type="dxa"/>
            <w:vAlign w:val="bottom"/>
          </w:tcPr>
          <w:p>
            <w:pPr>
              <w:ind w:left="60"/>
              <w:spacing w:after="0" w:line="231" w:lineRule="exact"/>
              <w:rPr>
                <w:sz w:val="20"/>
                <w:szCs w:val="20"/>
                <w:color w:val="auto"/>
              </w:rPr>
            </w:pPr>
            <w:r>
              <w:rPr>
                <w:rFonts w:ascii="Times New Roman" w:cs="Times New Roman" w:eastAsia="Times New Roman" w:hAnsi="Times New Roman"/>
                <w:sz w:val="21"/>
                <w:szCs w:val="21"/>
                <w:b w:val="1"/>
                <w:bCs w:val="1"/>
                <w:color w:val="auto"/>
              </w:rPr>
              <w:t>Other income (expense):</w:t>
            </w:r>
          </w:p>
        </w:tc>
        <w:tc>
          <w:tcPr>
            <w:tcW w:w="2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256"/>
        </w:trPr>
        <w:tc>
          <w:tcPr>
            <w:tcW w:w="63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Interest income</w:t>
            </w:r>
          </w:p>
        </w:tc>
        <w:tc>
          <w:tcPr>
            <w:tcW w:w="2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0" w:type="dxa"/>
            <w:vAlign w:val="bottom"/>
          </w:tcPr>
          <w:p>
            <w:pPr>
              <w:jc w:val="right"/>
              <w:ind w:right="16"/>
              <w:spacing w:after="0"/>
              <w:rPr>
                <w:sz w:val="20"/>
                <w:szCs w:val="20"/>
                <w:color w:val="auto"/>
              </w:rPr>
            </w:pPr>
            <w:r>
              <w:rPr>
                <w:rFonts w:ascii="Times New Roman" w:cs="Times New Roman" w:eastAsia="Times New Roman" w:hAnsi="Times New Roman"/>
                <w:sz w:val="21"/>
                <w:szCs w:val="21"/>
                <w:color w:val="auto"/>
              </w:rPr>
              <w:t>6,376</w:t>
            </w:r>
          </w:p>
        </w:tc>
      </w:tr>
      <w:tr>
        <w:trPr>
          <w:trHeight w:val="257"/>
        </w:trPr>
        <w:tc>
          <w:tcPr>
            <w:tcW w:w="63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Interest expense</w:t>
            </w:r>
          </w:p>
        </w:tc>
        <w:tc>
          <w:tcPr>
            <w:tcW w:w="2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0" w:type="dxa"/>
            <w:vAlign w:val="bottom"/>
          </w:tcPr>
          <w:p>
            <w:pPr>
              <w:jc w:val="right"/>
              <w:ind w:right="16"/>
              <w:spacing w:after="0"/>
              <w:rPr>
                <w:sz w:val="20"/>
                <w:szCs w:val="20"/>
                <w:color w:val="auto"/>
              </w:rPr>
            </w:pPr>
            <w:r>
              <w:rPr>
                <w:rFonts w:ascii="Times New Roman" w:cs="Times New Roman" w:eastAsia="Times New Roman" w:hAnsi="Times New Roman"/>
                <w:sz w:val="21"/>
                <w:szCs w:val="21"/>
                <w:color w:val="auto"/>
              </w:rPr>
              <w:t>(38,792)</w:t>
            </w:r>
          </w:p>
        </w:tc>
      </w:tr>
      <w:tr>
        <w:trPr>
          <w:trHeight w:val="262"/>
        </w:trPr>
        <w:tc>
          <w:tcPr>
            <w:tcW w:w="63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Other income (expense), net</w:t>
            </w:r>
          </w:p>
        </w:tc>
        <w:tc>
          <w:tcPr>
            <w:tcW w:w="22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21"/>
                <w:szCs w:val="21"/>
                <w:color w:val="auto"/>
              </w:rPr>
              <w:t>(1,531)</w:t>
            </w:r>
          </w:p>
        </w:tc>
      </w:tr>
      <w:tr>
        <w:trPr>
          <w:trHeight w:val="250"/>
        </w:trPr>
        <w:tc>
          <w:tcPr>
            <w:tcW w:w="6360" w:type="dxa"/>
            <w:vAlign w:val="bottom"/>
          </w:tcPr>
          <w:p>
            <w:pPr>
              <w:ind w:left="60"/>
              <w:spacing w:after="0"/>
              <w:rPr>
                <w:sz w:val="20"/>
                <w:szCs w:val="20"/>
                <w:color w:val="auto"/>
              </w:rPr>
            </w:pPr>
            <w:r>
              <w:rPr>
                <w:rFonts w:ascii="Times New Roman" w:cs="Times New Roman" w:eastAsia="Times New Roman" w:hAnsi="Times New Roman"/>
                <w:sz w:val="21"/>
                <w:szCs w:val="21"/>
                <w:b w:val="1"/>
                <w:bCs w:val="1"/>
                <w:color w:val="auto"/>
              </w:rPr>
              <w:t>Total other income (expense)</w:t>
            </w:r>
          </w:p>
        </w:tc>
        <w:tc>
          <w:tcPr>
            <w:tcW w:w="22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21"/>
                <w:szCs w:val="21"/>
                <w:color w:val="auto"/>
              </w:rPr>
              <w:t>(33,947)</w:t>
            </w:r>
          </w:p>
        </w:tc>
      </w:tr>
      <w:tr>
        <w:trPr>
          <w:trHeight w:val="257"/>
        </w:trPr>
        <w:tc>
          <w:tcPr>
            <w:tcW w:w="6360" w:type="dxa"/>
            <w:vAlign w:val="bottom"/>
          </w:tcPr>
          <w:p>
            <w:pPr>
              <w:ind w:left="60"/>
              <w:spacing w:after="0"/>
              <w:rPr>
                <w:sz w:val="20"/>
                <w:szCs w:val="20"/>
                <w:color w:val="auto"/>
              </w:rPr>
            </w:pPr>
            <w:r>
              <w:rPr>
                <w:rFonts w:ascii="Times New Roman" w:cs="Times New Roman" w:eastAsia="Times New Roman" w:hAnsi="Times New Roman"/>
                <w:sz w:val="21"/>
                <w:szCs w:val="21"/>
                <w:b w:val="1"/>
                <w:bCs w:val="1"/>
                <w:color w:val="auto"/>
              </w:rPr>
              <w:t>Net income</w:t>
            </w:r>
          </w:p>
        </w:tc>
        <w:tc>
          <w:tcPr>
            <w:tcW w:w="2260" w:type="dxa"/>
            <w:vAlign w:val="bottom"/>
          </w:tcPr>
          <w:p>
            <w:pPr>
              <w:spacing w:after="0"/>
              <w:rPr>
                <w:sz w:val="22"/>
                <w:szCs w:val="22"/>
                <w:color w:val="auto"/>
              </w:rPr>
            </w:pPr>
          </w:p>
        </w:tc>
        <w:tc>
          <w:tcPr>
            <w:tcW w:w="4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21"/>
                <w:szCs w:val="21"/>
                <w:color w:val="auto"/>
                <w:w w:val="94"/>
              </w:rPr>
              <w:t>$</w:t>
            </w:r>
          </w:p>
        </w:tc>
        <w:tc>
          <w:tcPr>
            <w:tcW w:w="2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21"/>
                <w:szCs w:val="21"/>
                <w:color w:val="auto"/>
              </w:rPr>
              <w:t>616,071</w:t>
            </w:r>
          </w:p>
        </w:tc>
      </w:tr>
      <w:tr>
        <w:trPr>
          <w:trHeight w:val="20"/>
        </w:trPr>
        <w:tc>
          <w:tcPr>
            <w:tcW w:w="6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37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i w:val="1"/>
          <w:iCs w:val="1"/>
          <w:color w:val="auto"/>
        </w:rPr>
        <w:t>See accompanying notes to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40" w:top="1035" w:right="339" w:bottom="1440" w:gutter="0" w:footer="0" w:header="0"/>
        </w:sectPr>
      </w:pPr>
    </w:p>
    <w:bookmarkStart w:id="10" w:name="page11"/>
    <w:bookmarkEnd w:id="1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CROWNROCK, L.P.</w:t>
      </w:r>
    </w:p>
    <w:p>
      <w:pPr>
        <w:spacing w:after="0" w:line="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PARTNERS’ CAPITAL</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spacing w:after="0"/>
              <w:rPr>
                <w:sz w:val="16"/>
                <w:szCs w:val="16"/>
                <w:color w:val="auto"/>
              </w:rPr>
            </w:pPr>
          </w:p>
        </w:tc>
        <w:tc>
          <w:tcPr>
            <w:tcW w:w="17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Limited Partner</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color w:val="auto"/>
              </w:rPr>
              <w:t>Total CrownRock,</w:t>
            </w:r>
          </w:p>
        </w:tc>
        <w:tc>
          <w:tcPr>
            <w:tcW w:w="30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37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Controlling</w:t>
            </w: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vMerge w:val="restart"/>
          </w:tcPr>
          <w:p>
            <w:pPr>
              <w:jc w:val="right"/>
              <w:ind w:right="351"/>
              <w:spacing w:after="0" w:line="68" w:lineRule="exact"/>
              <w:rPr>
                <w:sz w:val="20"/>
                <w:szCs w:val="20"/>
                <w:color w:val="auto"/>
              </w:rPr>
            </w:pPr>
            <w:r>
              <w:rPr>
                <w:rFonts w:ascii="Times New Roman" w:cs="Times New Roman" w:eastAsia="Times New Roman" w:hAnsi="Times New Roman"/>
                <w:sz w:val="7"/>
                <w:szCs w:val="7"/>
                <w:color w:val="auto"/>
              </w:rPr>
              <w:t>LP Partners'</w:t>
            </w: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vMerge w:val="restart"/>
          </w:tcPr>
          <w:p>
            <w:pPr>
              <w:jc w:val="right"/>
              <w:ind w:right="271"/>
              <w:spacing w:after="0" w:line="68" w:lineRule="exact"/>
              <w:rPr>
                <w:sz w:val="20"/>
                <w:szCs w:val="20"/>
                <w:color w:val="auto"/>
              </w:rPr>
            </w:pPr>
            <w:r>
              <w:rPr>
                <w:rFonts w:ascii="Times New Roman" w:cs="Times New Roman" w:eastAsia="Times New Roman" w:hAnsi="Times New Roman"/>
                <w:sz w:val="7"/>
                <w:szCs w:val="7"/>
                <w:color w:val="auto"/>
              </w:rPr>
              <w:t>Total Partners'</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106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Units</w:t>
            </w:r>
          </w:p>
        </w:tc>
        <w:tc>
          <w:tcPr>
            <w:tcW w:w="660" w:type="dxa"/>
            <w:vAlign w:val="bottom"/>
          </w:tcPr>
          <w:p>
            <w:pPr>
              <w:spacing w:after="0" w:line="20" w:lineRule="exact"/>
              <w:rPr>
                <w:sz w:val="1"/>
                <w:szCs w:val="1"/>
                <w:color w:val="auto"/>
              </w:rPr>
            </w:pPr>
          </w:p>
        </w:tc>
        <w:tc>
          <w:tcPr>
            <w:tcW w:w="110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color w:val="auto"/>
              </w:rPr>
              <w:t>Amount</w:t>
            </w:r>
          </w:p>
        </w:tc>
        <w:tc>
          <w:tcPr>
            <w:tcW w:w="20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Interest</w:t>
            </w:r>
          </w:p>
        </w:tc>
        <w:tc>
          <w:tcPr>
            <w:tcW w:w="300" w:type="dxa"/>
            <w:vAlign w:val="bottom"/>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color w:val="auto"/>
              </w:rPr>
              <w:t>Capital</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color w:val="auto"/>
              </w:rPr>
              <w:t>Capital</w:t>
            </w:r>
          </w:p>
        </w:tc>
        <w:tc>
          <w:tcPr>
            <w:tcW w:w="0" w:type="dxa"/>
            <w:vAlign w:val="bottom"/>
          </w:tcPr>
          <w:p>
            <w:pPr>
              <w:spacing w:after="0"/>
              <w:rPr>
                <w:sz w:val="1"/>
                <w:szCs w:val="1"/>
                <w:color w:val="auto"/>
              </w:rPr>
            </w:pPr>
          </w:p>
        </w:tc>
      </w:tr>
      <w:tr>
        <w:trPr>
          <w:trHeight w:val="180"/>
        </w:trPr>
        <w:tc>
          <w:tcPr>
            <w:tcW w:w="37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 thousands, except units)</w:t>
            </w: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Balance, December 31, 2023</w:t>
            </w:r>
          </w:p>
        </w:tc>
        <w:tc>
          <w:tcPr>
            <w:tcW w:w="10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100</w:t>
            </w:r>
          </w:p>
        </w:tc>
        <w:tc>
          <w:tcPr>
            <w:tcW w:w="6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3,053,580</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3,053,580</w:t>
            </w: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(155)</w:t>
            </w:r>
          </w:p>
        </w:tc>
        <w:tc>
          <w:tcPr>
            <w:tcW w:w="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3,053,425</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616,071</w:t>
            </w:r>
          </w:p>
        </w:tc>
        <w:tc>
          <w:tcPr>
            <w:tcW w:w="200" w:type="dxa"/>
            <w:vAlign w:val="bottom"/>
          </w:tcPr>
          <w:p>
            <w:pPr>
              <w:spacing w:after="0"/>
              <w:rPr>
                <w:sz w:val="17"/>
                <w:szCs w:val="17"/>
                <w:color w:val="auto"/>
              </w:rPr>
            </w:pPr>
          </w:p>
        </w:tc>
        <w:tc>
          <w:tcPr>
            <w:tcW w:w="13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616,071</w:t>
            </w:r>
          </w:p>
        </w:tc>
        <w:tc>
          <w:tcPr>
            <w:tcW w:w="300" w:type="dxa"/>
            <w:vAlign w:val="bottom"/>
          </w:tcPr>
          <w:p>
            <w:pPr>
              <w:spacing w:after="0"/>
              <w:rPr>
                <w:sz w:val="17"/>
                <w:szCs w:val="17"/>
                <w:color w:val="auto"/>
              </w:rPr>
            </w:pPr>
          </w:p>
        </w:tc>
        <w:tc>
          <w:tcPr>
            <w:tcW w:w="1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616,071</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 to limited partner:</w:t>
            </w: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Tax distribution</w:t>
            </w:r>
          </w:p>
        </w:tc>
        <w:tc>
          <w:tcPr>
            <w:tcW w:w="10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(197,871)</w:t>
            </w:r>
          </w:p>
        </w:tc>
        <w:tc>
          <w:tcPr>
            <w:tcW w:w="200" w:type="dxa"/>
            <w:vAlign w:val="bottom"/>
          </w:tcPr>
          <w:p>
            <w:pPr>
              <w:spacing w:after="0"/>
              <w:rPr>
                <w:sz w:val="17"/>
                <w:szCs w:val="17"/>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(197,871)</w:t>
            </w:r>
          </w:p>
        </w:tc>
        <w:tc>
          <w:tcPr>
            <w:tcW w:w="300" w:type="dxa"/>
            <w:vAlign w:val="bottom"/>
          </w:tcPr>
          <w:p>
            <w:pPr>
              <w:spacing w:after="0"/>
              <w:rPr>
                <w:sz w:val="17"/>
                <w:szCs w:val="17"/>
                <w:color w:val="auto"/>
              </w:rPr>
            </w:pPr>
          </w:p>
        </w:tc>
        <w:tc>
          <w:tcPr>
            <w:tcW w:w="1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(197,871)</w:t>
            </w:r>
          </w:p>
        </w:tc>
        <w:tc>
          <w:tcPr>
            <w:tcW w:w="0" w:type="dxa"/>
            <w:vAlign w:val="bottom"/>
          </w:tcPr>
          <w:p>
            <w:pPr>
              <w:spacing w:after="0"/>
              <w:rPr>
                <w:sz w:val="1"/>
                <w:szCs w:val="1"/>
                <w:color w:val="auto"/>
              </w:rPr>
            </w:pPr>
          </w:p>
        </w:tc>
      </w:tr>
      <w:tr>
        <w:trPr>
          <w:trHeight w:val="203"/>
        </w:trPr>
        <w:tc>
          <w:tcPr>
            <w:tcW w:w="3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for working capital</w:t>
            </w:r>
          </w:p>
        </w:tc>
        <w:tc>
          <w:tcPr>
            <w:tcW w:w="10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(5,000)</w:t>
            </w:r>
          </w:p>
        </w:tc>
        <w:tc>
          <w:tcPr>
            <w:tcW w:w="200" w:type="dxa"/>
            <w:vAlign w:val="bottom"/>
          </w:tcPr>
          <w:p>
            <w:pPr>
              <w:spacing w:after="0"/>
              <w:rPr>
                <w:sz w:val="17"/>
                <w:szCs w:val="17"/>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(5,000)</w:t>
            </w:r>
          </w:p>
        </w:tc>
        <w:tc>
          <w:tcPr>
            <w:tcW w:w="300" w:type="dxa"/>
            <w:vAlign w:val="bottom"/>
          </w:tcPr>
          <w:p>
            <w:pPr>
              <w:spacing w:after="0"/>
              <w:rPr>
                <w:sz w:val="17"/>
                <w:szCs w:val="17"/>
                <w:color w:val="auto"/>
              </w:rPr>
            </w:pPr>
          </w:p>
        </w:tc>
        <w:tc>
          <w:tcPr>
            <w:tcW w:w="1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203"/>
        </w:trPr>
        <w:tc>
          <w:tcPr>
            <w:tcW w:w="3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Oil and natural gas properties</w:t>
            </w:r>
          </w:p>
        </w:tc>
        <w:tc>
          <w:tcPr>
            <w:tcW w:w="10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(12,227)</w:t>
            </w:r>
          </w:p>
        </w:tc>
        <w:tc>
          <w:tcPr>
            <w:tcW w:w="200" w:type="dxa"/>
            <w:vAlign w:val="bottom"/>
          </w:tcPr>
          <w:p>
            <w:pPr>
              <w:spacing w:after="0"/>
              <w:rPr>
                <w:sz w:val="17"/>
                <w:szCs w:val="17"/>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(12,227)</w:t>
            </w:r>
          </w:p>
        </w:tc>
        <w:tc>
          <w:tcPr>
            <w:tcW w:w="300" w:type="dxa"/>
            <w:vAlign w:val="bottom"/>
          </w:tcPr>
          <w:p>
            <w:pPr>
              <w:spacing w:after="0"/>
              <w:rPr>
                <w:sz w:val="17"/>
                <w:szCs w:val="17"/>
                <w:color w:val="auto"/>
              </w:rPr>
            </w:pPr>
          </w:p>
        </w:tc>
        <w:tc>
          <w:tcPr>
            <w:tcW w:w="1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(12,227)</w:t>
            </w:r>
          </w:p>
        </w:tc>
        <w:tc>
          <w:tcPr>
            <w:tcW w:w="0" w:type="dxa"/>
            <w:vAlign w:val="bottom"/>
          </w:tcPr>
          <w:p>
            <w:pPr>
              <w:spacing w:after="0"/>
              <w:rPr>
                <w:sz w:val="1"/>
                <w:szCs w:val="1"/>
                <w:color w:val="auto"/>
              </w:rPr>
            </w:pPr>
          </w:p>
        </w:tc>
      </w:tr>
      <w:tr>
        <w:trPr>
          <w:trHeight w:val="203"/>
        </w:trPr>
        <w:tc>
          <w:tcPr>
            <w:tcW w:w="3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Building and land</w:t>
            </w:r>
          </w:p>
        </w:tc>
        <w:tc>
          <w:tcPr>
            <w:tcW w:w="10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(14,617)</w:t>
            </w:r>
          </w:p>
        </w:tc>
        <w:tc>
          <w:tcPr>
            <w:tcW w:w="200" w:type="dxa"/>
            <w:vAlign w:val="bottom"/>
          </w:tcPr>
          <w:p>
            <w:pPr>
              <w:spacing w:after="0"/>
              <w:rPr>
                <w:sz w:val="17"/>
                <w:szCs w:val="17"/>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(14,617)</w:t>
            </w:r>
          </w:p>
        </w:tc>
        <w:tc>
          <w:tcPr>
            <w:tcW w:w="300" w:type="dxa"/>
            <w:vAlign w:val="bottom"/>
          </w:tcPr>
          <w:p>
            <w:pPr>
              <w:spacing w:after="0"/>
              <w:rPr>
                <w:sz w:val="17"/>
                <w:szCs w:val="17"/>
                <w:color w:val="auto"/>
              </w:rPr>
            </w:pPr>
          </w:p>
        </w:tc>
        <w:tc>
          <w:tcPr>
            <w:tcW w:w="1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(14,617)</w:t>
            </w:r>
          </w:p>
        </w:tc>
        <w:tc>
          <w:tcPr>
            <w:tcW w:w="0" w:type="dxa"/>
            <w:vAlign w:val="bottom"/>
          </w:tcPr>
          <w:p>
            <w:pPr>
              <w:spacing w:after="0"/>
              <w:rPr>
                <w:sz w:val="1"/>
                <w:szCs w:val="1"/>
                <w:color w:val="auto"/>
              </w:rPr>
            </w:pPr>
          </w:p>
        </w:tc>
      </w:tr>
      <w:tr>
        <w:trPr>
          <w:trHeight w:val="216"/>
        </w:trPr>
        <w:tc>
          <w:tcPr>
            <w:tcW w:w="3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Equity interests in subsidiaries</w:t>
            </w:r>
          </w:p>
        </w:tc>
        <w:tc>
          <w:tcPr>
            <w:tcW w:w="10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8"/>
                <w:szCs w:val="18"/>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(759)</w:t>
            </w:r>
          </w:p>
        </w:tc>
        <w:tc>
          <w:tcPr>
            <w:tcW w:w="200" w:type="dxa"/>
            <w:vAlign w:val="bottom"/>
          </w:tcPr>
          <w:p>
            <w:pPr>
              <w:spacing w:after="0"/>
              <w:rPr>
                <w:sz w:val="18"/>
                <w:szCs w:val="18"/>
                <w:color w:val="auto"/>
              </w:rPr>
            </w:pPr>
          </w:p>
        </w:tc>
        <w:tc>
          <w:tcPr>
            <w:tcW w:w="13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(759)</w:t>
            </w:r>
          </w:p>
        </w:tc>
        <w:tc>
          <w:tcPr>
            <w:tcW w:w="300" w:type="dxa"/>
            <w:vAlign w:val="bottom"/>
          </w:tcPr>
          <w:p>
            <w:pPr>
              <w:spacing w:after="0"/>
              <w:rPr>
                <w:sz w:val="18"/>
                <w:szCs w:val="18"/>
                <w:color w:val="auto"/>
              </w:rPr>
            </w:pPr>
          </w:p>
        </w:tc>
        <w:tc>
          <w:tcPr>
            <w:tcW w:w="10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155</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Capital contribution - unit based compensation</w:t>
            </w:r>
          </w:p>
        </w:tc>
        <w:tc>
          <w:tcPr>
            <w:tcW w:w="10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8"/>
                <w:szCs w:val="18"/>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1,496</w:t>
            </w:r>
          </w:p>
        </w:tc>
        <w:tc>
          <w:tcPr>
            <w:tcW w:w="200" w:type="dxa"/>
            <w:vAlign w:val="bottom"/>
          </w:tcPr>
          <w:p>
            <w:pPr>
              <w:spacing w:after="0"/>
              <w:rPr>
                <w:sz w:val="18"/>
                <w:szCs w:val="18"/>
                <w:color w:val="auto"/>
              </w:rPr>
            </w:pPr>
          </w:p>
        </w:tc>
        <w:tc>
          <w:tcPr>
            <w:tcW w:w="13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1,496</w:t>
            </w:r>
          </w:p>
        </w:tc>
        <w:tc>
          <w:tcPr>
            <w:tcW w:w="300" w:type="dxa"/>
            <w:vAlign w:val="bottom"/>
          </w:tcPr>
          <w:p>
            <w:pPr>
              <w:spacing w:after="0"/>
              <w:rPr>
                <w:sz w:val="18"/>
                <w:szCs w:val="18"/>
                <w:color w:val="auto"/>
              </w:rPr>
            </w:pPr>
          </w:p>
        </w:tc>
        <w:tc>
          <w:tcPr>
            <w:tcW w:w="1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0" w:type="dxa"/>
            <w:vAlign w:val="bottom"/>
          </w:tcPr>
          <w:p>
            <w:pPr>
              <w:spacing w:after="0"/>
              <w:rPr>
                <w:sz w:val="1"/>
                <w:szCs w:val="1"/>
                <w:color w:val="auto"/>
              </w:rPr>
            </w:pPr>
          </w:p>
        </w:tc>
      </w:tr>
      <w:tr>
        <w:trPr>
          <w:trHeight w:val="23"/>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June 30, 2024</w:t>
            </w: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720" w:type="dxa"/>
            <w:vAlign w:val="bottom"/>
            <w:vMerge w:val="continue"/>
          </w:tcPr>
          <w:p>
            <w:pPr>
              <w:spacing w:after="0"/>
              <w:rPr>
                <w:sz w:val="16"/>
                <w:szCs w:val="16"/>
                <w:color w:val="auto"/>
              </w:rPr>
            </w:pPr>
          </w:p>
        </w:tc>
        <w:tc>
          <w:tcPr>
            <w:tcW w:w="10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100</w:t>
            </w:r>
          </w:p>
        </w:tc>
        <w:tc>
          <w:tcPr>
            <w:tcW w:w="6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3,440,673</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3,440,673</w:t>
            </w:r>
          </w:p>
        </w:tc>
        <w:tc>
          <w:tcPr>
            <w:tcW w:w="3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3,440,673</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4"/>
          <w:szCs w:val="14"/>
          <w:i w:val="1"/>
          <w:iCs w:val="1"/>
          <w:color w:val="auto"/>
        </w:rPr>
        <w:t>See accompanying notes to these condensed consolidated financial statements.</w:t>
      </w:r>
    </w:p>
    <w:p>
      <w:pPr>
        <w:sectPr>
          <w:pgSz w:w="11900" w:h="16838" w:orient="portrait"/>
          <w:cols w:equalWidth="0" w:num="1">
            <w:col w:w="11040"/>
          </w:cols>
          <w:pgMar w:left="340" w:top="103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040"/>
          </w:cols>
          <w:pgMar w:left="340" w:top="1035" w:right="51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4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8"/>
              </w:rPr>
              <w:t>CROWNROCK, L.P.</w:t>
            </w: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00" w:type="dxa"/>
            <w:vAlign w:val="bottom"/>
            <w:gridSpan w:val="3"/>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 OF CASH FLOWS</w:t>
            </w: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4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2024</w:t>
            </w:r>
          </w:p>
        </w:tc>
        <w:tc>
          <w:tcPr>
            <w:tcW w:w="0" w:type="dxa"/>
            <w:vAlign w:val="bottom"/>
          </w:tcPr>
          <w:p>
            <w:pPr>
              <w:spacing w:after="0"/>
              <w:rPr>
                <w:sz w:val="1"/>
                <w:szCs w:val="1"/>
                <w:color w:val="auto"/>
              </w:rPr>
            </w:pPr>
          </w:p>
        </w:tc>
      </w:tr>
      <w:tr>
        <w:trPr>
          <w:trHeight w:val="218"/>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Pr>
          <w:p>
            <w:pPr>
              <w:spacing w:after="0"/>
              <w:rPr>
                <w:sz w:val="18"/>
                <w:szCs w:val="18"/>
                <w:color w:val="auto"/>
              </w:rPr>
            </w:pPr>
          </w:p>
        </w:tc>
        <w:tc>
          <w:tcPr>
            <w:tcW w:w="26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9"/>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616,071</w:t>
            </w:r>
          </w:p>
        </w:tc>
        <w:tc>
          <w:tcPr>
            <w:tcW w:w="0" w:type="dxa"/>
            <w:vAlign w:val="bottom"/>
          </w:tcPr>
          <w:p>
            <w:pPr>
              <w:spacing w:after="0"/>
              <w:rPr>
                <w:sz w:val="1"/>
                <w:szCs w:val="1"/>
                <w:color w:val="auto"/>
              </w:rPr>
            </w:pPr>
          </w:p>
        </w:tc>
      </w:tr>
      <w:tr>
        <w:trPr>
          <w:trHeight w:val="229"/>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w:t>
            </w:r>
          </w:p>
        </w:tc>
        <w:tc>
          <w:tcPr>
            <w:tcW w:w="1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2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324,165</w:t>
            </w:r>
          </w:p>
        </w:tc>
        <w:tc>
          <w:tcPr>
            <w:tcW w:w="0" w:type="dxa"/>
            <w:vAlign w:val="bottom"/>
          </w:tcPr>
          <w:p>
            <w:pPr>
              <w:spacing w:after="0"/>
              <w:rPr>
                <w:sz w:val="1"/>
                <w:szCs w:val="1"/>
                <w:color w:val="auto"/>
              </w:rPr>
            </w:pPr>
          </w:p>
        </w:tc>
      </w:tr>
      <w:tr>
        <w:trPr>
          <w:trHeight w:val="229"/>
        </w:trPr>
        <w:tc>
          <w:tcPr>
            <w:tcW w:w="8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Accretion of discount on asset retirement obligation</w:t>
            </w:r>
          </w:p>
        </w:tc>
        <w:tc>
          <w:tcPr>
            <w:tcW w:w="12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30"/>
        </w:trPr>
        <w:tc>
          <w:tcPr>
            <w:tcW w:w="8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Accretion of discount on long-term debt</w:t>
            </w:r>
          </w:p>
        </w:tc>
        <w:tc>
          <w:tcPr>
            <w:tcW w:w="12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9"/>
        </w:trPr>
        <w:tc>
          <w:tcPr>
            <w:tcW w:w="8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Amortization of deferred loan costs</w:t>
            </w:r>
          </w:p>
        </w:tc>
        <w:tc>
          <w:tcPr>
            <w:tcW w:w="12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0" w:type="dxa"/>
            <w:vAlign w:val="bottom"/>
          </w:tcPr>
          <w:p>
            <w:pPr>
              <w:spacing w:after="0"/>
              <w:rPr>
                <w:sz w:val="1"/>
                <w:szCs w:val="1"/>
                <w:color w:val="auto"/>
              </w:rPr>
            </w:pPr>
          </w:p>
        </w:tc>
      </w:tr>
      <w:tr>
        <w:trPr>
          <w:trHeight w:val="230"/>
        </w:trPr>
        <w:tc>
          <w:tcPr>
            <w:tcW w:w="8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Unit-based compensation expense</w:t>
            </w:r>
          </w:p>
        </w:tc>
        <w:tc>
          <w:tcPr>
            <w:tcW w:w="12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29"/>
        </w:trPr>
        <w:tc>
          <w:tcPr>
            <w:tcW w:w="8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Settlements of asset retirement obligations</w:t>
            </w:r>
          </w:p>
        </w:tc>
        <w:tc>
          <w:tcPr>
            <w:tcW w:w="12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9"/>
        </w:trPr>
        <w:tc>
          <w:tcPr>
            <w:tcW w:w="8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Accounts receivable – related party</w:t>
            </w:r>
          </w:p>
        </w:tc>
        <w:tc>
          <w:tcPr>
            <w:tcW w:w="12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30,525</w:t>
            </w:r>
          </w:p>
        </w:tc>
        <w:tc>
          <w:tcPr>
            <w:tcW w:w="0" w:type="dxa"/>
            <w:vAlign w:val="bottom"/>
          </w:tcPr>
          <w:p>
            <w:pPr>
              <w:spacing w:after="0"/>
              <w:rPr>
                <w:sz w:val="1"/>
                <w:szCs w:val="1"/>
                <w:color w:val="auto"/>
              </w:rPr>
            </w:pPr>
          </w:p>
        </w:tc>
      </w:tr>
      <w:tr>
        <w:trPr>
          <w:trHeight w:val="229"/>
        </w:trPr>
        <w:tc>
          <w:tcPr>
            <w:tcW w:w="85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Prepaid costs and other current assets</w:t>
            </w:r>
          </w:p>
        </w:tc>
        <w:tc>
          <w:tcPr>
            <w:tcW w:w="12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9"/>
        </w:trPr>
        <w:tc>
          <w:tcPr>
            <w:tcW w:w="85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12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85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Other accrued liabilities - related party</w:t>
            </w:r>
          </w:p>
        </w:tc>
        <w:tc>
          <w:tcPr>
            <w:tcW w:w="12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0" w:type="dxa"/>
            <w:vAlign w:val="bottom"/>
          </w:tcPr>
          <w:p>
            <w:pPr>
              <w:spacing w:after="0"/>
              <w:rPr>
                <w:sz w:val="1"/>
                <w:szCs w:val="1"/>
                <w:color w:val="auto"/>
              </w:rPr>
            </w:pPr>
          </w:p>
        </w:tc>
      </w:tr>
      <w:tr>
        <w:trPr>
          <w:trHeight w:val="234"/>
        </w:trPr>
        <w:tc>
          <w:tcPr>
            <w:tcW w:w="85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3"/>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1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979,311</w:t>
            </w:r>
          </w:p>
        </w:tc>
        <w:tc>
          <w:tcPr>
            <w:tcW w:w="0" w:type="dxa"/>
            <w:vAlign w:val="bottom"/>
          </w:tcPr>
          <w:p>
            <w:pPr>
              <w:spacing w:after="0"/>
              <w:rPr>
                <w:sz w:val="1"/>
                <w:szCs w:val="1"/>
                <w:color w:val="auto"/>
              </w:rPr>
            </w:pPr>
          </w:p>
        </w:tc>
      </w:tr>
      <w:tr>
        <w:trPr>
          <w:trHeight w:val="205"/>
        </w:trPr>
        <w:tc>
          <w:tcPr>
            <w:tcW w:w="850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Acquisition of leasehold and oil and natural gas properties</w:t>
            </w:r>
          </w:p>
        </w:tc>
        <w:tc>
          <w:tcPr>
            <w:tcW w:w="12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29"/>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expenditures on oil and natural gas properties</w:t>
            </w:r>
          </w:p>
        </w:tc>
        <w:tc>
          <w:tcPr>
            <w:tcW w:w="12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(478,914)</w:t>
            </w:r>
          </w:p>
        </w:tc>
        <w:tc>
          <w:tcPr>
            <w:tcW w:w="0" w:type="dxa"/>
            <w:vAlign w:val="bottom"/>
          </w:tcPr>
          <w:p>
            <w:pPr>
              <w:spacing w:after="0"/>
              <w:rPr>
                <w:sz w:val="1"/>
                <w:szCs w:val="1"/>
                <w:color w:val="auto"/>
              </w:rPr>
            </w:pPr>
          </w:p>
        </w:tc>
      </w:tr>
      <w:tr>
        <w:trPr>
          <w:trHeight w:val="234"/>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 to other property and equipment</w:t>
            </w: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0" w:type="dxa"/>
            <w:vAlign w:val="bottom"/>
          </w:tcPr>
          <w:p>
            <w:pPr>
              <w:spacing w:after="0"/>
              <w:rPr>
                <w:sz w:val="1"/>
                <w:szCs w:val="1"/>
                <w:color w:val="auto"/>
              </w:rPr>
            </w:pPr>
          </w:p>
        </w:tc>
      </w:tr>
      <w:tr>
        <w:trPr>
          <w:trHeight w:val="223"/>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1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(488,827)</w:t>
            </w:r>
          </w:p>
        </w:tc>
        <w:tc>
          <w:tcPr>
            <w:tcW w:w="0" w:type="dxa"/>
            <w:vAlign w:val="bottom"/>
          </w:tcPr>
          <w:p>
            <w:pPr>
              <w:spacing w:after="0"/>
              <w:rPr>
                <w:sz w:val="1"/>
                <w:szCs w:val="1"/>
                <w:color w:val="auto"/>
              </w:rPr>
            </w:pPr>
          </w:p>
        </w:tc>
      </w:tr>
      <w:tr>
        <w:trPr>
          <w:trHeight w:val="205"/>
        </w:trPr>
        <w:tc>
          <w:tcPr>
            <w:tcW w:w="850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Distributions of cash to limited partner</w:t>
            </w:r>
          </w:p>
        </w:tc>
        <w:tc>
          <w:tcPr>
            <w:tcW w:w="12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(202,871)</w:t>
            </w:r>
          </w:p>
        </w:tc>
        <w:tc>
          <w:tcPr>
            <w:tcW w:w="0" w:type="dxa"/>
            <w:vAlign w:val="bottom"/>
          </w:tcPr>
          <w:p>
            <w:pPr>
              <w:spacing w:after="0"/>
              <w:rPr>
                <w:sz w:val="1"/>
                <w:szCs w:val="1"/>
                <w:color w:val="auto"/>
              </w:rPr>
            </w:pPr>
          </w:p>
        </w:tc>
      </w:tr>
      <w:tr>
        <w:trPr>
          <w:trHeight w:val="230"/>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Distributions of cash of subsidiaries to limited partner</w:t>
            </w:r>
          </w:p>
        </w:tc>
        <w:tc>
          <w:tcPr>
            <w:tcW w:w="12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34"/>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Repayments of long-term borrowings under construction loan</w:t>
            </w: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23"/>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1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(204,214)</w:t>
            </w:r>
          </w:p>
        </w:tc>
        <w:tc>
          <w:tcPr>
            <w:tcW w:w="0" w:type="dxa"/>
            <w:vAlign w:val="bottom"/>
          </w:tcPr>
          <w:p>
            <w:pPr>
              <w:spacing w:after="0"/>
              <w:rPr>
                <w:sz w:val="1"/>
                <w:szCs w:val="1"/>
                <w:color w:val="auto"/>
              </w:rPr>
            </w:pPr>
          </w:p>
        </w:tc>
      </w:tr>
      <w:tr>
        <w:trPr>
          <w:trHeight w:val="218"/>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286,270</w:t>
            </w:r>
          </w:p>
        </w:tc>
        <w:tc>
          <w:tcPr>
            <w:tcW w:w="0" w:type="dxa"/>
            <w:vAlign w:val="bottom"/>
          </w:tcPr>
          <w:p>
            <w:pPr>
              <w:spacing w:after="0"/>
              <w:rPr>
                <w:sz w:val="1"/>
                <w:szCs w:val="1"/>
                <w:color w:val="auto"/>
              </w:rPr>
            </w:pPr>
          </w:p>
        </w:tc>
      </w:tr>
      <w:tr>
        <w:trPr>
          <w:trHeight w:val="234"/>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144,794</w:t>
            </w:r>
          </w:p>
        </w:tc>
        <w:tc>
          <w:tcPr>
            <w:tcW w:w="0" w:type="dxa"/>
            <w:vAlign w:val="bottom"/>
          </w:tcPr>
          <w:p>
            <w:pPr>
              <w:spacing w:after="0"/>
              <w:rPr>
                <w:sz w:val="1"/>
                <w:szCs w:val="1"/>
                <w:color w:val="auto"/>
              </w:rPr>
            </w:pPr>
          </w:p>
        </w:tc>
      </w:tr>
      <w:tr>
        <w:trPr>
          <w:trHeight w:val="223"/>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431,064</w:t>
            </w: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Supplemental disclosure of cash flow information:</w:t>
            </w:r>
          </w:p>
        </w:tc>
        <w:tc>
          <w:tcPr>
            <w:tcW w:w="46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3"/>
        </w:trPr>
        <w:tc>
          <w:tcPr>
            <w:tcW w:w="3860" w:type="dxa"/>
            <w:vAlign w:val="bottom"/>
            <w:tcBorders>
              <w:bottom w:val="single" w:sz="8" w:color="auto"/>
            </w:tcBorders>
            <w:gridSpan w:val="2"/>
            <w:vMerge w:val="continue"/>
          </w:tcPr>
          <w:p>
            <w:pPr>
              <w:spacing w:after="0"/>
              <w:rPr>
                <w:sz w:val="24"/>
                <w:szCs w:val="24"/>
                <w:color w:val="auto"/>
              </w:rPr>
            </w:pPr>
          </w:p>
        </w:tc>
        <w:tc>
          <w:tcPr>
            <w:tcW w:w="4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20" w:type="dxa"/>
            <w:vAlign w:val="bottom"/>
          </w:tcPr>
          <w:p>
            <w:pPr>
              <w:spacing w:after="0"/>
              <w:rPr>
                <w:sz w:val="20"/>
                <w:szCs w:val="20"/>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36,388</w:t>
            </w:r>
          </w:p>
        </w:tc>
        <w:tc>
          <w:tcPr>
            <w:tcW w:w="0" w:type="dxa"/>
            <w:vAlign w:val="bottom"/>
          </w:tcPr>
          <w:p>
            <w:pPr>
              <w:spacing w:after="0"/>
              <w:rPr>
                <w:sz w:val="1"/>
                <w:szCs w:val="1"/>
                <w:color w:val="auto"/>
              </w:rPr>
            </w:pPr>
          </w:p>
        </w:tc>
      </w:tr>
      <w:tr>
        <w:trPr>
          <w:trHeight w:val="198"/>
        </w:trPr>
        <w:tc>
          <w:tcPr>
            <w:tcW w:w="85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000000"/>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 in accrued capital expenditures in accrued drilling cost</w:t>
            </w:r>
          </w:p>
        </w:tc>
        <w:tc>
          <w:tcPr>
            <w:tcW w:w="1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and accrued liabilities</w:t>
            </w:r>
          </w:p>
        </w:tc>
        <w:tc>
          <w:tcPr>
            <w:tcW w:w="12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0" w:type="dxa"/>
            <w:vAlign w:val="bottom"/>
          </w:tcPr>
          <w:p>
            <w:pPr>
              <w:spacing w:after="0"/>
              <w:rPr>
                <w:sz w:val="1"/>
                <w:szCs w:val="1"/>
                <w:color w:val="auto"/>
              </w:rPr>
            </w:pPr>
          </w:p>
        </w:tc>
      </w:tr>
      <w:tr>
        <w:trPr>
          <w:trHeight w:val="229"/>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 to asset retirement obligation</w:t>
            </w:r>
          </w:p>
        </w:tc>
        <w:tc>
          <w:tcPr>
            <w:tcW w:w="12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230"/>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 retirement obligation associated with properties exchanged or sold</w:t>
            </w:r>
          </w:p>
        </w:tc>
        <w:tc>
          <w:tcPr>
            <w:tcW w:w="12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30"/>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 retirement obligation associated with properties distributed to limited partner</w:t>
            </w:r>
          </w:p>
        </w:tc>
        <w:tc>
          <w:tcPr>
            <w:tcW w:w="12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30"/>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Distribution of oil and natural gas properties to limited partner</w:t>
            </w:r>
          </w:p>
        </w:tc>
        <w:tc>
          <w:tcPr>
            <w:tcW w:w="12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12,961</w:t>
            </w:r>
          </w:p>
        </w:tc>
        <w:tc>
          <w:tcPr>
            <w:tcW w:w="0" w:type="dxa"/>
            <w:vAlign w:val="bottom"/>
          </w:tcPr>
          <w:p>
            <w:pPr>
              <w:spacing w:after="0"/>
              <w:rPr>
                <w:sz w:val="1"/>
                <w:szCs w:val="1"/>
                <w:color w:val="auto"/>
              </w:rPr>
            </w:pPr>
          </w:p>
        </w:tc>
      </w:tr>
      <w:tr>
        <w:trPr>
          <w:trHeight w:val="229"/>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Distribution of building and land to limited partner</w:t>
            </w:r>
          </w:p>
        </w:tc>
        <w:tc>
          <w:tcPr>
            <w:tcW w:w="12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14,617</w:t>
            </w:r>
          </w:p>
        </w:tc>
        <w:tc>
          <w:tcPr>
            <w:tcW w:w="0" w:type="dxa"/>
            <w:vAlign w:val="bottom"/>
          </w:tcPr>
          <w:p>
            <w:pPr>
              <w:spacing w:after="0"/>
              <w:rPr>
                <w:sz w:val="1"/>
                <w:szCs w:val="1"/>
                <w:color w:val="auto"/>
              </w:rPr>
            </w:pPr>
          </w:p>
        </w:tc>
      </w:tr>
      <w:tr>
        <w:trPr>
          <w:trHeight w:val="234"/>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Distribution of equity interests in subsidiaries to limited partner</w:t>
            </w:r>
          </w:p>
        </w:tc>
        <w:tc>
          <w:tcPr>
            <w:tcW w:w="120" w:type="dxa"/>
            <w:vAlign w:val="bottom"/>
          </w:tcPr>
          <w:p>
            <w:pPr>
              <w:spacing w:after="0"/>
              <w:rPr>
                <w:sz w:val="20"/>
                <w:szCs w:val="20"/>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i w:val="1"/>
          <w:iCs w:val="1"/>
          <w:color w:val="auto"/>
        </w:rPr>
        <w:t>See accompanying notes to these condensed consolidated financial statements.</w:t>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40" w:top="1031" w:right="339" w:bottom="1440" w:gutter="0" w:footer="0" w:header="0"/>
        </w:sectPr>
      </w:pPr>
    </w:p>
    <w:bookmarkStart w:id="12" w:name="page13"/>
    <w:bookmarkEnd w:id="12"/>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CROWNROCK, L.P.</w:t>
      </w:r>
    </w:p>
    <w:p>
      <w:pPr>
        <w:spacing w:after="0" w:line="1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p>
      <w:pPr>
        <w:ind w:left="347" w:hanging="347"/>
        <w:spacing w:after="0"/>
        <w:tabs>
          <w:tab w:leader="none" w:pos="347"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229" w:lineRule="exact"/>
        <w:rPr>
          <w:sz w:val="20"/>
          <w:szCs w:val="20"/>
          <w:color w:val="auto"/>
        </w:rPr>
      </w:pPr>
    </w:p>
    <w:p>
      <w:pPr>
        <w:jc w:val="both"/>
        <w:ind w:left="647" w:firstLine="324"/>
        <w:spacing w:after="0" w:line="246" w:lineRule="auto"/>
        <w:rPr>
          <w:sz w:val="20"/>
          <w:szCs w:val="20"/>
          <w:color w:val="auto"/>
        </w:rPr>
      </w:pPr>
      <w:r>
        <w:rPr>
          <w:rFonts w:ascii="Times New Roman" w:cs="Times New Roman" w:eastAsia="Times New Roman" w:hAnsi="Times New Roman"/>
          <w:sz w:val="18"/>
          <w:szCs w:val="18"/>
          <w:color w:val="auto"/>
        </w:rPr>
        <w:t>CrownRock, L.P. (the “Partnership,” “we,” “us,” and “our”) is a Delaware limited partnership formed on February 14, 2007 by affiliates of CrownQuest Operating, LLC (“CrownQuest”), an independent oil and natural gas producer which is a wholly-owned subsidiary of one of the members of the Partnership’s ultimate general partner, CrownRock Holdings GP, LLC (“Holdings GP”), and Lime Rock Partners, a private equity firm focused on the oil and natural gas industry (“Lime Rock”). The Partnership’s principal business is the acquisition, development, exploration and production of oil and natural gas properties primarily located in the Permian Basin of West Texas.</w:t>
      </w:r>
    </w:p>
    <w:p>
      <w:pPr>
        <w:spacing w:after="0" w:line="181" w:lineRule="exact"/>
        <w:rPr>
          <w:sz w:val="20"/>
          <w:szCs w:val="20"/>
          <w:color w:val="auto"/>
        </w:rPr>
      </w:pPr>
    </w:p>
    <w:p>
      <w:pPr>
        <w:jc w:val="both"/>
        <w:ind w:left="647" w:firstLine="324"/>
        <w:spacing w:after="0" w:line="244" w:lineRule="auto"/>
        <w:rPr>
          <w:sz w:val="20"/>
          <w:szCs w:val="20"/>
          <w:color w:val="auto"/>
        </w:rPr>
      </w:pPr>
      <w:r>
        <w:rPr>
          <w:rFonts w:ascii="Times New Roman" w:cs="Times New Roman" w:eastAsia="Times New Roman" w:hAnsi="Times New Roman"/>
          <w:sz w:val="18"/>
          <w:szCs w:val="18"/>
          <w:color w:val="auto"/>
        </w:rPr>
        <w:t>On December 21, 2017, affiliates of CrownQuest’s management team and Lime Rock formed CrownRock Holdings, L.P., a Delaware limited partnership (“Holdings”). Effective January 1, 2018, the Partnership merged with a subsidiary of Holdings, and, as a result, Holdings is the sole limited partner of the Partnership and sole owner of the Partnership’s general partner, CrownRock GP, LLC (“CrownRock GP”). The Partnership admitted Holdings as its sole limited partner by issuing 100 new limited partnership units and cancelling all its other limited partner interests comprised of Class A, B, C, D and E limited partnership units. Holdings issued equivalent units of equivalent classes to the former limited partners of the Partnership.</w:t>
      </w:r>
    </w:p>
    <w:p>
      <w:pPr>
        <w:spacing w:after="0" w:line="182" w:lineRule="exact"/>
        <w:rPr>
          <w:sz w:val="20"/>
          <w:szCs w:val="20"/>
          <w:color w:val="auto"/>
        </w:rPr>
      </w:pPr>
    </w:p>
    <w:p>
      <w:pPr>
        <w:jc w:val="both"/>
        <w:ind w:left="647" w:firstLine="324"/>
        <w:spacing w:after="0" w:line="250" w:lineRule="auto"/>
        <w:rPr>
          <w:sz w:val="20"/>
          <w:szCs w:val="20"/>
          <w:color w:val="auto"/>
        </w:rPr>
      </w:pPr>
      <w:r>
        <w:rPr>
          <w:rFonts w:ascii="Times New Roman" w:cs="Times New Roman" w:eastAsia="Times New Roman" w:hAnsi="Times New Roman"/>
          <w:sz w:val="18"/>
          <w:szCs w:val="18"/>
          <w:color w:val="auto"/>
        </w:rPr>
        <w:t>On December 10, 2023, Holdings and CrownRock GP entered into a Partnership Interest Purchase Agreement (the “PIPA”), as amended, to sell their limited partner interests and general partner interests in the Partnership, respectively, to subsidiaries of Occidental Petroleum Corporation, a Delaware Corporation (“Occidental”), for total consideration of approximately $12.0 billion including the assumption of the Partnership’s existing debt (the “Partnership Sale Transaction”). This transaction closed on August 1, 2024. See Note M – Subsequent Events.</w:t>
      </w:r>
    </w:p>
    <w:p>
      <w:pPr>
        <w:spacing w:after="0" w:line="214" w:lineRule="exact"/>
        <w:rPr>
          <w:sz w:val="20"/>
          <w:szCs w:val="20"/>
          <w:color w:val="auto"/>
        </w:rPr>
      </w:pPr>
    </w:p>
    <w:p>
      <w:pPr>
        <w:ind w:left="7"/>
        <w:spacing w:after="0"/>
        <w:tabs>
          <w:tab w:leader="none" w:pos="327"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12" w:lineRule="exact"/>
        <w:rPr>
          <w:sz w:val="20"/>
          <w:szCs w:val="20"/>
          <w:color w:val="auto"/>
        </w:rPr>
      </w:pPr>
    </w:p>
    <w:p>
      <w:pPr>
        <w:jc w:val="both"/>
        <w:ind w:left="647" w:firstLine="324"/>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Organization and principles of consolidation. </w:t>
      </w:r>
      <w:r>
        <w:rPr>
          <w:rFonts w:ascii="Times New Roman" w:cs="Times New Roman" w:eastAsia="Times New Roman" w:hAnsi="Times New Roman"/>
          <w:sz w:val="18"/>
          <w:szCs w:val="18"/>
          <w:color w:val="auto"/>
        </w:rPr>
        <w:t>On July 7, 2011, CrownRock Finance, Inc. (“CrownRock Finance”), a Delaware 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wholly-owned subsidiary of the Partnership, was organized for the sole purpose of serving as co-issuer of senior notes and it is currently a co-issuer of $868 million outstanding aggregate principal amount of 5.625% senior unsecured notes due 2025 (the “2025 Senior Notes”) and $376 million outstanding aggregate principal amount of 5.000% senior unsecured notes due 2029 issued at par (the “2029 Senior Notes” and, together with the 2025 Senior Notes, the “Senior Notes”). CrownRock Finance currently has, and will have, no operations, assets or liabilities other than with respect to the Partnership’s revolving credit facility, as amended (the “Credit Facility”), the Senior Notes or other debt securities the Partnership may issue in the future. See Note L – Long-term Debt.</w:t>
      </w:r>
    </w:p>
    <w:p>
      <w:pPr>
        <w:spacing w:after="0" w:line="166" w:lineRule="exact"/>
        <w:rPr>
          <w:sz w:val="20"/>
          <w:szCs w:val="20"/>
          <w:color w:val="auto"/>
        </w:rPr>
      </w:pPr>
    </w:p>
    <w:p>
      <w:pPr>
        <w:jc w:val="both"/>
        <w:ind w:left="647" w:firstLine="324"/>
        <w:spacing w:after="0" w:line="258" w:lineRule="auto"/>
        <w:rPr>
          <w:sz w:val="20"/>
          <w:szCs w:val="20"/>
          <w:color w:val="auto"/>
        </w:rPr>
      </w:pPr>
      <w:r>
        <w:rPr>
          <w:rFonts w:ascii="Times New Roman" w:cs="Times New Roman" w:eastAsia="Times New Roman" w:hAnsi="Times New Roman"/>
          <w:sz w:val="18"/>
          <w:szCs w:val="18"/>
          <w:color w:val="auto"/>
        </w:rPr>
        <w:t>On February 28, 2014, Canvasback Properties, LLC (“Canvasback”), a Texas corporation and wholly-owned subsidiary of the Partnership, was organized for the purpose of constructing, owning and managing an office building in Midland, Texas, which is the Partnership’s headquarters, and two field operations offices in Martin County, Texas.</w:t>
      </w:r>
    </w:p>
    <w:p>
      <w:pPr>
        <w:spacing w:after="0" w:line="169" w:lineRule="exact"/>
        <w:rPr>
          <w:sz w:val="20"/>
          <w:szCs w:val="20"/>
          <w:color w:val="auto"/>
        </w:rPr>
      </w:pPr>
    </w:p>
    <w:p>
      <w:pPr>
        <w:jc w:val="both"/>
        <w:ind w:left="647" w:firstLine="324"/>
        <w:spacing w:after="0" w:line="246" w:lineRule="auto"/>
        <w:rPr>
          <w:sz w:val="20"/>
          <w:szCs w:val="20"/>
          <w:color w:val="auto"/>
        </w:rPr>
      </w:pPr>
      <w:r>
        <w:rPr>
          <w:rFonts w:ascii="Times New Roman" w:cs="Times New Roman" w:eastAsia="Times New Roman" w:hAnsi="Times New Roman"/>
          <w:sz w:val="18"/>
          <w:szCs w:val="18"/>
          <w:color w:val="auto"/>
        </w:rPr>
        <w:t>On November 15, 2019, CR Royalties Management, LLC (“CR Management”), a Delaware limited liability company, and CR Royalties, L.P. (“CR Royalties”), a Delaware limited partnership, were organized for the purpose of owning oil and gas mineral interests and overriding royalty interests contributed by the Partnership. CR Management is a wholly-owned subsidiary of the Partnership. The Partnership owns 99% of CR Royalties and CR Management owns the remaining 1% of CR Royalties. The Partnership contributed the specified assets effective on January 1, 2020.</w:t>
      </w:r>
    </w:p>
    <w:p>
      <w:pPr>
        <w:spacing w:after="0" w:line="177" w:lineRule="exact"/>
        <w:rPr>
          <w:sz w:val="20"/>
          <w:szCs w:val="20"/>
          <w:color w:val="auto"/>
        </w:rPr>
      </w:pPr>
    </w:p>
    <w:p>
      <w:pPr>
        <w:ind w:left="967"/>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Entity restructurings and asset conveyances. </w:t>
      </w:r>
      <w:r>
        <w:rPr>
          <w:rFonts w:ascii="Times New Roman" w:cs="Times New Roman" w:eastAsia="Times New Roman" w:hAnsi="Times New Roman"/>
          <w:sz w:val="18"/>
          <w:szCs w:val="18"/>
          <w:color w:val="auto"/>
        </w:rPr>
        <w:t>The Partnership conducted several transactions effective January 31, 2024 to distribute certain</w:t>
      </w:r>
    </w:p>
    <w:p>
      <w:pPr>
        <w:spacing w:after="0" w:line="20" w:lineRule="exact"/>
        <w:rPr>
          <w:sz w:val="20"/>
          <w:szCs w:val="20"/>
          <w:color w:val="auto"/>
        </w:rPr>
      </w:pPr>
    </w:p>
    <w:p>
      <w:pPr>
        <w:ind w:left="647"/>
        <w:spacing w:after="0"/>
        <w:rPr>
          <w:sz w:val="20"/>
          <w:szCs w:val="20"/>
          <w:color w:val="auto"/>
        </w:rPr>
      </w:pPr>
      <w:r>
        <w:rPr>
          <w:rFonts w:ascii="Times New Roman" w:cs="Times New Roman" w:eastAsia="Times New Roman" w:hAnsi="Times New Roman"/>
          <w:sz w:val="18"/>
          <w:szCs w:val="18"/>
          <w:color w:val="auto"/>
        </w:rPr>
        <w:t>Partnership assets to newly formed entities which are wholly owned by Holdings. These include:</w:t>
      </w:r>
    </w:p>
    <w:p>
      <w:pPr>
        <w:spacing w:after="0" w:line="7" w:lineRule="exact"/>
        <w:rPr>
          <w:sz w:val="20"/>
          <w:szCs w:val="20"/>
          <w:color w:val="auto"/>
        </w:rPr>
      </w:pPr>
    </w:p>
    <w:p>
      <w:pPr>
        <w:ind w:left="1627" w:right="20" w:hanging="331"/>
        <w:spacing w:after="0" w:line="250" w:lineRule="auto"/>
        <w:tabs>
          <w:tab w:leader="none" w:pos="16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distributed its Eastern Shelf properties in Mitchell County, Texas and associated obligations to Eastern Shelf Holdco, LLC (“Eastern Shelf”), a wholly-owned subsidiary of Holdings; and</w:t>
      </w:r>
    </w:p>
    <w:p>
      <w:pPr>
        <w:ind w:left="1627" w:hanging="331"/>
        <w:spacing w:after="0" w:line="245" w:lineRule="auto"/>
        <w:tabs>
          <w:tab w:leader="none" w:pos="16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Canvasback distributed the office building and land in Midland, Texas, which is the Partnership’s headquarters, to 18 Desta Holdco, LLC (“18 Desta”), a wholly-owned subsidiary of Holdings.</w:t>
      </w:r>
    </w:p>
    <w:p>
      <w:pPr>
        <w:spacing w:after="0" w:line="200" w:lineRule="exact"/>
        <w:rPr>
          <w:sz w:val="20"/>
          <w:szCs w:val="20"/>
          <w:color w:val="auto"/>
        </w:rPr>
      </w:pPr>
    </w:p>
    <w:p>
      <w:pPr>
        <w:spacing w:after="0" w:line="38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7"/>
          </w:cols>
          <w:pgMar w:left="393" w:top="1035" w:right="399" w:bottom="1440" w:gutter="0" w:footer="0" w:header="0"/>
        </w:sectPr>
      </w:pPr>
    </w:p>
    <w:bookmarkStart w:id="13" w:name="page14"/>
    <w:bookmarkEnd w:id="13"/>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tab/>
        <w:t>Summary of Significant Accounting Policies (Continued)</w:t>
      </w:r>
    </w:p>
    <w:p>
      <w:pPr>
        <w:spacing w:after="0" w:line="2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Additionally, the Partnership conducted the following:</w:t>
      </w:r>
    </w:p>
    <w:p>
      <w:pPr>
        <w:spacing w:after="0" w:line="27" w:lineRule="exact"/>
        <w:rPr>
          <w:sz w:val="20"/>
          <w:szCs w:val="20"/>
          <w:color w:val="auto"/>
        </w:rPr>
      </w:pPr>
    </w:p>
    <w:p>
      <w:pPr>
        <w:ind w:left="1600" w:hanging="311"/>
        <w:spacing w:after="0"/>
        <w:tabs>
          <w:tab w:leader="none" w:pos="1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distributed all its interest in Roddy Production Company, LLC (“Roddy”) to Holdings;</w:t>
      </w:r>
    </w:p>
    <w:p>
      <w:pPr>
        <w:spacing w:after="0" w:line="9" w:lineRule="exact"/>
        <w:rPr>
          <w:rFonts w:ascii="Times New Roman" w:cs="Times New Roman" w:eastAsia="Times New Roman" w:hAnsi="Times New Roman"/>
          <w:sz w:val="18"/>
          <w:szCs w:val="18"/>
          <w:color w:val="auto"/>
        </w:rPr>
      </w:pPr>
    </w:p>
    <w:p>
      <w:pPr>
        <w:ind w:left="1620" w:hanging="331"/>
        <w:spacing w:after="0" w:line="250" w:lineRule="auto"/>
        <w:tabs>
          <w:tab w:leader="none" w:pos="1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distributed all its interest in Abajo Gas Transmission Company, LLC (“Abajo”) to Holdings. Also, the Partnership resigned as manager of Abajo and assigned such role to Holdings; and</w:t>
      </w:r>
    </w:p>
    <w:p>
      <w:pPr>
        <w:ind w:left="1620" w:hanging="331"/>
        <w:spacing w:after="0" w:line="260" w:lineRule="auto"/>
        <w:tabs>
          <w:tab w:leader="none" w:pos="1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conveyed its ownership in remaining Lea County, New Mexico and San Juan County, Utah assets and associated obligations to Holdings.</w:t>
      </w:r>
    </w:p>
    <w:p>
      <w:pPr>
        <w:spacing w:after="0" w:line="15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Additionally, as a result of these restructuring transactions, the following changes were made relative to existing debt agreements as follows:</w:t>
      </w:r>
    </w:p>
    <w:p>
      <w:pPr>
        <w:spacing w:after="0" w:line="39" w:lineRule="exact"/>
        <w:rPr>
          <w:sz w:val="20"/>
          <w:szCs w:val="20"/>
          <w:color w:val="auto"/>
        </w:rPr>
      </w:pPr>
    </w:p>
    <w:p>
      <w:pPr>
        <w:ind w:left="1600" w:hanging="311"/>
        <w:spacing w:after="0"/>
        <w:tabs>
          <w:tab w:leader="none" w:pos="1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Roddy was released in its capacity as guarantor of the Credit Facility; and</w:t>
      </w:r>
    </w:p>
    <w:p>
      <w:pPr>
        <w:spacing w:after="0" w:line="9" w:lineRule="exact"/>
        <w:rPr>
          <w:rFonts w:ascii="Times New Roman" w:cs="Times New Roman" w:eastAsia="Times New Roman" w:hAnsi="Times New Roman"/>
          <w:sz w:val="18"/>
          <w:szCs w:val="18"/>
          <w:color w:val="auto"/>
        </w:rPr>
      </w:pPr>
    </w:p>
    <w:p>
      <w:pPr>
        <w:jc w:val="both"/>
        <w:ind w:left="1620" w:hanging="331"/>
        <w:spacing w:after="0" w:line="247" w:lineRule="auto"/>
        <w:tabs>
          <w:tab w:leader="none" w:pos="1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Roddy, Eastern Shelf and 18 Desta were designated as unrestricted subsidiaries under the indenture governing the 2025 Senior Notes and the indenture governing the 2029 Senior Notes. This resulted in Roddy being released as a guarantor on the 2025 Senior Notes and the 2029 Senior Notes.</w:t>
      </w:r>
    </w:p>
    <w:p>
      <w:pPr>
        <w:spacing w:after="0" w:line="18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distributions were accounted for as transactions between entities under common control; thus, were accounted for at the net book value.</w:t>
      </w:r>
    </w:p>
    <w:p>
      <w:pPr>
        <w:spacing w:after="0" w:line="212" w:lineRule="exact"/>
        <w:rPr>
          <w:sz w:val="20"/>
          <w:szCs w:val="20"/>
          <w:color w:val="auto"/>
        </w:rPr>
      </w:pPr>
    </w:p>
    <w:p>
      <w:pPr>
        <w:jc w:val="both"/>
        <w:ind w:left="640" w:right="20" w:firstLine="324"/>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Partnership and its majority-owned subsidiaries. All intercompany accounts and transactions have been eliminated in consolidation.</w:t>
      </w:r>
    </w:p>
    <w:p>
      <w:pPr>
        <w:spacing w:after="0" w:line="145" w:lineRule="exact"/>
        <w:rPr>
          <w:sz w:val="20"/>
          <w:szCs w:val="20"/>
          <w:color w:val="auto"/>
        </w:rPr>
      </w:pPr>
    </w:p>
    <w:p>
      <w:pPr>
        <w:jc w:val="both"/>
        <w:ind w:left="640" w:firstLine="324"/>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Interim financial statements. </w:t>
      </w:r>
      <w:r>
        <w:rPr>
          <w:rFonts w:ascii="Times New Roman" w:cs="Times New Roman" w:eastAsia="Times New Roman" w:hAnsi="Times New Roman"/>
          <w:sz w:val="18"/>
          <w:szCs w:val="18"/>
          <w:color w:val="auto"/>
        </w:rPr>
        <w:t>These condensed consolidated financial statements as of June 30, 2024 and for the six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are unaudited. In the opinion of management, such financial statements include the adjustments and accruals, all of which are of a normal recurring nature, which are necessary for a fair presentation of the results for the interim periods. These interim results are not necessarily indicative of results for a full year. Certain information and footnote disclosures normally included in financial statements prepared in accordance with accounting principles generally accepted in the United States of America have been condensed or omitted. These unaudited condensed consolidated financial statements should be read in conjunction with the Partnership’s annual financial statements for the year ended December 31, 2023.</w:t>
      </w:r>
    </w:p>
    <w:p>
      <w:pPr>
        <w:spacing w:after="0" w:line="175" w:lineRule="exact"/>
        <w:rPr>
          <w:sz w:val="20"/>
          <w:szCs w:val="20"/>
          <w:color w:val="auto"/>
        </w:rPr>
      </w:pPr>
    </w:p>
    <w:p>
      <w:pPr>
        <w:jc w:val="both"/>
        <w:ind w:left="640" w:firstLine="324"/>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The Partnership considers all highly liquid instruments with original maturities of three months or less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equivalents.</w:t>
      </w:r>
    </w:p>
    <w:p>
      <w:pPr>
        <w:spacing w:after="0" w:line="15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 related party and allowance for credit losses. </w:t>
      </w:r>
      <w:r>
        <w:rPr>
          <w:rFonts w:ascii="Times New Roman" w:cs="Times New Roman" w:eastAsia="Times New Roman" w:hAnsi="Times New Roman"/>
          <w:sz w:val="18"/>
          <w:szCs w:val="18"/>
          <w:color w:val="auto"/>
        </w:rPr>
        <w:t>CrownQuest operates 99% of the Partnership’s total wells and markets</w:t>
      </w:r>
    </w:p>
    <w:p>
      <w:pPr>
        <w:spacing w:after="0" w:line="31" w:lineRule="exact"/>
        <w:rPr>
          <w:sz w:val="20"/>
          <w:szCs w:val="20"/>
          <w:color w:val="auto"/>
        </w:rPr>
      </w:pPr>
    </w:p>
    <w:p>
      <w:pPr>
        <w:jc w:val="both"/>
        <w:ind w:left="640"/>
        <w:spacing w:after="0"/>
        <w:rPr>
          <w:sz w:val="20"/>
          <w:szCs w:val="20"/>
          <w:color w:val="auto"/>
        </w:rPr>
      </w:pPr>
      <w:r>
        <w:rPr>
          <w:rFonts w:ascii="Times New Roman" w:cs="Times New Roman" w:eastAsia="Times New Roman" w:hAnsi="Times New Roman"/>
          <w:sz w:val="18"/>
          <w:szCs w:val="18"/>
          <w:color w:val="auto"/>
        </w:rPr>
        <w:t>most of the Partnership’s oil and natural gas to various customers. In conjunction, CrownQuest has oil and natural gas sales receivables and joint interest receivables from third-party working interest owners. Oil and natural gas sales receivables are generally unsecured. CrownQuest monitors exposure to these customers primarily by reviewing credit ratings, financial statements and payment history. CrownQuest extends credit terms based on their evaluation of each customer’s creditworthiness. Receivables are considered past due if full payment is not received by the contractual due date. CrownQuest and the Partnership estimate uncollectible amounts based on the length of time that the accounts receivable has been outstanding, historical collection experience and current and future economic and market conditions, if failure to collect is expected to occur. CrownQuest records allowances for credit losses as reductions to the carrying values of the accounts receivables included in its financial statements if failure to collect an estimable portion is determined to be probable. The Partnership’s allowance for credit losses related to oil and natural gas sales receivables at June 30, 2024 is zero. CrownQuest bills the Partnership for such allowances related to joint interest receivables which are included in management fees and recorded by the Partnership in general and administrative costs in the condensed consolidated statements of income and comprehensive income. CrownQuest had an allowance for joint interest receivable credit losses of $766 thousand at June 30, 2024. The Partnership does not have any off balance sheet credit exposure related to its customers.</w:t>
      </w:r>
    </w:p>
    <w:p>
      <w:pPr>
        <w:spacing w:after="0" w:line="180" w:lineRule="exact"/>
        <w:rPr>
          <w:sz w:val="20"/>
          <w:szCs w:val="20"/>
          <w:color w:val="auto"/>
        </w:rPr>
      </w:pPr>
    </w:p>
    <w:p>
      <w:pPr>
        <w:jc w:val="both"/>
        <w:ind w:left="640" w:right="2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Oil and natural gas properties. </w:t>
      </w:r>
      <w:r>
        <w:rPr>
          <w:rFonts w:ascii="Times New Roman" w:cs="Times New Roman" w:eastAsia="Times New Roman" w:hAnsi="Times New Roman"/>
          <w:sz w:val="18"/>
          <w:szCs w:val="18"/>
          <w:color w:val="auto"/>
        </w:rPr>
        <w:t>The Partnership uses the successful efforts method of accounting for its investments in oil and natural gas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properties. Under such method, costs of productive exploratory wells, development dry holes and productive wells and undeveloped leases are capitalized. Oil and natural gas lease acquisition costs are also capitalized.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400" w:top="1278" w:right="399" w:bottom="1440" w:gutter="0" w:footer="0" w:header="0"/>
        </w:sectPr>
      </w:pPr>
    </w:p>
    <w:bookmarkStart w:id="14" w:name="page15"/>
    <w:bookmarkEnd w:id="14"/>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tab/>
        <w:t>Summary of Significant Accounting Policies (Continued)</w:t>
      </w:r>
    </w:p>
    <w:p>
      <w:pPr>
        <w:spacing w:after="0" w:line="216" w:lineRule="exact"/>
        <w:rPr>
          <w:sz w:val="20"/>
          <w:szCs w:val="20"/>
          <w:color w:val="auto"/>
        </w:rPr>
      </w:pPr>
    </w:p>
    <w:p>
      <w:pPr>
        <w:jc w:val="both"/>
        <w:ind w:left="580" w:firstLine="324"/>
        <w:spacing w:after="0" w:line="246" w:lineRule="auto"/>
        <w:rPr>
          <w:sz w:val="20"/>
          <w:szCs w:val="20"/>
          <w:color w:val="auto"/>
        </w:rPr>
      </w:pPr>
      <w:r>
        <w:rPr>
          <w:rFonts w:ascii="Times New Roman" w:cs="Times New Roman" w:eastAsia="Times New Roman" w:hAnsi="Times New Roman"/>
          <w:sz w:val="18"/>
          <w:szCs w:val="18"/>
          <w:color w:val="auto"/>
        </w:rPr>
        <w:t>Exploration costs, including personnel costs, certain geological and geophysical expenses and delay rentals for oil and natural gas leases, are charged to expense as incurred. Exploratory drilling costs are initially capitalized, but charged to expense if and when the well is determined not to have found reserves in commercial quantities. If the unproved properties are determined to be productive, the related costs are transferred to proved oil and natural gas properties. If proved leasehold costs are determined to no longer be proved as a result of changes in the Partnership’s development plan, the related acreage costs are transferred to unproved oil and natural gas properties.</w:t>
      </w:r>
    </w:p>
    <w:p>
      <w:pPr>
        <w:spacing w:after="0" w:line="181" w:lineRule="exact"/>
        <w:rPr>
          <w:sz w:val="20"/>
          <w:szCs w:val="20"/>
          <w:color w:val="auto"/>
        </w:rPr>
      </w:pPr>
    </w:p>
    <w:p>
      <w:pPr>
        <w:jc w:val="both"/>
        <w:ind w:left="580" w:firstLine="324"/>
        <w:spacing w:after="0" w:line="250" w:lineRule="auto"/>
        <w:rPr>
          <w:sz w:val="20"/>
          <w:szCs w:val="20"/>
          <w:color w:val="auto"/>
        </w:rPr>
      </w:pPr>
      <w:r>
        <w:rPr>
          <w:rFonts w:ascii="Times New Roman" w:cs="Times New Roman" w:eastAsia="Times New Roman" w:hAnsi="Times New Roman"/>
          <w:sz w:val="18"/>
          <w:szCs w:val="18"/>
          <w:color w:val="auto"/>
        </w:rPr>
        <w:t>Capitalized costs of producing oil and natural gas properties and support infrastructure, including water-related wells, facilities and equipment, net of estimated salvage values, are depleted and depreciated by the units-of-production method. Acquisition and leasehold costs of proved properties are depleted on the basis of total proved reserves, and capitalized development costs (wells and related equipment and facilities) are depreciated on the basis of proved developed reserves.</w:t>
      </w:r>
    </w:p>
    <w:p>
      <w:pPr>
        <w:spacing w:after="0" w:line="164" w:lineRule="exact"/>
        <w:rPr>
          <w:sz w:val="20"/>
          <w:szCs w:val="20"/>
          <w:color w:val="auto"/>
        </w:rPr>
      </w:pPr>
    </w:p>
    <w:p>
      <w:pPr>
        <w:jc w:val="both"/>
        <w:ind w:left="580" w:firstLine="324"/>
        <w:spacing w:after="0" w:line="246" w:lineRule="auto"/>
        <w:rPr>
          <w:sz w:val="20"/>
          <w:szCs w:val="20"/>
          <w:color w:val="auto"/>
        </w:rPr>
      </w:pPr>
      <w:r>
        <w:rPr>
          <w:rFonts w:ascii="Times New Roman" w:cs="Times New Roman" w:eastAsia="Times New Roman" w:hAnsi="Times New Roman"/>
          <w:sz w:val="18"/>
          <w:szCs w:val="18"/>
          <w:color w:val="auto"/>
        </w:rPr>
        <w:t>On the sale or retirement of a complete unit of a proved property, the cost and related accumulated depreciation, depletion, and amortization are eliminated from the property accounts, and the resulting gain or loss is recognized. On the sale or retirement of a partial unit of proved property, the costs, net of proceeds, are charged to accumulated depreciation, depletion, and amortization, unless doing so significantly affects the unit-of-production amortization rate, in which case a gain or loss is recognized in the statement of income and comprehensive income. Proceeds from sales of partial interests in unproved leases are accounted for as a recovery of costs without recognizing any gain or loss.</w:t>
      </w:r>
    </w:p>
    <w:p>
      <w:pPr>
        <w:spacing w:after="0" w:line="181" w:lineRule="exact"/>
        <w:rPr>
          <w:sz w:val="20"/>
          <w:szCs w:val="20"/>
          <w:color w:val="auto"/>
        </w:rPr>
      </w:pPr>
    </w:p>
    <w:p>
      <w:pPr>
        <w:jc w:val="both"/>
        <w:ind w:left="580" w:firstLine="324"/>
        <w:spacing w:after="0" w:line="246" w:lineRule="auto"/>
        <w:rPr>
          <w:sz w:val="20"/>
          <w:szCs w:val="20"/>
          <w:color w:val="auto"/>
        </w:rPr>
      </w:pPr>
      <w:r>
        <w:rPr>
          <w:rFonts w:ascii="Times New Roman" w:cs="Times New Roman" w:eastAsia="Times New Roman" w:hAnsi="Times New Roman"/>
          <w:sz w:val="18"/>
          <w:szCs w:val="18"/>
          <w:color w:val="auto"/>
        </w:rPr>
        <w:t>On exchanges of oil and natural gas assets with third parties, the Partnership reviews the transactions for certain key aspects that may have a significant impact on its accounting. Exchange transactions that only involve unproved properties are generally measured on recorded values rather than fair values. Thus, no gain or loss is recognized. Conversely, exchange transactions involving proved developed properties must be analyzed for possible business combinations and commercial substance. These aspects, along with others, dictate whether the Partnership records exchanges at recorded values or fair values and whether gains or losses should be recognized.</w:t>
      </w:r>
    </w:p>
    <w:p>
      <w:pPr>
        <w:spacing w:after="0" w:line="168" w:lineRule="exact"/>
        <w:rPr>
          <w:sz w:val="20"/>
          <w:szCs w:val="20"/>
          <w:color w:val="auto"/>
        </w:rPr>
      </w:pPr>
    </w:p>
    <w:p>
      <w:pPr>
        <w:jc w:val="both"/>
        <w:ind w:left="580" w:firstLine="324"/>
        <w:spacing w:after="0" w:line="246" w:lineRule="auto"/>
        <w:rPr>
          <w:sz w:val="20"/>
          <w:szCs w:val="20"/>
          <w:color w:val="auto"/>
        </w:rPr>
      </w:pPr>
      <w:r>
        <w:rPr>
          <w:rFonts w:ascii="Times New Roman" w:cs="Times New Roman" w:eastAsia="Times New Roman" w:hAnsi="Times New Roman"/>
          <w:sz w:val="18"/>
          <w:szCs w:val="18"/>
          <w:color w:val="auto"/>
        </w:rPr>
        <w:t>Oil and natural gas properties are reviewed for impairment when facts and circumstances indicate that their carrying value may not be recoverable. The Partnership reviews its oil and natural gas properties by amortization base or by individual well for those wells not constituting part of an amortization base. The Partnership assesses impairment of capitalized costs of proved oil and natural gas properties by comparing net capitalized costs to estimated undiscounted future net cash flows using management’s expectations of future oil and natural gas prices. If net capitalized costs exceed estimated undiscounted future net cash flows, the measurement of impairment is based on estimated fair value, which would consider estimated future discounted cash flows. Estimating future cash flows involves the use of judgments, including estimation of the proved oil and natural gas reserve quantities, timing of development and production, expected future commodity prices, capital expenditures and production costs. Unproved properties are assessed for impairment at least annually on a property-by-property basis, and any impairment is charged to expense.</w:t>
      </w:r>
    </w:p>
    <w:p>
      <w:pPr>
        <w:spacing w:after="0" w:line="170" w:lineRule="exact"/>
        <w:rPr>
          <w:sz w:val="20"/>
          <w:szCs w:val="20"/>
          <w:color w:val="auto"/>
        </w:rPr>
      </w:pPr>
    </w:p>
    <w:p>
      <w:pPr>
        <w:jc w:val="both"/>
        <w:ind w:left="580" w:firstLine="324"/>
        <w:spacing w:after="0" w:line="266" w:lineRule="auto"/>
        <w:rPr>
          <w:sz w:val="20"/>
          <w:szCs w:val="20"/>
          <w:color w:val="auto"/>
        </w:rPr>
      </w:pPr>
      <w:r>
        <w:rPr>
          <w:rFonts w:ascii="Times New Roman" w:cs="Times New Roman" w:eastAsia="Times New Roman" w:hAnsi="Times New Roman"/>
          <w:sz w:val="18"/>
          <w:szCs w:val="18"/>
          <w:color w:val="auto"/>
        </w:rPr>
        <w:t>The Partnership periodically reviews its proved and unproved oil and natural gas properties that are sensitive to oil and natural gas prices for impairment. Impairment expense is caused primarily due to declines in commodity prices and well performance.</w:t>
      </w:r>
    </w:p>
    <w:p>
      <w:pPr>
        <w:spacing w:after="0" w:line="158" w:lineRule="exact"/>
        <w:rPr>
          <w:sz w:val="20"/>
          <w:szCs w:val="20"/>
          <w:color w:val="auto"/>
        </w:rPr>
      </w:pPr>
    </w:p>
    <w:p>
      <w:pPr>
        <w:jc w:val="both"/>
        <w:ind w:left="580" w:firstLine="324"/>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The Partnership recognizes revenues from the sales of oil and natural gas to its customers and aggregates them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Partnership’s consolidated statement of income and comprehensive income. Disaggregated revenue from contracts with customers by product type is as follows:</w:t>
      </w:r>
    </w:p>
    <w:p>
      <w:pPr>
        <w:sectPr>
          <w:pgSz w:w="11900" w:h="16838" w:orient="portrait"/>
          <w:cols w:equalWidth="0" w:num="1">
            <w:col w:w="11100"/>
          </w:cols>
          <w:pgMar w:left="400" w:top="103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Oil sales</w:t>
      </w:r>
    </w:p>
    <w:p>
      <w:pPr>
        <w:spacing w:after="0" w:line="3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Natural gas sales</w:t>
      </w:r>
    </w:p>
    <w:p>
      <w:pPr>
        <w:spacing w:after="0" w:line="3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Natural gas liquids sales</w:t>
      </w:r>
    </w:p>
    <w:p>
      <w:pPr>
        <w:spacing w:after="0" w:line="48" w:lineRule="exact"/>
        <w:rPr>
          <w:sz w:val="20"/>
          <w:szCs w:val="20"/>
          <w:color w:val="auto"/>
        </w:rPr>
      </w:pPr>
    </w:p>
    <w:p>
      <w:pPr>
        <w:jc w:val="right"/>
        <w:ind w:right="777"/>
        <w:spacing w:after="0"/>
        <w:rPr>
          <w:sz w:val="20"/>
          <w:szCs w:val="20"/>
          <w:color w:val="auto"/>
        </w:rPr>
      </w:pPr>
      <w:r>
        <w:rPr>
          <w:rFonts w:ascii="Times New Roman" w:cs="Times New Roman" w:eastAsia="Times New Roman" w:hAnsi="Times New Roman"/>
          <w:sz w:val="17"/>
          <w:szCs w:val="17"/>
          <w:color w:val="auto"/>
        </w:rPr>
        <w:t>Total oil and natural gas sales</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jc w:val="center"/>
        <w:ind w:right="2717"/>
        <w:spacing w:after="0"/>
        <w:rPr>
          <w:sz w:val="20"/>
          <w:szCs w:val="20"/>
          <w:color w:val="auto"/>
        </w:rPr>
      </w:pPr>
      <w:r>
        <w:rPr>
          <w:rFonts w:ascii="Times New Roman" w:cs="Times New Roman" w:eastAsia="Times New Roman" w:hAnsi="Times New Roman"/>
          <w:sz w:val="17"/>
          <w:szCs w:val="17"/>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13627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28" w:lineRule="exact"/>
        <w:rPr>
          <w:sz w:val="20"/>
          <w:szCs w:val="20"/>
          <w:color w:val="auto"/>
        </w:rPr>
      </w:pPr>
    </w:p>
    <w:p>
      <w:pPr>
        <w:jc w:val="center"/>
        <w:ind w:right="2717"/>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13627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28" w:lineRule="exact"/>
        <w:rPr>
          <w:sz w:val="20"/>
          <w:szCs w:val="20"/>
          <w:color w:val="auto"/>
        </w:rPr>
      </w:pPr>
    </w:p>
    <w:p>
      <w:pPr>
        <w:jc w:val="center"/>
        <w:ind w:right="2717"/>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8" w:lineRule="exact"/>
        <w:rPr>
          <w:sz w:val="20"/>
          <w:szCs w:val="20"/>
          <w:color w:val="auto"/>
        </w:rPr>
      </w:pPr>
    </w:p>
    <w:p>
      <w:pPr>
        <w:ind w:left="1363" w:hanging="1363"/>
        <w:spacing w:after="0"/>
        <w:tabs>
          <w:tab w:leader="none" w:pos="136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1,069,588</w:t>
      </w:r>
    </w:p>
    <w:p>
      <w:pPr>
        <w:spacing w:after="0" w:line="34" w:lineRule="exact"/>
        <w:rPr>
          <w:rFonts w:ascii="Times New Roman" w:cs="Times New Roman" w:eastAsia="Times New Roman" w:hAnsi="Times New Roman"/>
          <w:sz w:val="17"/>
          <w:szCs w:val="17"/>
          <w:color w:val="auto"/>
        </w:rPr>
      </w:pPr>
    </w:p>
    <w:p>
      <w:pPr>
        <w:ind w:left="146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(23,146)</w:t>
      </w:r>
    </w:p>
    <w:p>
      <w:pPr>
        <w:spacing w:after="0" w:line="45" w:lineRule="exact"/>
        <w:rPr>
          <w:rFonts w:ascii="Times New Roman" w:cs="Times New Roman" w:eastAsia="Times New Roman" w:hAnsi="Times New Roman"/>
          <w:sz w:val="17"/>
          <w:szCs w:val="17"/>
          <w:color w:val="auto"/>
        </w:rPr>
      </w:pPr>
    </w:p>
    <w:p>
      <w:pPr>
        <w:ind w:left="150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140,601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13627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39" w:lineRule="exact"/>
        <w:rPr>
          <w:sz w:val="20"/>
          <w:szCs w:val="20"/>
          <w:color w:val="auto"/>
        </w:rPr>
      </w:pPr>
    </w:p>
    <w:p>
      <w:pPr>
        <w:ind w:left="1363" w:hanging="1363"/>
        <w:spacing w:after="0"/>
        <w:tabs>
          <w:tab w:leader="none" w:pos="1363"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1,187,043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26670</wp:posOffset>
            </wp:positionV>
            <wp:extent cx="13627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6271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52705</wp:posOffset>
            </wp:positionV>
            <wp:extent cx="13627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6271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57" w:space="720"/>
            <w:col w:w="4823"/>
          </w:cols>
          <w:pgMar w:left="400" w:top="1035"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100"/>
          </w:cols>
          <w:pgMar w:left="400" w:top="1035" w:right="399" w:bottom="1440" w:gutter="0" w:footer="0" w:header="0"/>
          <w:type w:val="continuous"/>
        </w:sectPr>
      </w:pPr>
    </w:p>
    <w:bookmarkStart w:id="15" w:name="page16"/>
    <w:bookmarkEnd w:id="15"/>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tab/>
        <w:t>Summary of Significant Accounting Policies (Continued)</w:t>
      </w:r>
    </w:p>
    <w:p>
      <w:pPr>
        <w:spacing w:after="0" w:line="216" w:lineRule="exact"/>
        <w:rPr>
          <w:sz w:val="20"/>
          <w:szCs w:val="20"/>
          <w:color w:val="auto"/>
        </w:rPr>
      </w:pPr>
    </w:p>
    <w:p>
      <w:pPr>
        <w:jc w:val="both"/>
        <w:ind w:left="580" w:firstLine="389"/>
        <w:spacing w:after="0" w:line="259" w:lineRule="auto"/>
        <w:rPr>
          <w:sz w:val="20"/>
          <w:szCs w:val="20"/>
          <w:color w:val="auto"/>
        </w:rPr>
      </w:pPr>
      <w:r>
        <w:rPr>
          <w:rFonts w:ascii="Times New Roman" w:cs="Times New Roman" w:eastAsia="Times New Roman" w:hAnsi="Times New Roman"/>
          <w:sz w:val="17"/>
          <w:szCs w:val="17"/>
          <w:color w:val="auto"/>
        </w:rPr>
        <w:t>CrownQuest markets the Partnership’s oil and natural gas and enters into contracts with customers to sell the Partnership’s oil and natural gas production. Revenue from these contracts is recognized by the Partnership in accordance with the five-step revenue recognition model prescribed in Accounting Standards Codification 606, “Revenue from Contracts with Customers” (“ASC 606”). Specifically, revenue is recognized when the Partnership’s performance obligations under these contracts are satisfied, which generally occur with the transfer of control of the oil and natural gas to the purchaser. Control is generally considered transferred when the following criteria are met: (i) transfer of physical custody; (ii) transfer of title; (iii) transfer of risk of loss; and (iv) relinquishment of any repurchase rights or other similar rights. Given the nature of the products sold, revenue is recognized at a point in time based on the amount of consideration the Partnership expects to receive in accordance with the price specified in the contract. Consideration under the oil and natural gas marketing contracts is typically received from the purchaser one to two months after production. At June 30, 2024, the Partnership had receivables related to contracts with customers of approximately $189.9 million. At December 31, 2023, the Partnership had receivables related to contracts with customers of approximately $196.5 million.</w:t>
      </w:r>
    </w:p>
    <w:p>
      <w:pPr>
        <w:spacing w:after="0" w:line="168" w:lineRule="exact"/>
        <w:rPr>
          <w:sz w:val="20"/>
          <w:szCs w:val="20"/>
          <w:color w:val="auto"/>
        </w:rPr>
      </w:pPr>
    </w:p>
    <w:p>
      <w:pPr>
        <w:jc w:val="both"/>
        <w:ind w:left="580" w:firstLine="389"/>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Oil Contracts. </w:t>
      </w:r>
      <w:r>
        <w:rPr>
          <w:rFonts w:ascii="Times New Roman" w:cs="Times New Roman" w:eastAsia="Times New Roman" w:hAnsi="Times New Roman"/>
          <w:sz w:val="18"/>
          <w:szCs w:val="18"/>
          <w:color w:val="auto"/>
        </w:rPr>
        <w:t>The majority of CrownQuest’s oil marketing contracts covering the Partnership’s oil production, transfer physical custody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title at or near the wellhead, which is generally when control of the oil has been transferred to the purchaser. The majority of the oil produced is sold under contracts using market-based pricing which is then adjusted for differentials based upon delivery location and oil quality. To the extent differentials are incurred after the transfer of control of the oil, the differentials are included in oil and natural gas sales on the condensed consolidated statements of income and comprehensive income as they represent part of the transaction price of the contract. If the differentials, or other related costs, are incurred prior to the transfer of control of the oil, those costs are included in lease operating expenses on the Partnership’s condensed consolidated statements of income and comprehensive income and are accounted for as costs incurred directly and not netted from the transaction price.</w:t>
      </w:r>
    </w:p>
    <w:p>
      <w:pPr>
        <w:spacing w:after="0" w:line="180" w:lineRule="exact"/>
        <w:rPr>
          <w:sz w:val="20"/>
          <w:szCs w:val="20"/>
          <w:color w:val="auto"/>
        </w:rPr>
      </w:pPr>
    </w:p>
    <w:p>
      <w:pPr>
        <w:jc w:val="both"/>
        <w:ind w:left="580" w:firstLine="389"/>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Contracts. </w:t>
      </w:r>
      <w:r>
        <w:rPr>
          <w:rFonts w:ascii="Times New Roman" w:cs="Times New Roman" w:eastAsia="Times New Roman" w:hAnsi="Times New Roman"/>
          <w:sz w:val="18"/>
          <w:szCs w:val="18"/>
          <w:color w:val="auto"/>
        </w:rPr>
        <w:t>The majority of the Partnership’s natural gas is sold at the lease location, which is generally when control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natural gas has been transferred to the purchaser. The natural gas is sold under (i) percentage of proceeds processing contracts, (ii) fee-based contracts or (iii) a hybrid of percentage of proceeds and fee-based contracts. Under the majority of CrownQuest’s gas marketing contracts covering the Partnership’s gas production, the purchaser gathers the natural gas in the field where it is produced and transports it via pipeline to natural gas processing plants where natural gas liquid products are extracted. The natural gas liquid products and remaining residue gas are then sold by the purchaser. Under the percentage of proceeds and hybrid percentage of proceeds and fee-based contracts, the Partnership receives a percentage of the value for the extracted liquids and the residue gas. Under the fee-based contracts, the Partnership receives natural gas liquids and residue gas value, less the fee component. To the extent control of the natural gas transfers upstream of the transportation and processing activities, revenue is recognized at the net amount received from the purchaser. To the extent that control transfers downstream of those activities, revenue is recognized on a gross basis, and the related costs are classified as lease operating expenses on the Partnership’s condensed consolidated statements of income and comprehensive income.</w:t>
      </w:r>
    </w:p>
    <w:p>
      <w:pPr>
        <w:spacing w:after="0" w:line="169" w:lineRule="exact"/>
        <w:rPr>
          <w:sz w:val="20"/>
          <w:szCs w:val="20"/>
          <w:color w:val="auto"/>
        </w:rPr>
      </w:pPr>
    </w:p>
    <w:p>
      <w:pPr>
        <w:jc w:val="both"/>
        <w:ind w:left="580" w:firstLine="389"/>
        <w:spacing w:after="0" w:line="250" w:lineRule="auto"/>
        <w:rPr>
          <w:sz w:val="20"/>
          <w:szCs w:val="20"/>
          <w:color w:val="auto"/>
        </w:rPr>
      </w:pPr>
      <w:r>
        <w:rPr>
          <w:rFonts w:ascii="Times New Roman" w:cs="Times New Roman" w:eastAsia="Times New Roman" w:hAnsi="Times New Roman"/>
          <w:sz w:val="18"/>
          <w:szCs w:val="18"/>
          <w:color w:val="auto"/>
        </w:rPr>
        <w:t>The Partnership does not disclose the value of unsatisfied performance obligations under its contracts with customers as it applies the practical exemption in accordance with ASC 606. The exemption,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173" w:lineRule="exact"/>
        <w:rPr>
          <w:sz w:val="20"/>
          <w:szCs w:val="20"/>
          <w:color w:val="auto"/>
        </w:rPr>
      </w:pPr>
    </w:p>
    <w:p>
      <w:pPr>
        <w:jc w:val="both"/>
        <w:ind w:left="580" w:firstLine="389"/>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Preparing financial statements in conformity with accounting principles generally accepted in the United States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financial statements are based on a number of significant estimates including oil and natural gas reserve quantities and values, which are the basis for oil and natural gas properties acquired or exchanged, calculation of depreciation, depletion and amortization, asset retirement obligations (“ARO”), and impairment of oil and natural gas properties.</w:t>
      </w:r>
    </w:p>
    <w:p>
      <w:pPr>
        <w:spacing w:after="0" w:line="161" w:lineRule="exact"/>
        <w:rPr>
          <w:sz w:val="20"/>
          <w:szCs w:val="20"/>
          <w:color w:val="auto"/>
        </w:rPr>
      </w:pPr>
    </w:p>
    <w:p>
      <w:pPr>
        <w:jc w:val="both"/>
        <w:ind w:left="580" w:right="20" w:firstLine="38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Fair value</w:t>
      </w:r>
      <w:r>
        <w:rPr>
          <w:rFonts w:ascii="Times New Roman" w:cs="Times New Roman" w:eastAsia="Times New Roman" w:hAnsi="Times New Roman"/>
          <w:sz w:val="18"/>
          <w:szCs w:val="18"/>
          <w:color w:val="auto"/>
        </w:rPr>
        <w:t>. Fair value is defined as the price that would be received upon the sale of an asset or paid to transfer a liability in an orderly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between market participants at the measurement date. Fair value measurements are classified and disclosed in one of the following categories: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400" w:top="1278" w:right="399" w:bottom="1440" w:gutter="0" w:footer="0" w:header="0"/>
        </w:sectPr>
      </w:pPr>
    </w:p>
    <w:bookmarkStart w:id="16" w:name="page17"/>
    <w:bookmarkEnd w:id="16"/>
    <w:p>
      <w:pPr>
        <w:ind w:left="7"/>
        <w:spacing w:after="0"/>
        <w:tabs>
          <w:tab w:leader="none" w:pos="327" w:val="left"/>
        </w:tabs>
        <w:rPr>
          <w:sz w:val="20"/>
          <w:szCs w:val="20"/>
          <w:color w:val="auto"/>
        </w:rPr>
      </w:pPr>
      <w:r>
        <w:rPr>
          <w:rFonts w:ascii="Times New Roman" w:cs="Times New Roman" w:eastAsia="Times New Roman" w:hAnsi="Times New Roman"/>
          <w:sz w:val="18"/>
          <w:szCs w:val="18"/>
          <w:b w:val="1"/>
          <w:bCs w:val="1"/>
          <w:color w:val="auto"/>
        </w:rPr>
        <w:t>B.</w:t>
        <w:tab/>
        <w:t>Summary of Significant Accounting Policies (Continued)</w:t>
      </w:r>
    </w:p>
    <w:p>
      <w:pPr>
        <w:spacing w:after="0" w:line="212" w:lineRule="exact"/>
        <w:rPr>
          <w:sz w:val="20"/>
          <w:szCs w:val="20"/>
          <w:color w:val="auto"/>
        </w:rPr>
      </w:pPr>
    </w:p>
    <w:p>
      <w:pPr>
        <w:jc w:val="both"/>
        <w:ind w:left="1227"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1. </w:t>
      </w:r>
      <w:r>
        <w:rPr>
          <w:rFonts w:ascii="Times New Roman" w:cs="Times New Roman" w:eastAsia="Times New Roman" w:hAnsi="Times New Roman"/>
          <w:sz w:val="18"/>
          <w:szCs w:val="18"/>
          <w:color w:val="auto"/>
        </w:rPr>
        <w:t>Measured based on unadjusted quoted prices in active markets that are accessible at the measurement date for identical,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unrestricted assets or liabilities. The Partnership considers active markets to be those in which transactions for the assets or liabilities occur in sufficient frequency and volume to provide pricing information on an ongoing basis. Items included in this category are short term money market investments.</w:t>
      </w:r>
    </w:p>
    <w:p>
      <w:pPr>
        <w:spacing w:after="0" w:line="170" w:lineRule="exact"/>
        <w:rPr>
          <w:sz w:val="20"/>
          <w:szCs w:val="20"/>
          <w:color w:val="auto"/>
        </w:rPr>
      </w:pPr>
    </w:p>
    <w:p>
      <w:pPr>
        <w:jc w:val="both"/>
        <w:ind w:left="1227"/>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2. </w:t>
      </w:r>
      <w:r>
        <w:rPr>
          <w:rFonts w:ascii="Times New Roman" w:cs="Times New Roman" w:eastAsia="Times New Roman" w:hAnsi="Times New Roman"/>
          <w:sz w:val="18"/>
          <w:szCs w:val="18"/>
          <w:color w:val="auto"/>
        </w:rPr>
        <w:t>Measured based on quoted prices in markets that are not active, or inputs which are observable, either directly or indirectly,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substantially the full term of the asset or liability. This category includes those derivative instruments that the Partnership values using observable market data. Substantially all of these inputs are observable in the marketplace throughout the full term of the derivative instrument, can be derived from observable data, or supported by observable levels at which transactions are executed in the marketplace. Instruments in this category are non-exchange traded derivatives such as over-the-counter commodity price swaps, collars and options. The Partnership’s valuation models are primarily industry-standard models that consider various inputs including: (i) quoted forward prices for commodities, (ii) time value and (iii) current market and contractual prices for the underlying instruments, as well as other relevant economic measures.</w:t>
      </w:r>
    </w:p>
    <w:p>
      <w:pPr>
        <w:spacing w:after="0" w:line="166" w:lineRule="exact"/>
        <w:rPr>
          <w:sz w:val="20"/>
          <w:szCs w:val="20"/>
          <w:color w:val="auto"/>
        </w:rPr>
      </w:pPr>
    </w:p>
    <w:p>
      <w:pPr>
        <w:jc w:val="both"/>
        <w:ind w:left="1227"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3. </w:t>
      </w:r>
      <w:r>
        <w:rPr>
          <w:rFonts w:ascii="Times New Roman" w:cs="Times New Roman" w:eastAsia="Times New Roman" w:hAnsi="Times New Roman"/>
          <w:sz w:val="18"/>
          <w:szCs w:val="18"/>
          <w:color w:val="auto"/>
        </w:rPr>
        <w:t>Measured based on prices or valuation models that require inputs that are both significant to the fair value measurement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less observable from objective sources (i.e. supported by little or no market activity). Items included in this category are AROs, asset impairments and asset acquisitions and exchanges.</w:t>
      </w:r>
    </w:p>
    <w:p>
      <w:pPr>
        <w:spacing w:after="0" w:line="168" w:lineRule="exact"/>
        <w:rPr>
          <w:sz w:val="20"/>
          <w:szCs w:val="20"/>
          <w:color w:val="auto"/>
        </w:rPr>
      </w:pPr>
    </w:p>
    <w:p>
      <w:pPr>
        <w:jc w:val="both"/>
        <w:ind w:left="647" w:right="20" w:firstLine="259"/>
        <w:spacing w:after="0" w:line="250" w:lineRule="auto"/>
        <w:rPr>
          <w:sz w:val="20"/>
          <w:szCs w:val="20"/>
          <w:color w:val="auto"/>
        </w:rPr>
      </w:pPr>
      <w:r>
        <w:rPr>
          <w:rFonts w:ascii="Times New Roman" w:cs="Times New Roman" w:eastAsia="Times New Roman" w:hAnsi="Times New Roman"/>
          <w:sz w:val="18"/>
          <w:szCs w:val="18"/>
          <w:color w:val="auto"/>
        </w:rPr>
        <w:t>Financial assets and liabilities are classified based on the lowest level of input that is significant to the fair value measurement. The Partnership’s assessment of the significance of a particular input to the fair value measurement requires judgment, and may affect the valuation of the fair value of assets and liabilities and their placement within the fair value hierarchy levels.</w:t>
      </w:r>
    </w:p>
    <w:p>
      <w:pPr>
        <w:spacing w:after="0" w:line="173" w:lineRule="exact"/>
        <w:rPr>
          <w:sz w:val="20"/>
          <w:szCs w:val="20"/>
          <w:color w:val="auto"/>
        </w:rPr>
      </w:pPr>
    </w:p>
    <w:p>
      <w:pPr>
        <w:ind w:left="907"/>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issued but not yet adopted.</w:t>
      </w:r>
    </w:p>
    <w:p>
      <w:pPr>
        <w:spacing w:after="0" w:line="212" w:lineRule="exact"/>
        <w:rPr>
          <w:sz w:val="20"/>
          <w:szCs w:val="20"/>
          <w:color w:val="auto"/>
        </w:rPr>
      </w:pPr>
    </w:p>
    <w:p>
      <w:pPr>
        <w:jc w:val="both"/>
        <w:ind w:left="647" w:firstLine="259"/>
        <w:spacing w:after="0" w:line="245" w:lineRule="auto"/>
        <w:rPr>
          <w:sz w:val="20"/>
          <w:szCs w:val="20"/>
          <w:color w:val="auto"/>
        </w:rPr>
      </w:pPr>
      <w:r>
        <w:rPr>
          <w:rFonts w:ascii="Times New Roman" w:cs="Times New Roman" w:eastAsia="Times New Roman" w:hAnsi="Times New Roman"/>
          <w:sz w:val="18"/>
          <w:szCs w:val="18"/>
          <w:b w:val="1"/>
          <w:bCs w:val="1"/>
          <w:u w:val="single" w:color="auto"/>
          <w:color w:val="auto"/>
        </w:rPr>
        <w:t>Compensation – Stock Compensation (Topic 718):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March 2024, the FASB issued Accounting Standards Update No. 2024-01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 Stock Compensation (Topic 718): Scope - Application of Profits Interest and Similar Awards”, with the objective of uniformity in the accounting treatment for profit interests and similar awards. The update is effective for public business entities for annual periods beginning after December 15, 2024, and interim periods within those annual periods. For all other entities, the amendments are effective for annual periods beginning after December 15, 2025, and interim periods within those annual periods. Early application of this ASU is permitted. The Partnership is currently evaluating the impact of ASU No. 2024-01 on its consolidated financial statements.</w:t>
      </w:r>
    </w:p>
    <w:p>
      <w:pPr>
        <w:spacing w:after="0" w:line="177" w:lineRule="exact"/>
        <w:rPr>
          <w:sz w:val="20"/>
          <w:szCs w:val="20"/>
          <w:color w:val="auto"/>
        </w:rPr>
      </w:pPr>
    </w:p>
    <w:p>
      <w:pPr>
        <w:jc w:val="both"/>
        <w:ind w:left="647" w:firstLine="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Subsequent events. </w:t>
      </w:r>
      <w:r>
        <w:rPr>
          <w:rFonts w:ascii="Times New Roman" w:cs="Times New Roman" w:eastAsia="Times New Roman" w:hAnsi="Times New Roman"/>
          <w:sz w:val="18"/>
          <w:szCs w:val="18"/>
          <w:color w:val="auto"/>
        </w:rPr>
        <w:t>The Partnership performed an evaluation of subsequent events through August 9, 2024, which is the date the condensed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financial statements were available to be issued.</w:t>
      </w:r>
    </w:p>
    <w:p>
      <w:pPr>
        <w:spacing w:after="0" w:line="194" w:lineRule="exact"/>
        <w:rPr>
          <w:sz w:val="20"/>
          <w:szCs w:val="20"/>
          <w:color w:val="auto"/>
        </w:rPr>
      </w:pPr>
    </w:p>
    <w:p>
      <w:pPr>
        <w:ind w:left="347" w:hanging="347"/>
        <w:spacing w:after="0"/>
        <w:tabs>
          <w:tab w:leader="none" w:pos="347"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Oil and Natural Gas Properties</w:t>
      </w:r>
    </w:p>
    <w:p>
      <w:pPr>
        <w:spacing w:after="0" w:line="216" w:lineRule="exact"/>
        <w:rPr>
          <w:sz w:val="20"/>
          <w:szCs w:val="20"/>
          <w:color w:val="auto"/>
        </w:rPr>
      </w:pPr>
    </w:p>
    <w:p>
      <w:pPr>
        <w:ind w:left="907"/>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Partnership’s oil and natural gas properties as of June 30, 2024:</w:t>
      </w:r>
    </w:p>
    <w:p>
      <w:pPr>
        <w:spacing w:after="0" w:line="289" w:lineRule="exact"/>
        <w:rPr>
          <w:sz w:val="20"/>
          <w:szCs w:val="20"/>
          <w:color w:val="auto"/>
        </w:rPr>
      </w:pPr>
    </w:p>
    <w:tbl>
      <w:tblPr>
        <w:tblLayout w:type="fixed"/>
        <w:tblInd w:w="2307"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18"/>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Proved oil and natural gas properties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7,212,655</w:t>
            </w: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Unproved oil and natural gas properties</w:t>
            </w:r>
          </w:p>
        </w:tc>
        <w:tc>
          <w:tcPr>
            <w:tcW w:w="3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310,496</w:t>
            </w: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depletion,</w:t>
            </w: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4"/>
        </w:trPr>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and impairment</w:t>
            </w:r>
          </w:p>
        </w:tc>
        <w:tc>
          <w:tcPr>
            <w:tcW w:w="3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(3,489,130)</w:t>
            </w:r>
          </w:p>
        </w:tc>
      </w:tr>
      <w:tr>
        <w:trPr>
          <w:trHeight w:val="22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oil and natural gas properties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4,034,021</w:t>
            </w:r>
          </w:p>
        </w:tc>
      </w:tr>
      <w:tr>
        <w:trPr>
          <w:trHeight w:val="20"/>
        </w:trPr>
        <w:tc>
          <w:tcPr>
            <w:tcW w:w="4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907"/>
        <w:spacing w:after="0"/>
        <w:rPr>
          <w:sz w:val="20"/>
          <w:szCs w:val="20"/>
          <w:color w:val="auto"/>
        </w:rPr>
      </w:pPr>
      <w:r>
        <w:rPr>
          <w:rFonts w:ascii="Times New Roman" w:cs="Times New Roman" w:eastAsia="Times New Roman" w:hAnsi="Times New Roman"/>
          <w:sz w:val="18"/>
          <w:szCs w:val="18"/>
          <w:color w:val="auto"/>
        </w:rPr>
        <w:t>During the six months ended June 30, 2024, the Partnership did not recognize any exploration costs.</w:t>
      </w:r>
    </w:p>
    <w:p>
      <w:pPr>
        <w:spacing w:after="0" w:line="63" w:lineRule="exact"/>
        <w:rPr>
          <w:sz w:val="20"/>
          <w:szCs w:val="20"/>
          <w:color w:val="auto"/>
        </w:rPr>
      </w:pPr>
    </w:p>
    <w:p>
      <w:pPr>
        <w:ind w:left="5467"/>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7"/>
          </w:cols>
          <w:pgMar w:left="393" w:top="1278" w:right="399" w:bottom="1440" w:gutter="0" w:footer="0" w:header="0"/>
        </w:sectPr>
      </w:pPr>
    </w:p>
    <w:bookmarkStart w:id="17" w:name="page18"/>
    <w:bookmarkEnd w:id="17"/>
    <w:p>
      <w:pPr>
        <w:ind w:left="347" w:hanging="347"/>
        <w:spacing w:after="0"/>
        <w:tabs>
          <w:tab w:leader="none" w:pos="347"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Oil and Natural Gas Properties (Continued)</w:t>
      </w:r>
    </w:p>
    <w:p>
      <w:pPr>
        <w:spacing w:after="0" w:line="202" w:lineRule="exact"/>
        <w:rPr>
          <w:sz w:val="20"/>
          <w:szCs w:val="20"/>
          <w:color w:val="auto"/>
        </w:rPr>
      </w:pPr>
    </w:p>
    <w:p>
      <w:pPr>
        <w:ind w:left="587" w:right="20" w:firstLine="389"/>
        <w:spacing w:after="0" w:line="282" w:lineRule="auto"/>
        <w:rPr>
          <w:sz w:val="20"/>
          <w:szCs w:val="20"/>
          <w:color w:val="auto"/>
        </w:rPr>
      </w:pPr>
      <w:r>
        <w:rPr>
          <w:rFonts w:ascii="Times New Roman" w:cs="Times New Roman" w:eastAsia="Times New Roman" w:hAnsi="Times New Roman"/>
          <w:sz w:val="18"/>
          <w:szCs w:val="18"/>
          <w:color w:val="auto"/>
        </w:rPr>
        <w:t>Additionally, during the six months ended June 30, 2024, the Partnership did not recognize any non-cash charges against earnings nor a corresponding allowance for expiring acreage.</w:t>
      </w:r>
    </w:p>
    <w:p>
      <w:pPr>
        <w:spacing w:after="0" w:line="148" w:lineRule="exact"/>
        <w:rPr>
          <w:sz w:val="20"/>
          <w:szCs w:val="20"/>
          <w:color w:val="auto"/>
        </w:rPr>
      </w:pPr>
    </w:p>
    <w:p>
      <w:pPr>
        <w:ind w:left="967"/>
        <w:spacing w:after="0"/>
        <w:rPr>
          <w:sz w:val="20"/>
          <w:szCs w:val="20"/>
          <w:color w:val="auto"/>
        </w:rPr>
      </w:pPr>
      <w:r>
        <w:rPr>
          <w:rFonts w:ascii="Times New Roman" w:cs="Times New Roman" w:eastAsia="Times New Roman" w:hAnsi="Times New Roman"/>
          <w:sz w:val="18"/>
          <w:szCs w:val="18"/>
          <w:color w:val="auto"/>
        </w:rPr>
        <w:t>See Note H – Fair Value for discussion of proved property impairments recorded during the six months ended June 30, 2024.</w:t>
      </w:r>
    </w:p>
    <w:p>
      <w:pPr>
        <w:spacing w:after="0" w:line="248" w:lineRule="exact"/>
        <w:rPr>
          <w:sz w:val="20"/>
          <w:szCs w:val="20"/>
          <w:color w:val="auto"/>
        </w:rPr>
      </w:pPr>
    </w:p>
    <w:p>
      <w:pPr>
        <w:ind w:left="347" w:hanging="347"/>
        <w:spacing w:after="0"/>
        <w:tabs>
          <w:tab w:leader="none" w:pos="347"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Property and Equipment</w:t>
      </w:r>
    </w:p>
    <w:p>
      <w:pPr>
        <w:spacing w:after="0" w:line="202" w:lineRule="exact"/>
        <w:rPr>
          <w:sz w:val="20"/>
          <w:szCs w:val="20"/>
          <w:color w:val="auto"/>
        </w:rPr>
      </w:pPr>
    </w:p>
    <w:p>
      <w:pPr>
        <w:ind w:left="967"/>
        <w:spacing w:after="0"/>
        <w:rPr>
          <w:sz w:val="20"/>
          <w:szCs w:val="20"/>
          <w:color w:val="auto"/>
        </w:rPr>
      </w:pPr>
      <w:r>
        <w:rPr>
          <w:rFonts w:ascii="Times New Roman" w:cs="Times New Roman" w:eastAsia="Times New Roman" w:hAnsi="Times New Roman"/>
          <w:sz w:val="18"/>
          <w:szCs w:val="18"/>
          <w:color w:val="auto"/>
        </w:rPr>
        <w:t>The following table sets forth the Partnership’s other property and equipment as of June 30, 2024:</w:t>
      </w:r>
    </w:p>
    <w:p>
      <w:pPr>
        <w:spacing w:after="0" w:line="204" w:lineRule="exact"/>
        <w:rPr>
          <w:sz w:val="20"/>
          <w:szCs w:val="20"/>
          <w:color w:val="auto"/>
        </w:rPr>
      </w:pPr>
    </w:p>
    <w:tbl>
      <w:tblPr>
        <w:tblLayout w:type="fixed"/>
        <w:tblInd w:w="1987" w:type="dxa"/>
        <w:tblCellMar>
          <w:top w:w="0" w:type="dxa"/>
          <w:left w:w="0" w:type="dxa"/>
          <w:bottom w:w="0" w:type="dxa"/>
          <w:right w:w="0" w:type="dxa"/>
        </w:tblCellMar>
      </w:tblPr>
      <w:tr>
        <w:trPr>
          <w:trHeight w:val="226"/>
        </w:trPr>
        <w:tc>
          <w:tcPr>
            <w:tcW w:w="5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June 30, 2024</w:t>
            </w:r>
          </w:p>
        </w:tc>
      </w:tr>
      <w:tr>
        <w:trPr>
          <w:trHeight w:val="56"/>
        </w:trPr>
        <w:tc>
          <w:tcPr>
            <w:tcW w:w="56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r>
      <w:tr>
        <w:trPr>
          <w:trHeight w:val="215"/>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rPr>
              <w:t>(in thousands)</w:t>
            </w:r>
          </w:p>
        </w:tc>
      </w:tr>
      <w:tr>
        <w:trPr>
          <w:trHeight w:val="222"/>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Land</w:t>
            </w: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23,904</w:t>
            </w: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Water rights</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11,872</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Construction in progress - gathering systems</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w:t>
            </w: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Office buildings</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7,988</w:t>
            </w:r>
          </w:p>
        </w:tc>
      </w:tr>
      <w:tr>
        <w:trPr>
          <w:trHeight w:val="243"/>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Equipment</w:t>
            </w:r>
          </w:p>
        </w:tc>
        <w:tc>
          <w:tcPr>
            <w:tcW w:w="3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Gathering systems</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123,317</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Compressor stations</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18,930</w:t>
            </w: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Abajo pipeline and gathering facilities</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depletion, depreciation and impairment</w:t>
            </w: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(43,822)</w:t>
            </w:r>
          </w:p>
        </w:tc>
      </w:tr>
      <w:tr>
        <w:trPr>
          <w:trHeight w:val="226"/>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Net other property and equipment</w:t>
            </w:r>
          </w:p>
        </w:tc>
        <w:tc>
          <w:tcPr>
            <w:tcW w:w="3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143,010</w:t>
            </w:r>
          </w:p>
        </w:tc>
      </w:tr>
      <w:tr>
        <w:trPr>
          <w:trHeight w:val="24"/>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
        <w:spacing w:after="0"/>
        <w:tabs>
          <w:tab w:leader="none" w:pos="307"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Asset Retirement Obligations</w:t>
      </w:r>
    </w:p>
    <w:p>
      <w:pPr>
        <w:spacing w:after="0" w:line="229" w:lineRule="exact"/>
        <w:rPr>
          <w:sz w:val="20"/>
          <w:szCs w:val="20"/>
          <w:color w:val="auto"/>
        </w:rPr>
      </w:pPr>
    </w:p>
    <w:p>
      <w:pPr>
        <w:jc w:val="both"/>
        <w:ind w:left="587" w:firstLine="389"/>
        <w:spacing w:after="0" w:line="245" w:lineRule="auto"/>
        <w:rPr>
          <w:sz w:val="20"/>
          <w:szCs w:val="20"/>
          <w:color w:val="auto"/>
        </w:rPr>
      </w:pPr>
      <w:r>
        <w:rPr>
          <w:rFonts w:ascii="Times New Roman" w:cs="Times New Roman" w:eastAsia="Times New Roman" w:hAnsi="Times New Roman"/>
          <w:sz w:val="18"/>
          <w:szCs w:val="18"/>
          <w:color w:val="auto"/>
        </w:rPr>
        <w:t>The Partnership records a liability for the present value of all legal obligations associated with the retirement of tangible long-lived assets and capitalizes an equal amount as part of the cost of their related oil and natural gas properties. AROs are initially recorded at fair value and assessed for revisions periodically thereafter. The significant unobservable inputs to this fair value measurement include estimates of plugging, abandonment and remediation costs and well life. The inputs are calculated based on historical data as well as current estimated costs.</w:t>
      </w:r>
    </w:p>
    <w:p>
      <w:pPr>
        <w:spacing w:after="0" w:line="167" w:lineRule="exact"/>
        <w:rPr>
          <w:sz w:val="20"/>
          <w:szCs w:val="20"/>
          <w:color w:val="auto"/>
        </w:rPr>
      </w:pPr>
    </w:p>
    <w:p>
      <w:pPr>
        <w:ind w:left="987"/>
        <w:spacing w:after="0"/>
        <w:rPr>
          <w:sz w:val="20"/>
          <w:szCs w:val="20"/>
          <w:color w:val="auto"/>
        </w:rPr>
      </w:pPr>
      <w:r>
        <w:rPr>
          <w:rFonts w:ascii="Times New Roman" w:cs="Times New Roman" w:eastAsia="Times New Roman" w:hAnsi="Times New Roman"/>
          <w:sz w:val="18"/>
          <w:szCs w:val="18"/>
          <w:color w:val="auto"/>
        </w:rPr>
        <w:t>The following table summarizes the changes in the Partnership’s ARO during the six months ended June 30, 2024:</w:t>
      </w:r>
    </w:p>
    <w:p>
      <w:pPr>
        <w:sectPr>
          <w:pgSz w:w="11900" w:h="16838" w:orient="portrait"/>
          <w:cols w:equalWidth="0" w:num="1">
            <w:col w:w="11107"/>
          </w:cols>
          <w:pgMar w:left="393" w:top="103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547"/>
        <w:spacing w:after="0"/>
        <w:rPr>
          <w:sz w:val="20"/>
          <w:szCs w:val="20"/>
          <w:color w:val="auto"/>
        </w:rPr>
      </w:pPr>
      <w:r>
        <w:rPr>
          <w:rFonts w:ascii="Times New Roman" w:cs="Times New Roman" w:eastAsia="Times New Roman" w:hAnsi="Times New Roman"/>
          <w:sz w:val="17"/>
          <w:szCs w:val="17"/>
          <w:color w:val="auto"/>
        </w:rPr>
        <w:t>Balance, beginning of period</w:t>
      </w:r>
    </w:p>
    <w:p>
      <w:pPr>
        <w:spacing w:after="0" w:line="34" w:lineRule="exact"/>
        <w:rPr>
          <w:sz w:val="20"/>
          <w:szCs w:val="20"/>
          <w:color w:val="auto"/>
        </w:rPr>
      </w:pPr>
    </w:p>
    <w:p>
      <w:pPr>
        <w:ind w:left="1547"/>
        <w:spacing w:after="0"/>
        <w:rPr>
          <w:sz w:val="20"/>
          <w:szCs w:val="20"/>
          <w:color w:val="auto"/>
        </w:rPr>
      </w:pPr>
      <w:r>
        <w:rPr>
          <w:rFonts w:ascii="Times New Roman" w:cs="Times New Roman" w:eastAsia="Times New Roman" w:hAnsi="Times New Roman"/>
          <w:sz w:val="17"/>
          <w:szCs w:val="17"/>
          <w:color w:val="auto"/>
        </w:rPr>
        <w:t>Liabilities incurred during the period</w:t>
      </w:r>
    </w:p>
    <w:p>
      <w:pPr>
        <w:spacing w:after="0" w:line="34" w:lineRule="exact"/>
        <w:rPr>
          <w:sz w:val="20"/>
          <w:szCs w:val="20"/>
          <w:color w:val="auto"/>
        </w:rPr>
      </w:pPr>
    </w:p>
    <w:p>
      <w:pPr>
        <w:ind w:left="1547"/>
        <w:spacing w:after="0"/>
        <w:rPr>
          <w:sz w:val="20"/>
          <w:szCs w:val="20"/>
          <w:color w:val="auto"/>
        </w:rPr>
      </w:pPr>
      <w:r>
        <w:rPr>
          <w:rFonts w:ascii="Times New Roman" w:cs="Times New Roman" w:eastAsia="Times New Roman" w:hAnsi="Times New Roman"/>
          <w:sz w:val="17"/>
          <w:szCs w:val="17"/>
          <w:color w:val="auto"/>
        </w:rPr>
        <w:t>Liabilities settled during the period</w:t>
      </w:r>
    </w:p>
    <w:p>
      <w:pPr>
        <w:spacing w:after="0" w:line="34" w:lineRule="exact"/>
        <w:rPr>
          <w:sz w:val="20"/>
          <w:szCs w:val="20"/>
          <w:color w:val="auto"/>
        </w:rPr>
      </w:pPr>
    </w:p>
    <w:p>
      <w:pPr>
        <w:ind w:left="1547"/>
        <w:spacing w:after="0"/>
        <w:rPr>
          <w:sz w:val="20"/>
          <w:szCs w:val="20"/>
          <w:color w:val="auto"/>
        </w:rPr>
      </w:pPr>
      <w:r>
        <w:rPr>
          <w:rFonts w:ascii="Times New Roman" w:cs="Times New Roman" w:eastAsia="Times New Roman" w:hAnsi="Times New Roman"/>
          <w:sz w:val="17"/>
          <w:szCs w:val="17"/>
          <w:color w:val="auto"/>
        </w:rPr>
        <w:t>Liabilities associated with properties exchanged or sold</w:t>
      </w:r>
    </w:p>
    <w:p>
      <w:pPr>
        <w:spacing w:after="0" w:line="34" w:lineRule="exact"/>
        <w:rPr>
          <w:sz w:val="20"/>
          <w:szCs w:val="20"/>
          <w:color w:val="auto"/>
        </w:rPr>
      </w:pPr>
    </w:p>
    <w:p>
      <w:pPr>
        <w:ind w:left="1547"/>
        <w:spacing w:after="0"/>
        <w:rPr>
          <w:sz w:val="20"/>
          <w:szCs w:val="20"/>
          <w:color w:val="auto"/>
        </w:rPr>
      </w:pPr>
      <w:r>
        <w:rPr>
          <w:rFonts w:ascii="Times New Roman" w:cs="Times New Roman" w:eastAsia="Times New Roman" w:hAnsi="Times New Roman"/>
          <w:sz w:val="17"/>
          <w:szCs w:val="17"/>
          <w:color w:val="auto"/>
        </w:rPr>
        <w:t>Liabilities associated with properties distributed to limited partner</w:t>
      </w:r>
    </w:p>
    <w:p>
      <w:pPr>
        <w:spacing w:after="0" w:line="34" w:lineRule="exact"/>
        <w:rPr>
          <w:sz w:val="20"/>
          <w:szCs w:val="20"/>
          <w:color w:val="auto"/>
        </w:rPr>
      </w:pPr>
    </w:p>
    <w:p>
      <w:pPr>
        <w:ind w:left="1547"/>
        <w:spacing w:after="0"/>
        <w:rPr>
          <w:sz w:val="20"/>
          <w:szCs w:val="20"/>
          <w:color w:val="auto"/>
        </w:rPr>
      </w:pPr>
      <w:r>
        <w:rPr>
          <w:rFonts w:ascii="Times New Roman" w:cs="Times New Roman" w:eastAsia="Times New Roman" w:hAnsi="Times New Roman"/>
          <w:sz w:val="17"/>
          <w:szCs w:val="17"/>
          <w:color w:val="auto"/>
        </w:rPr>
        <w:t>Accretion expense</w:t>
      </w:r>
    </w:p>
    <w:p>
      <w:pPr>
        <w:spacing w:after="0" w:line="34" w:lineRule="exact"/>
        <w:rPr>
          <w:sz w:val="20"/>
          <w:szCs w:val="20"/>
          <w:color w:val="auto"/>
        </w:rPr>
      </w:pPr>
    </w:p>
    <w:p>
      <w:pPr>
        <w:ind w:left="1547"/>
        <w:spacing w:after="0"/>
        <w:rPr>
          <w:sz w:val="20"/>
          <w:szCs w:val="20"/>
          <w:color w:val="auto"/>
        </w:rPr>
      </w:pPr>
      <w:r>
        <w:rPr>
          <w:rFonts w:ascii="Times New Roman" w:cs="Times New Roman" w:eastAsia="Times New Roman" w:hAnsi="Times New Roman"/>
          <w:sz w:val="17"/>
          <w:szCs w:val="17"/>
          <w:color w:val="auto"/>
        </w:rPr>
        <w:t>Balance, end of period</w:t>
      </w:r>
    </w:p>
    <w:p>
      <w:pPr>
        <w:spacing w:after="0" w:line="48" w:lineRule="exact"/>
        <w:rPr>
          <w:sz w:val="20"/>
          <w:szCs w:val="20"/>
          <w:color w:val="auto"/>
        </w:rPr>
      </w:pPr>
    </w:p>
    <w:p>
      <w:pPr>
        <w:ind w:left="1547"/>
        <w:spacing w:after="0"/>
        <w:rPr>
          <w:sz w:val="20"/>
          <w:szCs w:val="20"/>
          <w:color w:val="auto"/>
        </w:rPr>
      </w:pPr>
      <w:r>
        <w:rPr>
          <w:rFonts w:ascii="Times New Roman" w:cs="Times New Roman" w:eastAsia="Times New Roman" w:hAnsi="Times New Roman"/>
          <w:sz w:val="17"/>
          <w:szCs w:val="17"/>
          <w:color w:val="auto"/>
        </w:rPr>
        <w:t>Less current portion</w:t>
      </w:r>
    </w:p>
    <w:p>
      <w:pPr>
        <w:spacing w:after="0" w:line="48" w:lineRule="exact"/>
        <w:rPr>
          <w:sz w:val="20"/>
          <w:szCs w:val="20"/>
          <w:color w:val="auto"/>
        </w:rPr>
      </w:pPr>
    </w:p>
    <w:p>
      <w:pPr>
        <w:ind w:left="1547"/>
        <w:spacing w:after="0"/>
        <w:rPr>
          <w:sz w:val="20"/>
          <w:szCs w:val="20"/>
          <w:color w:val="auto"/>
        </w:rPr>
      </w:pPr>
      <w:r>
        <w:rPr>
          <w:rFonts w:ascii="Times New Roman" w:cs="Times New Roman" w:eastAsia="Times New Roman" w:hAnsi="Times New Roman"/>
          <w:sz w:val="17"/>
          <w:szCs w:val="17"/>
          <w:color w:val="auto"/>
        </w:rPr>
        <w:t>Non-current portion</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21590</wp:posOffset>
            </wp:positionV>
            <wp:extent cx="13798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30480</wp:posOffset>
            </wp:positionV>
            <wp:extent cx="13798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(in thousands)</w:t>
      </w:r>
    </w:p>
    <w:p>
      <w:pPr>
        <w:spacing w:after="0" w:line="48"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47,288</w:t>
      </w:r>
    </w:p>
    <w:p>
      <w:pPr>
        <w:spacing w:after="0" w:line="3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color w:val="auto"/>
        </w:rPr>
        <w:t>1,538</w:t>
      </w:r>
    </w:p>
    <w:p>
      <w:pPr>
        <w:spacing w:after="0" w:line="3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(358)</w:t>
      </w:r>
    </w:p>
    <w:p>
      <w:pPr>
        <w:spacing w:after="0" w:line="4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(147)</w:t>
      </w:r>
    </w:p>
    <w:p>
      <w:pPr>
        <w:spacing w:after="0" w:line="4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(734)</w:t>
      </w:r>
    </w:p>
    <w:p>
      <w:pPr>
        <w:spacing w:after="0" w:line="4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color w:val="auto"/>
        </w:rPr>
        <w:t>1,075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26670</wp:posOffset>
            </wp:positionV>
            <wp:extent cx="13798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8" w:lineRule="exact"/>
        <w:rPr>
          <w:sz w:val="20"/>
          <w:szCs w:val="20"/>
          <w:color w:val="auto"/>
        </w:rPr>
      </w:pPr>
    </w:p>
    <w:p>
      <w:pPr>
        <w:jc w:val="right"/>
        <w:ind w:right="1160"/>
        <w:spacing w:after="0"/>
        <w:rPr>
          <w:sz w:val="20"/>
          <w:szCs w:val="20"/>
          <w:color w:val="auto"/>
        </w:rPr>
      </w:pPr>
      <w:r>
        <w:rPr>
          <w:rFonts w:ascii="Times New Roman" w:cs="Times New Roman" w:eastAsia="Times New Roman" w:hAnsi="Times New Roman"/>
          <w:sz w:val="17"/>
          <w:szCs w:val="17"/>
          <w:color w:val="auto"/>
        </w:rPr>
        <w:t>48,662</w:t>
      </w:r>
    </w:p>
    <w:p>
      <w:pPr>
        <w:spacing w:after="0" w:line="34" w:lineRule="exact"/>
        <w:rPr>
          <w:sz w:val="20"/>
          <w:szCs w:val="20"/>
          <w:color w:val="auto"/>
        </w:rPr>
      </w:pPr>
    </w:p>
    <w:p>
      <w:pPr>
        <w:jc w:val="right"/>
        <w:ind w:right="1120"/>
        <w:spacing w:after="0"/>
        <w:rPr>
          <w:sz w:val="20"/>
          <w:szCs w:val="20"/>
          <w:color w:val="auto"/>
        </w:rPr>
      </w:pPr>
      <w:r>
        <w:rPr>
          <w:rFonts w:ascii="Times New Roman" w:cs="Times New Roman" w:eastAsia="Times New Roman" w:hAnsi="Times New Roman"/>
          <w:sz w:val="17"/>
          <w:szCs w:val="17"/>
          <w:color w:val="auto"/>
        </w:rPr>
        <w:t>(430)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26670</wp:posOffset>
            </wp:positionV>
            <wp:extent cx="13798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8"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48,232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26670</wp:posOffset>
            </wp:positionV>
            <wp:extent cx="13798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9855"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52705</wp:posOffset>
            </wp:positionV>
            <wp:extent cx="13798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47" w:space="720"/>
            <w:col w:w="3240"/>
          </w:cols>
          <w:pgMar w:left="393" w:top="1035" w:right="399" w:bottom="1440" w:gutter="0" w:footer="0" w:header="0"/>
          <w:type w:val="continuous"/>
        </w:sectPr>
      </w:pPr>
    </w:p>
    <w:p>
      <w:pPr>
        <w:spacing w:after="0" w:line="200" w:lineRule="exact"/>
        <w:rPr>
          <w:sz w:val="20"/>
          <w:szCs w:val="20"/>
          <w:color w:val="auto"/>
        </w:rPr>
      </w:pPr>
    </w:p>
    <w:p>
      <w:pPr>
        <w:spacing w:after="0" w:line="285" w:lineRule="exact"/>
        <w:rPr>
          <w:sz w:val="20"/>
          <w:szCs w:val="20"/>
          <w:color w:val="auto"/>
        </w:rPr>
      </w:pPr>
    </w:p>
    <w:p>
      <w:pPr>
        <w:jc w:val="both"/>
        <w:ind w:left="587" w:firstLine="389"/>
        <w:spacing w:after="0" w:line="250" w:lineRule="auto"/>
        <w:rPr>
          <w:sz w:val="20"/>
          <w:szCs w:val="20"/>
          <w:color w:val="auto"/>
        </w:rPr>
      </w:pPr>
      <w:r>
        <w:rPr>
          <w:rFonts w:ascii="Times New Roman" w:cs="Times New Roman" w:eastAsia="Times New Roman" w:hAnsi="Times New Roman"/>
          <w:sz w:val="18"/>
          <w:szCs w:val="18"/>
          <w:color w:val="auto"/>
        </w:rPr>
        <w:t>AROs for natural gas pipeline facilities generally become firm at the time the facilities are permanently shut down and dismantled. These obligations may include the costs of asset disposal and additional soil remediation. However, these sites have indeterminate lives based on plans for continued operations and as such, the fair value of the conditional legal obligations cannot be measured since it is impossible to estimate the future settlement dates of such obligations.</w:t>
      </w:r>
    </w:p>
    <w:p>
      <w:pPr>
        <w:sectPr>
          <w:pgSz w:w="11900" w:h="16838" w:orient="portrait"/>
          <w:cols w:equalWidth="0" w:num="1">
            <w:col w:w="11107"/>
          </w:cols>
          <w:pgMar w:left="393" w:top="1035"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7"/>
          </w:cols>
          <w:pgMar w:left="393" w:top="1035" w:right="399" w:bottom="1440" w:gutter="0" w:footer="0" w:header="0"/>
          <w:type w:val="continuous"/>
        </w:sectPr>
      </w:pPr>
    </w:p>
    <w:bookmarkStart w:id="18" w:name="page19"/>
    <w:bookmarkEnd w:id="18"/>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F.</w:t>
      </w:r>
      <w:r>
        <w:rPr>
          <w:sz w:val="20"/>
          <w:szCs w:val="20"/>
          <w:color w:val="auto"/>
        </w:rPr>
        <w:tab/>
      </w:r>
      <w:r>
        <w:rPr>
          <w:rFonts w:ascii="Times New Roman" w:cs="Times New Roman" w:eastAsia="Times New Roman" w:hAnsi="Times New Roman"/>
          <w:sz w:val="17"/>
          <w:szCs w:val="17"/>
          <w:b w:val="1"/>
          <w:bCs w:val="1"/>
          <w:color w:val="auto"/>
        </w:rPr>
        <w:t>Credit and Counterparty Risk</w:t>
      </w:r>
    </w:p>
    <w:p>
      <w:pPr>
        <w:spacing w:after="0" w:line="216" w:lineRule="exact"/>
        <w:rPr>
          <w:sz w:val="20"/>
          <w:szCs w:val="20"/>
          <w:color w:val="auto"/>
        </w:rPr>
      </w:pPr>
    </w:p>
    <w:p>
      <w:pPr>
        <w:jc w:val="both"/>
        <w:ind w:left="580" w:firstLine="324"/>
        <w:spacing w:after="0" w:line="244" w:lineRule="auto"/>
        <w:rPr>
          <w:sz w:val="20"/>
          <w:szCs w:val="20"/>
          <w:color w:val="auto"/>
        </w:rPr>
      </w:pPr>
      <w:r>
        <w:rPr>
          <w:rFonts w:ascii="Times New Roman" w:cs="Times New Roman" w:eastAsia="Times New Roman" w:hAnsi="Times New Roman"/>
          <w:sz w:val="18"/>
          <w:szCs w:val="18"/>
          <w:color w:val="auto"/>
        </w:rPr>
        <w:t>Cash and cash equivalents are maintained at financial institutions and, at times, balances may exceed federally insured limits. Amounts on deposit at financial institutions at June 30, 2024 were approximately $1.7 million, of which approximately $0.8 million was in excess of federally insured limits. In addition to funds maintained at financial institutions, at June 30, 2024, the Partnership had approximately $429.4 million invested in an institutional fund that invests at least 99.5% of its total assets in cash, U.S. Treasury Bills, notes or other obligations issued or guaranteed as to principal and interest by the U.S. Treasury, and repurchase agreements secured by such obligations or cash. The Partnership classifies investment securities with original maturities of three months or less as cash equivalents.</w:t>
      </w:r>
    </w:p>
    <w:p>
      <w:pPr>
        <w:spacing w:after="0" w:line="182" w:lineRule="exact"/>
        <w:rPr>
          <w:sz w:val="20"/>
          <w:szCs w:val="20"/>
          <w:color w:val="auto"/>
        </w:rPr>
      </w:pPr>
    </w:p>
    <w:p>
      <w:pPr>
        <w:jc w:val="both"/>
        <w:ind w:left="580" w:firstLine="324"/>
        <w:spacing w:after="0" w:line="247" w:lineRule="auto"/>
        <w:rPr>
          <w:sz w:val="20"/>
          <w:szCs w:val="20"/>
          <w:color w:val="auto"/>
        </w:rPr>
      </w:pPr>
      <w:r>
        <w:rPr>
          <w:rFonts w:ascii="Times New Roman" w:cs="Times New Roman" w:eastAsia="Times New Roman" w:hAnsi="Times New Roman"/>
          <w:sz w:val="18"/>
          <w:szCs w:val="18"/>
          <w:color w:val="auto"/>
        </w:rPr>
        <w:t>At June 30, 2024, the Partnership had no commodity derivatives. The Partnership routinely monitors the creditworthiness of its counterparties but does not require collateral or other security to support derivative instruments. However, agreements with the counterparties contain netting provisions such that if a default occurs, the non-defaulting party can offset the amount payable to the defaulting party under derivative contracts with the amount due from the defaulting party under derivative contracts. As a result of the netting provisions, the Partnership’s maximum amount of loss due to credit risk is limited to the net amounts due to and from the counterparty under the derivative contracts.</w:t>
      </w:r>
    </w:p>
    <w:p>
      <w:pPr>
        <w:spacing w:after="0" w:line="21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G.</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98" w:lineRule="exact"/>
        <w:rPr>
          <w:sz w:val="20"/>
          <w:szCs w:val="20"/>
          <w:color w:val="auto"/>
        </w:rPr>
      </w:pPr>
    </w:p>
    <w:p>
      <w:pPr>
        <w:jc w:val="both"/>
        <w:ind w:left="580" w:firstLine="32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Related party operator of oil and natural gas properties. </w:t>
      </w:r>
      <w:r>
        <w:rPr>
          <w:rFonts w:ascii="Times New Roman" w:cs="Times New Roman" w:eastAsia="Times New Roman" w:hAnsi="Times New Roman"/>
          <w:sz w:val="18"/>
          <w:szCs w:val="18"/>
          <w:color w:val="auto"/>
        </w:rPr>
        <w:t>Most of the Partnership’s properties are operated by CrownQuest. As of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aggregate related party accounts payable and accrued liabilities owed to CrownQuest in the normal course of the Partnership’s oil and natural gas property operations were $97.1 million, related specifically to accrued drilling costs on wells being drilled and completed as of period end, accrued ad valorem taxes and accrued infrastructure costs on facilities being constructed as of period end. Further, with respect to the properties operated by CrownQuest, at June 30, 2024, related party accounts receivable outstanding in the normal course of business related primarily to accrued oil and natural gas sales, fresh water sales and water disposal fees were $220.2 million.</w:t>
      </w:r>
    </w:p>
    <w:p>
      <w:pPr>
        <w:spacing w:after="0" w:line="179" w:lineRule="exact"/>
        <w:rPr>
          <w:sz w:val="20"/>
          <w:szCs w:val="20"/>
          <w:color w:val="auto"/>
        </w:rPr>
      </w:pPr>
    </w:p>
    <w:p>
      <w:pPr>
        <w:jc w:val="both"/>
        <w:ind w:left="580" w:right="20" w:firstLine="324"/>
        <w:spacing w:after="0" w:line="250" w:lineRule="auto"/>
        <w:rPr>
          <w:sz w:val="20"/>
          <w:szCs w:val="20"/>
          <w:color w:val="auto"/>
        </w:rPr>
      </w:pPr>
      <w:r>
        <w:rPr>
          <w:rFonts w:ascii="Times New Roman" w:cs="Times New Roman" w:eastAsia="Times New Roman" w:hAnsi="Times New Roman"/>
          <w:sz w:val="18"/>
          <w:szCs w:val="18"/>
          <w:color w:val="auto"/>
        </w:rPr>
        <w:t>As a result of its ownership of surface acreage, water rights and infrastructure, the Partnership recognizes amounts due from CrownQuest for surface damages, fresh water purchases and water disposal. During the six months ended June 30, 2024, the Partnership recognized receivables from CrownQuest of $27.9 million for these transactions. The unpaid portion of these amounts due are included in the related party accounts receivable listed above.</w:t>
      </w:r>
    </w:p>
    <w:p>
      <w:pPr>
        <w:spacing w:after="0" w:line="160" w:lineRule="exact"/>
        <w:rPr>
          <w:sz w:val="20"/>
          <w:szCs w:val="20"/>
          <w:color w:val="auto"/>
        </w:rPr>
      </w:pPr>
    </w:p>
    <w:p>
      <w:pPr>
        <w:jc w:val="both"/>
        <w:ind w:left="580" w:firstLine="32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Management fees paid to related party. </w:t>
      </w:r>
      <w:r>
        <w:rPr>
          <w:rFonts w:ascii="Times New Roman" w:cs="Times New Roman" w:eastAsia="Times New Roman" w:hAnsi="Times New Roman"/>
          <w:sz w:val="18"/>
          <w:szCs w:val="18"/>
          <w:color w:val="auto"/>
        </w:rPr>
        <w:t>Pursuant to an administrative support agreement, the Partnership pays CrownQuest a monthly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fee based upon an annual budget approved by the Partnership. The Partnership is required to reimburse CrownQuest for substantially all costs, which include employee expense, rent expense, license fees, insurance cost, general office expenses, depreciation expense related to capitalized equipment, third party charges incurred for the benefit of the Partnership, and any and all expenses incurred by CrownQuest in providing support to the Partnership net of any amounts received under any operating agreements. During the six months ended June 30, 2024, the Partnership recorded management fees of $6.4 million in general and administrative expenses.</w:t>
      </w:r>
    </w:p>
    <w:p>
      <w:pPr>
        <w:spacing w:after="0" w:line="161" w:lineRule="exact"/>
        <w:rPr>
          <w:sz w:val="20"/>
          <w:szCs w:val="20"/>
          <w:color w:val="auto"/>
        </w:rPr>
      </w:pPr>
    </w:p>
    <w:p>
      <w:pPr>
        <w:jc w:val="both"/>
        <w:ind w:left="580" w:firstLine="324"/>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Royalty and other payments to affiliates. </w:t>
      </w:r>
      <w:r>
        <w:rPr>
          <w:rFonts w:ascii="Times New Roman" w:cs="Times New Roman" w:eastAsia="Times New Roman" w:hAnsi="Times New Roman"/>
          <w:sz w:val="18"/>
          <w:szCs w:val="18"/>
          <w:color w:val="auto"/>
        </w:rPr>
        <w:t>CrownQuest, as the operator of the Partnership’s properties, periodically makes various types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payments to companies affiliated with CrownQuest and the Partnership in connection with its role as operator of properties in which the Partnership owns a working interest. During the six months ended June 30, 2024 payments of $86.0 million were made by CrownQuest to affiliates for royalty interests, lease bonuses and extensions, surface acquisitions, surface damages, water purchases and water disposal with respect to such properties. Payments during the six months ended June 30, 2024 include amounts paid to a CrownQuest-affiliated royalty partnership formed in July 2018 (the “2018 Royalty Partnership”) and a CrownQuest-affiliated royalty partnership formed in March 2016 (the “2016 Royalty Partnership”). These royalty partnerships acquired royalty interests from third parties on properties operated by CrownQuest and in which the Partnership owns working interests. Payments to the 2018 Royalty Partnership during the six months ended June 30, 2024 were $12.5 million, primarily for royalty interests on properties operated by CrownQuest in which the Partnership owns a working interest. Payments to the 2016 Royalty Partnership during the six months ended June 30, 2024 were $69.6 million, primarily for royalty interests on properties operated by CrownQuest.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400" w:top="1035" w:right="399" w:bottom="1440" w:gutter="0" w:footer="0" w:header="0"/>
        </w:sectPr>
      </w:pPr>
    </w:p>
    <w:bookmarkStart w:id="19" w:name="page20"/>
    <w:bookmarkEnd w:id="19"/>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G.</w:t>
      </w:r>
      <w:r>
        <w:rPr>
          <w:sz w:val="20"/>
          <w:szCs w:val="20"/>
          <w:color w:val="auto"/>
        </w:rPr>
        <w:tab/>
      </w:r>
      <w:r>
        <w:rPr>
          <w:rFonts w:ascii="Times New Roman" w:cs="Times New Roman" w:eastAsia="Times New Roman" w:hAnsi="Times New Roman"/>
          <w:sz w:val="17"/>
          <w:szCs w:val="17"/>
          <w:b w:val="1"/>
          <w:bCs w:val="1"/>
          <w:color w:val="auto"/>
        </w:rPr>
        <w:t>Related Party Transactions (Continued)</w:t>
      </w:r>
    </w:p>
    <w:p>
      <w:pPr>
        <w:spacing w:after="0" w:line="212" w:lineRule="exact"/>
        <w:rPr>
          <w:sz w:val="20"/>
          <w:szCs w:val="20"/>
          <w:color w:val="auto"/>
        </w:rPr>
      </w:pPr>
    </w:p>
    <w:p>
      <w:pPr>
        <w:jc w:val="both"/>
        <w:ind w:left="64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Oil and natural gas property lease from an officer of CrownQuest. </w:t>
      </w:r>
      <w:r>
        <w:rPr>
          <w:rFonts w:ascii="Times New Roman" w:cs="Times New Roman" w:eastAsia="Times New Roman" w:hAnsi="Times New Roman"/>
          <w:sz w:val="18"/>
          <w:szCs w:val="18"/>
          <w:color w:val="auto"/>
        </w:rPr>
        <w:t>A family partnership controlled by Mr. Robert W. Floyd,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CrownQuest and Director of Holdings GP, and his wife has royalty interests in certain properties that the Partnership is developing in the Permian Basin. During the six months ended June 30, 2024, CrownQuest paid $4 thousand for royalty interests on properties operated by CrownQuest.</w:t>
      </w:r>
    </w:p>
    <w:p>
      <w:pPr>
        <w:spacing w:after="0" w:line="174" w:lineRule="exact"/>
        <w:rPr>
          <w:sz w:val="20"/>
          <w:szCs w:val="20"/>
          <w:color w:val="auto"/>
        </w:rPr>
      </w:pPr>
    </w:p>
    <w:p>
      <w:pPr>
        <w:jc w:val="both"/>
        <w:ind w:left="640" w:firstLine="324"/>
        <w:spacing w:after="0" w:line="246" w:lineRule="auto"/>
        <w:rPr>
          <w:sz w:val="20"/>
          <w:szCs w:val="20"/>
          <w:color w:val="auto"/>
        </w:rPr>
      </w:pPr>
      <w:r>
        <w:rPr>
          <w:rFonts w:ascii="Times New Roman" w:cs="Times New Roman" w:eastAsia="Times New Roman" w:hAnsi="Times New Roman"/>
          <w:sz w:val="18"/>
          <w:szCs w:val="18"/>
          <w:color w:val="auto"/>
        </w:rPr>
        <w:t>In a series of transactions beginning in August 2013, the Partnership entered into oil and natural gas property lease agreements with several relatives of Mr. Floyd and a family limited liability company in which Mr. Floyd owns a 33 1/3% interest. The leases are for unproved acreage in the Midland Basin in West Texas. The Partnership is currently developing this acreage. During the six months ended June 30, 2024, CrownQuest paid $26.8 million, primarily for royalty interests on properties operated by CrownQuest, to Mr. Floyd’s relatives and the family limited liability company mentioned above.</w:t>
      </w:r>
    </w:p>
    <w:p>
      <w:pPr>
        <w:spacing w:after="0" w:line="177" w:lineRule="exact"/>
        <w:rPr>
          <w:sz w:val="20"/>
          <w:szCs w:val="20"/>
          <w:color w:val="auto"/>
        </w:rPr>
      </w:pPr>
    </w:p>
    <w:p>
      <w:pPr>
        <w:jc w:val="both"/>
        <w:ind w:left="640" w:firstLine="324"/>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Related party owner and operator of aircraft used by CrownQuest. </w:t>
      </w:r>
      <w:r>
        <w:rPr>
          <w:rFonts w:ascii="Times New Roman" w:cs="Times New Roman" w:eastAsia="Times New Roman" w:hAnsi="Times New Roman"/>
          <w:sz w:val="18"/>
          <w:szCs w:val="18"/>
          <w:color w:val="auto"/>
        </w:rPr>
        <w:t>Mr. Floyd and EnerQuest Oil &amp; Gas Ltd. (“EOG”), an entity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affiliated with the Partnership, own an entity named EnerQuest Aviation Partners, LLC (“Aviation Partners”) which owns 60% of an aircraft with the other 40% belonging to a third party individual. The aircraft is managed by Crown Eye Partners, LLC (“Crown Eye”) which is owned 60% by Aviation Partners and 40% by the same third party individual. This aircraft is available for use by CrownQuest employees when conducting business on behalf of the Partnership. The Partnership pays CrownQuest’s usage of the aircraft under the terms of the administrative support agreement. During the six months ended June 30, 2024, CrownQuest did not use the aircraft.</w:t>
      </w:r>
    </w:p>
    <w:p>
      <w:pPr>
        <w:spacing w:after="0" w:line="21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H.</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212" w:lineRule="exact"/>
        <w:rPr>
          <w:sz w:val="20"/>
          <w:szCs w:val="20"/>
          <w:color w:val="auto"/>
        </w:rPr>
      </w:pPr>
    </w:p>
    <w:p>
      <w:pPr>
        <w:jc w:val="both"/>
        <w:ind w:left="6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Assets and Liabilities Measured at Fair Value on a Recurring Basis. </w:t>
      </w:r>
      <w:r>
        <w:rPr>
          <w:rFonts w:ascii="Times New Roman" w:cs="Times New Roman" w:eastAsia="Times New Roman" w:hAnsi="Times New Roman"/>
          <w:sz w:val="18"/>
          <w:szCs w:val="18"/>
          <w:color w:val="auto"/>
        </w:rPr>
        <w:t>The following table sets forth by level within the fair value hierarchy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Partnership’s financial assets and liabilities that were accounted for at fair value on a recurring basis as of June 30, 2024.</w:t>
      </w:r>
    </w:p>
    <w:p>
      <w:pPr>
        <w:spacing w:after="0" w:line="80" w:lineRule="exact"/>
        <w:rPr>
          <w:sz w:val="20"/>
          <w:szCs w:val="20"/>
          <w:color w:val="auto"/>
        </w:rPr>
      </w:pPr>
    </w:p>
    <w:tbl>
      <w:tblPr>
        <w:tblLayout w:type="fixed"/>
        <w:tblInd w:w="640" w:type="dxa"/>
        <w:tblCellMar>
          <w:top w:w="0" w:type="dxa"/>
          <w:left w:w="0" w:type="dxa"/>
          <w:bottom w:w="0" w:type="dxa"/>
          <w:right w:w="0" w:type="dxa"/>
        </w:tblCellMar>
      </w:tblPr>
      <w:tr>
        <w:trPr>
          <w:trHeight w:val="225"/>
        </w:trPr>
        <w:tc>
          <w:tcPr>
            <w:tcW w:w="3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Fair value measurements using</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13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3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1340" w:type="dxa"/>
            <w:vAlign w:val="bottom"/>
            <w:gridSpan w:val="2"/>
            <w:vMerge w:val="continue"/>
          </w:tcPr>
          <w:p>
            <w:pPr>
              <w:spacing w:after="0"/>
              <w:rPr>
                <w:sz w:val="6"/>
                <w:szCs w:val="6"/>
                <w:color w:val="auto"/>
              </w:rPr>
            </w:pPr>
          </w:p>
        </w:tc>
        <w:tc>
          <w:tcPr>
            <w:tcW w:w="1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vMerge w:val="restart"/>
          </w:tcPr>
          <w:p>
            <w:pPr>
              <w:jc w:val="center"/>
              <w:ind w:right="1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observable</w:t>
            </w:r>
          </w:p>
        </w:tc>
        <w:tc>
          <w:tcPr>
            <w:tcW w:w="1500" w:type="dxa"/>
            <w:vAlign w:val="bottom"/>
            <w:gridSpan w:val="2"/>
            <w:vMerge w:val="restart"/>
          </w:tcPr>
          <w:p>
            <w:pPr>
              <w:jc w:val="center"/>
              <w:ind w:right="1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markets (Level</w:t>
            </w:r>
          </w:p>
        </w:tc>
        <w:tc>
          <w:tcPr>
            <w:tcW w:w="1340" w:type="dxa"/>
            <w:vAlign w:val="bottom"/>
            <w:gridSpan w:val="2"/>
            <w:vMerge w:val="continue"/>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40" w:type="dxa"/>
            <w:vAlign w:val="bottom"/>
            <w:gridSpan w:val="2"/>
          </w:tcPr>
          <w:p>
            <w:pPr>
              <w:ind w:left="320"/>
              <w:spacing w:after="0" w:line="189" w:lineRule="exact"/>
              <w:rPr>
                <w:sz w:val="20"/>
                <w:szCs w:val="20"/>
                <w:color w:val="auto"/>
              </w:rPr>
            </w:pPr>
            <w:r>
              <w:rPr>
                <w:rFonts w:ascii="Times New Roman" w:cs="Times New Roman" w:eastAsia="Times New Roman" w:hAnsi="Times New Roman"/>
                <w:sz w:val="18"/>
                <w:szCs w:val="18"/>
                <w:b w:val="1"/>
                <w:bCs w:val="1"/>
                <w:color w:val="auto"/>
              </w:rPr>
              <w:t>inputs</w:t>
            </w:r>
          </w:p>
        </w:tc>
        <w:tc>
          <w:tcPr>
            <w:tcW w:w="1500" w:type="dxa"/>
            <w:vAlign w:val="bottom"/>
            <w:gridSpan w:val="2"/>
          </w:tcPr>
          <w:p>
            <w:pPr>
              <w:ind w:left="420"/>
              <w:spacing w:after="0" w:line="189" w:lineRule="exact"/>
              <w:rPr>
                <w:sz w:val="20"/>
                <w:szCs w:val="20"/>
                <w:color w:val="auto"/>
              </w:rPr>
            </w:pPr>
            <w:r>
              <w:rPr>
                <w:rFonts w:ascii="Times New Roman" w:cs="Times New Roman" w:eastAsia="Times New Roman" w:hAnsi="Times New Roman"/>
                <w:sz w:val="18"/>
                <w:szCs w:val="18"/>
                <w:b w:val="1"/>
                <w:bCs w:val="1"/>
                <w:color w:val="auto"/>
              </w:rPr>
              <w:t>inputs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40" w:type="dxa"/>
            <w:vAlign w:val="bottom"/>
          </w:tcPr>
          <w:p>
            <w:pPr>
              <w:spacing w:after="0"/>
              <w:rPr>
                <w:sz w:val="19"/>
                <w:szCs w:val="19"/>
                <w:color w:val="auto"/>
              </w:rPr>
            </w:pPr>
          </w:p>
        </w:tc>
        <w:tc>
          <w:tcPr>
            <w:tcW w:w="124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Pr>
          <w:p>
            <w:pPr>
              <w:spacing w:after="0"/>
              <w:rPr>
                <w:sz w:val="19"/>
                <w:szCs w:val="19"/>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Pr>
          <w:p>
            <w:pPr>
              <w:spacing w:after="0"/>
              <w:rPr>
                <w:sz w:val="19"/>
                <w:szCs w:val="19"/>
                <w:color w:val="auto"/>
              </w:rPr>
            </w:pPr>
          </w:p>
        </w:tc>
        <w:tc>
          <w:tcPr>
            <w:tcW w:w="11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4"/>
        </w:trPr>
        <w:tc>
          <w:tcPr>
            <w:tcW w:w="35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Borders>
              <w:top w:val="single" w:sz="8" w:color="auto"/>
            </w:tcBorders>
            <w:gridSpan w:val="3"/>
          </w:tcPr>
          <w:p>
            <w:pPr>
              <w:ind w:left="88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3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Money market funds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429,370</w:t>
            </w:r>
          </w:p>
        </w:tc>
        <w:tc>
          <w:tcPr>
            <w:tcW w:w="120" w:type="dxa"/>
            <w:vAlign w:val="bottom"/>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429,370</w:t>
            </w:r>
          </w:p>
        </w:tc>
        <w:tc>
          <w:tcPr>
            <w:tcW w:w="0" w:type="dxa"/>
            <w:vAlign w:val="bottom"/>
          </w:tcPr>
          <w:p>
            <w:pPr>
              <w:spacing w:after="0"/>
              <w:rPr>
                <w:sz w:val="1"/>
                <w:szCs w:val="1"/>
                <w:color w:val="auto"/>
              </w:rPr>
            </w:pPr>
          </w:p>
        </w:tc>
      </w:tr>
      <w:tr>
        <w:trPr>
          <w:trHeight w:val="433"/>
        </w:trPr>
        <w:tc>
          <w:tcPr>
            <w:tcW w:w="358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Total as of June 30,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429,370</w:t>
            </w:r>
          </w:p>
        </w:tc>
        <w:tc>
          <w:tcPr>
            <w:tcW w:w="120" w:type="dxa"/>
            <w:vAlign w:val="bottom"/>
          </w:tcPr>
          <w:p>
            <w:pPr>
              <w:spacing w:after="0"/>
              <w:rPr>
                <w:sz w:val="24"/>
                <w:szCs w:val="24"/>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429,370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following table represents the carrying amounts and fair values of the Partnership’s financial instruments at June 30, 2024.</w:t>
      </w:r>
    </w:p>
    <w:p>
      <w:pPr>
        <w:spacing w:after="0" w:line="4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19685</wp:posOffset>
            </wp:positionV>
            <wp:extent cx="1954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Fair</w:t>
      </w:r>
    </w:p>
    <w:p>
      <w:pPr>
        <w:ind w:left="468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Carrying Value</w:t>
      </w:r>
      <w:r>
        <w:rPr>
          <w:sz w:val="20"/>
          <w:szCs w:val="20"/>
          <w:color w:val="auto"/>
        </w:rPr>
        <w:tab/>
      </w:r>
      <w:r>
        <w:rPr>
          <w:rFonts w:ascii="Times New Roman" w:cs="Times New Roman" w:eastAsia="Times New Roman" w:hAnsi="Times New Roman"/>
          <w:sz w:val="17"/>
          <w:szCs w:val="17"/>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13335</wp:posOffset>
            </wp:positionV>
            <wp:extent cx="19545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1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3" w:lineRule="exact"/>
        <w:rPr>
          <w:sz w:val="20"/>
          <w:szCs w:val="20"/>
          <w:color w:val="auto"/>
        </w:rPr>
      </w:pPr>
    </w:p>
    <w:p>
      <w:pPr>
        <w:ind w:left="2140"/>
        <w:spacing w:after="0"/>
        <w:tabs>
          <w:tab w:leader="none" w:pos="4580" w:val="left"/>
          <w:tab w:leader="none" w:pos="5360" w:val="left"/>
          <w:tab w:leader="none" w:pos="6280" w:val="left"/>
          <w:tab w:leader="none" w:pos="7040" w:val="left"/>
        </w:tabs>
        <w:rPr>
          <w:sz w:val="20"/>
          <w:szCs w:val="20"/>
          <w:color w:val="auto"/>
        </w:rPr>
      </w:pPr>
      <w:r>
        <w:rPr>
          <w:rFonts w:ascii="Times New Roman" w:cs="Times New Roman" w:eastAsia="Times New Roman" w:hAnsi="Times New Roman"/>
          <w:sz w:val="18"/>
          <w:szCs w:val="18"/>
          <w:color w:val="auto"/>
        </w:rPr>
        <w:t>Money market funds</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429,370</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429,370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5715</wp:posOffset>
            </wp:positionV>
            <wp:extent cx="195453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5453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400" w:top="1035" w:right="399" w:bottom="1440" w:gutter="0" w:footer="0" w:header="0"/>
        </w:sectPr>
      </w:pPr>
    </w:p>
    <w:bookmarkStart w:id="20" w:name="page21"/>
    <w:bookmarkEnd w:id="20"/>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H.</w:t>
      </w:r>
      <w:r>
        <w:rPr>
          <w:sz w:val="20"/>
          <w:szCs w:val="20"/>
          <w:color w:val="auto"/>
        </w:rPr>
        <w:tab/>
      </w:r>
      <w:r>
        <w:rPr>
          <w:rFonts w:ascii="Times New Roman" w:cs="Times New Roman" w:eastAsia="Times New Roman" w:hAnsi="Times New Roman"/>
          <w:sz w:val="17"/>
          <w:szCs w:val="17"/>
          <w:b w:val="1"/>
          <w:bCs w:val="1"/>
          <w:color w:val="auto"/>
        </w:rPr>
        <w:t>Fair Value (Continued)</w:t>
      </w:r>
    </w:p>
    <w:p>
      <w:pPr>
        <w:spacing w:after="0" w:line="212" w:lineRule="exact"/>
        <w:rPr>
          <w:sz w:val="20"/>
          <w:szCs w:val="20"/>
          <w:color w:val="auto"/>
        </w:rPr>
      </w:pPr>
    </w:p>
    <w:p>
      <w:pPr>
        <w:ind w:left="640" w:right="2300" w:firstLine="324"/>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Credit Facility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fair value of the revolving Credit Facility borrowings approximate the carrying amounts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upon interest rates currently available to the Partnership for borrowings with similar terms (Level 2).</w:t>
      </w:r>
    </w:p>
    <w:p>
      <w:pPr>
        <w:spacing w:after="0" w:line="154" w:lineRule="exact"/>
        <w:rPr>
          <w:sz w:val="20"/>
          <w:szCs w:val="20"/>
          <w:color w:val="auto"/>
        </w:rPr>
      </w:pPr>
    </w:p>
    <w:p>
      <w:pPr>
        <w:jc w:val="both"/>
        <w:ind w:left="640" w:right="20" w:firstLine="324"/>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Notes. </w:t>
      </w:r>
      <w:r>
        <w:rPr>
          <w:rFonts w:ascii="Times New Roman" w:cs="Times New Roman" w:eastAsia="Times New Roman" w:hAnsi="Times New Roman"/>
          <w:sz w:val="18"/>
          <w:szCs w:val="18"/>
          <w:color w:val="auto"/>
        </w:rPr>
        <w:t>The fair value of the Partnership’s 2025 Senior Notes was $863.8 million at June 30, 2024. The fair value of the Partnership’s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2029 Senior Notes was $372.3 million at June 30, 2024. Such fair value was determined using Level 2 inputs including quoted period end market prices.</w:t>
      </w:r>
    </w:p>
    <w:p>
      <w:pPr>
        <w:spacing w:after="0" w:line="151" w:lineRule="exact"/>
        <w:rPr>
          <w:sz w:val="20"/>
          <w:szCs w:val="20"/>
          <w:color w:val="auto"/>
        </w:rPr>
      </w:pPr>
    </w:p>
    <w:p>
      <w:pPr>
        <w:jc w:val="both"/>
        <w:ind w:left="640" w:firstLine="324"/>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financial assets and liabilities. </w:t>
      </w:r>
      <w:r>
        <w:rPr>
          <w:rFonts w:ascii="Times New Roman" w:cs="Times New Roman" w:eastAsia="Times New Roman" w:hAnsi="Times New Roman"/>
          <w:sz w:val="18"/>
          <w:szCs w:val="18"/>
          <w:color w:val="auto"/>
        </w:rPr>
        <w:t>The Partnership has other financial instruments consisting primarily of receivables, payables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current assets and liabilities. The carrying amounts approximate fair value due to the short maturity of these instruments.</w:t>
      </w:r>
    </w:p>
    <w:p>
      <w:pPr>
        <w:spacing w:after="0" w:line="15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Assets and Liabilities Measured at Fair Value on a Nonrecurring Basis. </w:t>
      </w:r>
      <w:r>
        <w:rPr>
          <w:rFonts w:ascii="Times New Roman" w:cs="Times New Roman" w:eastAsia="Times New Roman" w:hAnsi="Times New Roman"/>
          <w:sz w:val="18"/>
          <w:szCs w:val="18"/>
          <w:color w:val="auto"/>
        </w:rPr>
        <w:t>Non-recurring fair value</w:t>
      </w:r>
    </w:p>
    <w:p>
      <w:pPr>
        <w:spacing w:after="0" w:line="31" w:lineRule="exact"/>
        <w:rPr>
          <w:sz w:val="20"/>
          <w:szCs w:val="20"/>
          <w:color w:val="auto"/>
        </w:rPr>
      </w:pPr>
    </w:p>
    <w:p>
      <w:pPr>
        <w:jc w:val="both"/>
        <w:ind w:left="640"/>
        <w:spacing w:after="0" w:line="243" w:lineRule="auto"/>
        <w:rPr>
          <w:sz w:val="20"/>
          <w:szCs w:val="20"/>
          <w:color w:val="auto"/>
        </w:rPr>
      </w:pPr>
      <w:r>
        <w:rPr>
          <w:rFonts w:ascii="Times New Roman" w:cs="Times New Roman" w:eastAsia="Times New Roman" w:hAnsi="Times New Roman"/>
          <w:sz w:val="18"/>
          <w:szCs w:val="18"/>
          <w:color w:val="auto"/>
        </w:rPr>
        <w:t>measurements include certain nonfinancial assets and liabilities as may be acquired in a business combination or property exchange and thereby measured at fair value; impaired oil and natural gas property assessments; and the initial recognition of AROs for which fair value is used. These estimates are derived from historical costs as well as management’s expectation of future cost and commodity price environments. As there is no corroborating market activity to support the assumptions used, the Partnership has designated these estimates as Level 3.</w:t>
      </w:r>
    </w:p>
    <w:p>
      <w:pPr>
        <w:spacing w:after="0" w:line="165" w:lineRule="exact"/>
        <w:rPr>
          <w:sz w:val="20"/>
          <w:szCs w:val="20"/>
          <w:color w:val="auto"/>
        </w:rPr>
      </w:pPr>
    </w:p>
    <w:p>
      <w:pPr>
        <w:jc w:val="both"/>
        <w:ind w:left="640" w:firstLine="32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Impairments of long-lived assets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Partnership reviews its long-lived assets to be held and used, including proved oil and natural gas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properties accounted for under the successful efforts method of accounting, whenever events or circumstances indicate that the carrying value of those assets may not be recoverable, for instance when there are declines in commodity prices or well performance. The Partnership performed such a review at June 30, 2024 and determined there was no impairment. During the six months ended June 30, 2024, the Partnership did not recognize a non-cash charge against earnings nor a corresponding allowance for expiring acreage.</w:t>
      </w:r>
    </w:p>
    <w:p>
      <w:pPr>
        <w:spacing w:after="0" w:line="21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I.</w:t>
        <w:tab/>
        <w:t>Commitments and Contingencies</w:t>
      </w:r>
    </w:p>
    <w:p>
      <w:pPr>
        <w:spacing w:after="0" w:line="216" w:lineRule="exact"/>
        <w:rPr>
          <w:sz w:val="20"/>
          <w:szCs w:val="20"/>
          <w:color w:val="auto"/>
        </w:rPr>
      </w:pPr>
    </w:p>
    <w:p>
      <w:pPr>
        <w:jc w:val="both"/>
        <w:ind w:left="640" w:right="20" w:firstLine="324"/>
        <w:spacing w:after="0" w:line="250" w:lineRule="auto"/>
        <w:rPr>
          <w:sz w:val="20"/>
          <w:szCs w:val="20"/>
          <w:color w:val="auto"/>
        </w:rPr>
      </w:pPr>
      <w:r>
        <w:rPr>
          <w:rFonts w:ascii="Times New Roman" w:cs="Times New Roman" w:eastAsia="Times New Roman" w:hAnsi="Times New Roman"/>
          <w:sz w:val="18"/>
          <w:szCs w:val="18"/>
          <w:color w:val="auto"/>
        </w:rPr>
        <w:t>As part of the administrative support agreement between the Partnership and CrownQuest, the Partnership reimburses CrownQuest for rent expense. At June 30, 2024, CrownQuest was party to one operating lease with Canvasback for office space: lease agreement dated August 28, 2023 with Canvasback as lessor on the field operations office and barn in Martin County, Texas and the extension of the field operations office in Martin County, Texas. The lease agreement was effective September 1, 2023 and terminates on August 31, 2024.</w:t>
      </w:r>
    </w:p>
    <w:p>
      <w:pPr>
        <w:spacing w:after="0" w:line="177"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Partnership reimbursed CrownQuest for rent expense for office space of $492 thousand, included in the monthly management fee. The rent expense relates to the Canvasback lease which is eliminated in consolidation.</w:t>
      </w:r>
    </w:p>
    <w:p>
      <w:pPr>
        <w:spacing w:after="0" w:line="149" w:lineRule="exact"/>
        <w:rPr>
          <w:sz w:val="20"/>
          <w:szCs w:val="20"/>
          <w:color w:val="auto"/>
        </w:rPr>
      </w:pPr>
    </w:p>
    <w:p>
      <w:pPr>
        <w:jc w:val="both"/>
        <w:ind w:left="640" w:firstLine="324"/>
        <w:spacing w:after="0" w:line="258" w:lineRule="auto"/>
        <w:rPr>
          <w:sz w:val="20"/>
          <w:szCs w:val="20"/>
          <w:color w:val="auto"/>
        </w:rPr>
      </w:pPr>
      <w:r>
        <w:rPr>
          <w:rFonts w:ascii="Times New Roman" w:cs="Times New Roman" w:eastAsia="Times New Roman" w:hAnsi="Times New Roman"/>
          <w:sz w:val="18"/>
          <w:szCs w:val="18"/>
          <w:color w:val="auto"/>
        </w:rPr>
        <w:t>In conjunction with the entity restructurings and asset conveyances – see Note B – Summary of Significant Accounting Policies – and Canvasback’s distribution of the Partnership’s headquarters building and land to 18 Desta, the operating lease for the headquarters building with CrownQuest, as lessee, was also assigned to 18 Desta.</w:t>
      </w:r>
    </w:p>
    <w:p>
      <w:pPr>
        <w:spacing w:after="0" w:line="169"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CrownQuest has entered into contracts to secure the availability of drilling rigs and are subject to payments in accordance with the contracts based on the utilization of the drilling rigs.</w:t>
      </w:r>
    </w:p>
    <w:p>
      <w:pPr>
        <w:spacing w:after="0" w:line="162" w:lineRule="exact"/>
        <w:rPr>
          <w:sz w:val="20"/>
          <w:szCs w:val="20"/>
          <w:color w:val="auto"/>
        </w:rPr>
      </w:pPr>
    </w:p>
    <w:p>
      <w:pPr>
        <w:jc w:val="both"/>
        <w:ind w:left="640" w:right="2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Partnership is party to ordinary routine litigation incidental to the business. The Partnership believes that the results of such proceedings will not have a material adverse effect on its condensed consolidated financial statements.</w:t>
      </w:r>
    </w:p>
    <w:p>
      <w:pPr>
        <w:spacing w:after="0" w:line="19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J.</w:t>
        <w:tab/>
        <w:t>Partners’ Capital</w:t>
      </w:r>
    </w:p>
    <w:p>
      <w:pPr>
        <w:spacing w:after="0" w:line="216" w:lineRule="exact"/>
        <w:rPr>
          <w:sz w:val="20"/>
          <w:szCs w:val="20"/>
          <w:color w:val="auto"/>
        </w:rPr>
      </w:pPr>
    </w:p>
    <w:p>
      <w:pPr>
        <w:jc w:val="both"/>
        <w:ind w:left="640" w:firstLine="324"/>
        <w:spacing w:after="0" w:line="258" w:lineRule="auto"/>
        <w:rPr>
          <w:sz w:val="20"/>
          <w:szCs w:val="20"/>
          <w:color w:val="auto"/>
        </w:rPr>
      </w:pPr>
      <w:r>
        <w:rPr>
          <w:rFonts w:ascii="Times New Roman" w:cs="Times New Roman" w:eastAsia="Times New Roman" w:hAnsi="Times New Roman"/>
          <w:sz w:val="18"/>
          <w:szCs w:val="18"/>
          <w:color w:val="auto"/>
        </w:rPr>
        <w:t>CrownRock, L.P. is a privately held limited partnership formed in the State of Delaware on February 14, 2007. Holdings GP has the exclusive right to manage the business of the Partnership and has all powers and rights necessary or advisable to effectuate and carry out the purposes and business of the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400" w:top="1035" w:right="399" w:bottom="1440" w:gutter="0" w:footer="0" w:header="0"/>
        </w:sectPr>
      </w:pPr>
    </w:p>
    <w:bookmarkStart w:id="21" w:name="page22"/>
    <w:bookmarkEnd w:id="21"/>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J.</w:t>
      </w:r>
      <w:r>
        <w:rPr>
          <w:sz w:val="20"/>
          <w:szCs w:val="20"/>
          <w:color w:val="auto"/>
        </w:rPr>
        <w:tab/>
      </w:r>
      <w:r>
        <w:rPr>
          <w:rFonts w:ascii="Times New Roman" w:cs="Times New Roman" w:eastAsia="Times New Roman" w:hAnsi="Times New Roman"/>
          <w:sz w:val="17"/>
          <w:szCs w:val="17"/>
          <w:b w:val="1"/>
          <w:bCs w:val="1"/>
          <w:color w:val="auto"/>
        </w:rPr>
        <w:t>Partners’ Capital (Continued)</w:t>
      </w:r>
    </w:p>
    <w:p>
      <w:pPr>
        <w:spacing w:after="0" w:line="202" w:lineRule="exact"/>
        <w:rPr>
          <w:sz w:val="20"/>
          <w:szCs w:val="20"/>
          <w:color w:val="auto"/>
        </w:rPr>
      </w:pPr>
    </w:p>
    <w:p>
      <w:pPr>
        <w:jc w:val="both"/>
        <w:ind w:left="640" w:right="60" w:firstLine="324"/>
        <w:spacing w:after="0" w:line="247" w:lineRule="auto"/>
        <w:rPr>
          <w:sz w:val="20"/>
          <w:szCs w:val="20"/>
          <w:color w:val="auto"/>
        </w:rPr>
      </w:pPr>
      <w:r>
        <w:rPr>
          <w:rFonts w:ascii="Times New Roman" w:cs="Times New Roman" w:eastAsia="Times New Roman" w:hAnsi="Times New Roman"/>
          <w:sz w:val="18"/>
          <w:szCs w:val="18"/>
          <w:color w:val="auto"/>
        </w:rPr>
        <w:t>Effective January 1, 2018, the Partnership merged with a subsidiary of Holdings. As a result of this merger, the Partnership and CrownRock GP became wholly-owned subsidiaries of Holdings. The Partnership admitted Holdings as its sole limited partner by issuing 100 new limited partnership units and cancelling all its other limited partner interests comprised of Class A, B, C, D and E limited partnership units. Holdings issued equivalent units of equivalent classes to the former limited partners of the Partnership. The only outstanding units of the Partnership at June 30, 2024 are the 100 limited partnership units held by Holdings. Additionally, effective January 1, 2018, the Partnership executed its Second Amended and Restated Limited Partnership Agreement to provide for sole control and management of the Partnership by CrownRock GP and the simplification of the governance of the Partnership.</w:t>
      </w:r>
    </w:p>
    <w:p>
      <w:pPr>
        <w:spacing w:after="0" w:line="196" w:lineRule="exact"/>
        <w:rPr>
          <w:sz w:val="20"/>
          <w:szCs w:val="20"/>
          <w:color w:val="auto"/>
        </w:rPr>
      </w:pPr>
    </w:p>
    <w:p>
      <w:pPr>
        <w:jc w:val="both"/>
        <w:ind w:left="660" w:right="20" w:firstLine="324"/>
        <w:spacing w:after="0" w:line="237" w:lineRule="auto"/>
        <w:rPr>
          <w:sz w:val="20"/>
          <w:szCs w:val="20"/>
          <w:color w:val="auto"/>
        </w:rPr>
      </w:pPr>
      <w:r>
        <w:rPr>
          <w:rFonts w:ascii="Times New Roman" w:cs="Times New Roman" w:eastAsia="Times New Roman" w:hAnsi="Times New Roman"/>
          <w:sz w:val="18"/>
          <w:szCs w:val="18"/>
          <w:color w:val="auto"/>
        </w:rPr>
        <w:t>Distributions are made solely to Holdings as the Partnership’s sole limited partner and in turn, Holdings has made distributions to its limited partners.</w:t>
      </w:r>
    </w:p>
    <w:p>
      <w:pPr>
        <w:spacing w:after="0" w:line="199" w:lineRule="exact"/>
        <w:rPr>
          <w:sz w:val="20"/>
          <w:szCs w:val="20"/>
          <w:color w:val="auto"/>
        </w:rPr>
      </w:pPr>
    </w:p>
    <w:p>
      <w:pPr>
        <w:jc w:val="both"/>
        <w:ind w:left="660" w:firstLine="324"/>
        <w:spacing w:after="0" w:line="226" w:lineRule="auto"/>
        <w:rPr>
          <w:sz w:val="20"/>
          <w:szCs w:val="20"/>
          <w:color w:val="auto"/>
        </w:rPr>
      </w:pPr>
      <w:r>
        <w:rPr>
          <w:rFonts w:ascii="Times New Roman" w:cs="Times New Roman" w:eastAsia="Times New Roman" w:hAnsi="Times New Roman"/>
          <w:sz w:val="18"/>
          <w:szCs w:val="18"/>
          <w:color w:val="auto"/>
        </w:rPr>
        <w:t>The Partnership’s Credit Facility (until its termination on August 1, 2024), the indentures governing its 2025 Senior Notes and 2029 Senior Notes have restrictive covenants limiting dividends and distributions (See Note L – Long-term Debt and Note M – Subsequent Events). The Partnership makes distributions to Holdings within the limits of these agreements.</w:t>
      </w:r>
    </w:p>
    <w:p>
      <w:pPr>
        <w:spacing w:after="0" w:line="198" w:lineRule="exact"/>
        <w:rPr>
          <w:sz w:val="20"/>
          <w:szCs w:val="20"/>
          <w:color w:val="auto"/>
        </w:rPr>
      </w:pPr>
    </w:p>
    <w:p>
      <w:pPr>
        <w:jc w:val="both"/>
        <w:ind w:left="660" w:firstLine="324"/>
        <w:spacing w:after="0" w:line="237" w:lineRule="auto"/>
        <w:rPr>
          <w:sz w:val="20"/>
          <w:szCs w:val="20"/>
          <w:color w:val="auto"/>
        </w:rPr>
      </w:pPr>
      <w:r>
        <w:rPr>
          <w:rFonts w:ascii="Times New Roman" w:cs="Times New Roman" w:eastAsia="Times New Roman" w:hAnsi="Times New Roman"/>
          <w:sz w:val="18"/>
          <w:szCs w:val="18"/>
          <w:color w:val="auto"/>
        </w:rPr>
        <w:t>During the six months ended June 30, 2024, the Partnership distributed $197.9 million, to provide Holdings with funds to pay its holders of Class A, B, C, D and E limited partnership units for estimated tax.</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Based upon the provisions of the Partnership’s more restrictive indenture which governs the 2025 Senior Notes, as of June 30, 2024, the</w:t>
      </w:r>
    </w:p>
    <w:p>
      <w:pPr>
        <w:spacing w:after="0" w:line="2" w:lineRule="exact"/>
        <w:rPr>
          <w:sz w:val="20"/>
          <w:szCs w:val="20"/>
          <w:color w:val="auto"/>
        </w:rPr>
      </w:pPr>
    </w:p>
    <w:p>
      <w:pPr>
        <w:jc w:val="both"/>
        <w:ind w:left="660"/>
        <w:spacing w:after="0" w:line="218" w:lineRule="auto"/>
        <w:rPr>
          <w:sz w:val="20"/>
          <w:szCs w:val="20"/>
          <w:color w:val="auto"/>
        </w:rPr>
      </w:pPr>
      <w:r>
        <w:rPr>
          <w:rFonts w:ascii="Times New Roman" w:cs="Times New Roman" w:eastAsia="Times New Roman" w:hAnsi="Times New Roman"/>
          <w:sz w:val="18"/>
          <w:szCs w:val="18"/>
          <w:color w:val="auto"/>
        </w:rPr>
        <w:t>Partnership is allowed to make additional discretionary distributions to Holdings of approximately $1.17 billion (See Note L – Long-term Debt). Discretionary distributions are restricted by the PIPA from January 1, 2024 to the closing date of the Partnership Sale Transaction which was August 1, 2024 (See Note M – Subsequent Events).</w:t>
      </w:r>
    </w:p>
    <w:p>
      <w:pPr>
        <w:spacing w:after="0" w:line="20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K.</w:t>
        <w:tab/>
        <w:t>Incentive Plans</w:t>
      </w:r>
    </w:p>
    <w:p>
      <w:pPr>
        <w:spacing w:after="0" w:line="212" w:lineRule="exact"/>
        <w:rPr>
          <w:sz w:val="20"/>
          <w:szCs w:val="20"/>
          <w:color w:val="auto"/>
        </w:rPr>
      </w:pPr>
    </w:p>
    <w:p>
      <w:pPr>
        <w:jc w:val="both"/>
        <w:ind w:left="640" w:right="6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Defined contribution plan. </w:t>
      </w:r>
      <w:r>
        <w:rPr>
          <w:rFonts w:ascii="Times New Roman" w:cs="Times New Roman" w:eastAsia="Times New Roman" w:hAnsi="Times New Roman"/>
          <w:sz w:val="18"/>
          <w:szCs w:val="18"/>
          <w:color w:val="auto"/>
        </w:rPr>
        <w:t>CrownQuest sponsors a 401(k) defined contribution plan for the benefit of substantially all employees.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CrownQuest matches 100% of employee contributions, not to exceed 10% of the employee’s annual base salary. The Partnership’s contributions to the plan, through its reimbursement to CrownQuest pursuant to the terms of an administrative support agreement, were approximately $1.9 million for the six months ended June 30, 2024.</w:t>
      </w:r>
    </w:p>
    <w:p>
      <w:pPr>
        <w:spacing w:after="0" w:line="21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L.</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18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Partnership’s debt consists of the following at June 30, 2024:</w:t>
      </w:r>
    </w:p>
    <w:p>
      <w:pPr>
        <w:spacing w:after="0" w:line="228" w:lineRule="exact"/>
        <w:rPr>
          <w:sz w:val="20"/>
          <w:szCs w:val="20"/>
          <w:color w:val="auto"/>
        </w:rPr>
      </w:pPr>
    </w:p>
    <w:tbl>
      <w:tblPr>
        <w:tblLayout w:type="fixed"/>
        <w:tblInd w:w="2240" w:type="dxa"/>
        <w:tblCellMar>
          <w:top w:w="0" w:type="dxa"/>
          <w:left w:w="0" w:type="dxa"/>
          <w:bottom w:w="0" w:type="dxa"/>
          <w:right w:w="0" w:type="dxa"/>
        </w:tblCellMar>
      </w:tblPr>
      <w:tr>
        <w:trPr>
          <w:trHeight w:val="225"/>
        </w:trPr>
        <w:tc>
          <w:tcPr>
            <w:tcW w:w="5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28"/>
        </w:trPr>
        <w:tc>
          <w:tcPr>
            <w:tcW w:w="5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(in thousands)</w:t>
            </w: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5.625% unsecured senior notes due 2025</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868,132</w:t>
            </w: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5.000% unsecured senior notes due 2029</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376,084</w:t>
            </w: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Unamortized original issue discount</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w:t>
            </w:r>
          </w:p>
        </w:tc>
      </w:tr>
      <w:tr>
        <w:trPr>
          <w:trHeight w:val="238"/>
        </w:trPr>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Unamortized deferred loan costs - senior notes</w:t>
            </w: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(5,248)</w:t>
            </w:r>
          </w:p>
        </w:tc>
      </w:tr>
      <w:tr>
        <w:trPr>
          <w:trHeight w:val="236"/>
        </w:trPr>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Total debt</w:t>
            </w: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1,238,507</w:t>
            </w:r>
          </w:p>
        </w:tc>
      </w:tr>
      <w:tr>
        <w:trPr>
          <w:trHeight w:val="21"/>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ind w:left="640" w:right="20" w:firstLine="324"/>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facility. </w:t>
      </w:r>
      <w:r>
        <w:rPr>
          <w:rFonts w:ascii="Times New Roman" w:cs="Times New Roman" w:eastAsia="Times New Roman" w:hAnsi="Times New Roman"/>
          <w:sz w:val="18"/>
          <w:szCs w:val="18"/>
          <w:color w:val="auto"/>
        </w:rPr>
        <w:t>In conjunction with the closing of the Partnership Sale Transaction on August 1, 2024 (See Note M – Subsequent Events),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Partnership’s Credit Facility was terminated. Prior to such termination, following were the terms of the Credit Facility.</w:t>
      </w:r>
    </w:p>
    <w:p>
      <w:pPr>
        <w:spacing w:after="0" w:line="185" w:lineRule="exact"/>
        <w:rPr>
          <w:sz w:val="20"/>
          <w:szCs w:val="20"/>
          <w:color w:val="auto"/>
        </w:rPr>
      </w:pPr>
    </w:p>
    <w:p>
      <w:pPr>
        <w:ind w:left="660" w:right="60" w:firstLine="324"/>
        <w:spacing w:after="0" w:line="222" w:lineRule="auto"/>
        <w:rPr>
          <w:sz w:val="20"/>
          <w:szCs w:val="20"/>
          <w:color w:val="auto"/>
        </w:rPr>
      </w:pPr>
      <w:r>
        <w:rPr>
          <w:rFonts w:ascii="Times New Roman" w:cs="Times New Roman" w:eastAsia="Times New Roman" w:hAnsi="Times New Roman"/>
          <w:sz w:val="18"/>
          <w:szCs w:val="18"/>
          <w:color w:val="auto"/>
        </w:rPr>
        <w:t>The Partnership’s Credit Facility has a maturity date of March 7, 2028. In conjunction with its regular semi-annual borrowing base redetermination done in conjunction with its amendment and syndication, effective May 23, 2024, the Partnership’s lenders reaffirmed the</w:t>
      </w:r>
    </w:p>
    <w:p>
      <w:pPr>
        <w:spacing w:after="0" w:line="2" w:lineRule="exact"/>
        <w:rPr>
          <w:sz w:val="20"/>
          <w:szCs w:val="20"/>
          <w:color w:val="auto"/>
        </w:rPr>
      </w:pPr>
    </w:p>
    <w:p>
      <w:pPr>
        <w:ind w:left="660" w:right="80"/>
        <w:spacing w:after="0" w:line="226" w:lineRule="auto"/>
        <w:rPr>
          <w:sz w:val="20"/>
          <w:szCs w:val="20"/>
          <w:color w:val="auto"/>
        </w:rPr>
      </w:pPr>
      <w:r>
        <w:rPr>
          <w:rFonts w:ascii="Times New Roman" w:cs="Times New Roman" w:eastAsia="Times New Roman" w:hAnsi="Times New Roman"/>
          <w:sz w:val="18"/>
          <w:szCs w:val="18"/>
          <w:color w:val="auto"/>
        </w:rPr>
        <w:t>borrowing base at $2.0 billion. The Partnership also elected to maintain its elected commitment amount of $1.0 billion. Commitments from the Partnership’s bank group total $3.5 billion. As of June 30, 2024, the Partnership had no advances outstanding against the Credit Facility.</w:t>
      </w:r>
    </w:p>
    <w:p>
      <w:pPr>
        <w:sectPr>
          <w:pgSz w:w="11900" w:h="16838" w:orient="portrait"/>
          <w:cols w:equalWidth="0" w:num="1">
            <w:col w:w="11160"/>
          </w:cols>
          <w:pgMar w:left="400" w:top="1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60"/>
          </w:cols>
          <w:pgMar w:left="400" w:top="1278" w:right="339" w:bottom="1440" w:gutter="0" w:footer="0" w:header="0"/>
          <w:type w:val="continuous"/>
        </w:sectPr>
      </w:pPr>
    </w:p>
    <w:bookmarkStart w:id="22" w:name="page23"/>
    <w:bookmarkEnd w:id="22"/>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L.</w:t>
      </w:r>
      <w:r>
        <w:rPr>
          <w:sz w:val="20"/>
          <w:szCs w:val="20"/>
          <w:color w:val="auto"/>
        </w:rPr>
        <w:tab/>
      </w:r>
      <w:r>
        <w:rPr>
          <w:rFonts w:ascii="Times New Roman" w:cs="Times New Roman" w:eastAsia="Times New Roman" w:hAnsi="Times New Roman"/>
          <w:sz w:val="17"/>
          <w:szCs w:val="17"/>
          <w:b w:val="1"/>
          <w:bCs w:val="1"/>
          <w:color w:val="auto"/>
        </w:rPr>
        <w:t>Long-term Debt (Continued)</w:t>
      </w:r>
    </w:p>
    <w:p>
      <w:pPr>
        <w:spacing w:after="0" w:line="202" w:lineRule="exact"/>
        <w:rPr>
          <w:sz w:val="20"/>
          <w:szCs w:val="20"/>
          <w:color w:val="auto"/>
        </w:rPr>
      </w:pPr>
    </w:p>
    <w:p>
      <w:pPr>
        <w:jc w:val="both"/>
        <w:ind w:left="720" w:right="80" w:firstLine="324"/>
        <w:spacing w:after="0" w:line="282" w:lineRule="auto"/>
        <w:rPr>
          <w:sz w:val="20"/>
          <w:szCs w:val="20"/>
          <w:color w:val="auto"/>
        </w:rPr>
      </w:pPr>
      <w:r>
        <w:rPr>
          <w:rFonts w:ascii="Times New Roman" w:cs="Times New Roman" w:eastAsia="Times New Roman" w:hAnsi="Times New Roman"/>
          <w:sz w:val="18"/>
          <w:szCs w:val="18"/>
          <w:color w:val="auto"/>
        </w:rPr>
        <w:t>Between scheduled semi-annual borrowing base redeterminations in May and November, the Partnership and lenders, if requested by 66 2/3% of the lenders, may each request one special redetermination.</w:t>
      </w:r>
    </w:p>
    <w:p>
      <w:pPr>
        <w:spacing w:after="0" w:line="148" w:lineRule="exact"/>
        <w:rPr>
          <w:sz w:val="20"/>
          <w:szCs w:val="20"/>
          <w:color w:val="auto"/>
        </w:rPr>
      </w:pPr>
    </w:p>
    <w:p>
      <w:pPr>
        <w:jc w:val="both"/>
        <w:ind w:left="720" w:right="60" w:firstLine="324"/>
        <w:spacing w:after="0" w:line="245" w:lineRule="auto"/>
        <w:rPr>
          <w:sz w:val="20"/>
          <w:szCs w:val="20"/>
          <w:color w:val="auto"/>
        </w:rPr>
      </w:pPr>
      <w:r>
        <w:rPr>
          <w:rFonts w:ascii="Times New Roman" w:cs="Times New Roman" w:eastAsia="Times New Roman" w:hAnsi="Times New Roman"/>
          <w:sz w:val="18"/>
          <w:szCs w:val="18"/>
          <w:color w:val="auto"/>
        </w:rPr>
        <w:t xml:space="preserve">Advances on the Credit Facility bear interest, at the Partnership’s option, based on (i) Secured Overnight Financing Rate (“SOFR”) or (ii) the prime rate as quoted by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(“Prime Rate”) (8.50% at June 30, 2024). The Credit Facility’s interest rates on SOFR rate advances and Prime Rate advances vary, with interest margins ranging from 175 to 275 basis points and 75 to 175 basis points, respectively, per annum depending on the debt balance outstanding. Additionally, SOFR rate advances include a 10 basis points credit spread adjustment. The Partnership pays commitment fees on the unused portion of the available commitment of 50 basis points per annum. Total interest expense on the Credit Facility, including commitment fees paid on the unused portion, was $2.6 million for the six months ended June 30, 2024. The weighted average cash interest rate on the Credit Facility, including commitment fees, for the six months ended June 30, 2024 was 0.51%.</w:t>
      </w:r>
    </w:p>
    <w:p>
      <w:pPr>
        <w:spacing w:after="0" w:line="181" w:lineRule="exact"/>
        <w:rPr>
          <w:sz w:val="20"/>
          <w:szCs w:val="20"/>
          <w:color w:val="auto"/>
        </w:rPr>
      </w:pPr>
    </w:p>
    <w:p>
      <w:pPr>
        <w:jc w:val="both"/>
        <w:ind w:left="720" w:right="60" w:firstLine="324"/>
        <w:spacing w:after="0" w:line="250" w:lineRule="auto"/>
        <w:rPr>
          <w:sz w:val="20"/>
          <w:szCs w:val="20"/>
          <w:color w:val="auto"/>
        </w:rPr>
      </w:pPr>
      <w:r>
        <w:rPr>
          <w:rFonts w:ascii="Times New Roman" w:cs="Times New Roman" w:eastAsia="Times New Roman" w:hAnsi="Times New Roman"/>
          <w:sz w:val="18"/>
          <w:szCs w:val="18"/>
          <w:color w:val="auto"/>
        </w:rPr>
        <w:t>The Partnership’s obligations under the Credit Facility are secured by a first lien on substantially all of its oil and natural gas properties. In addition, all of the Partnership’s subsidiaries (excluding Roddy and Abajo) are guarantors, and the equity interests in such subsidiaries have been pledged to secure borrowings under the Credit Facility.</w:t>
      </w:r>
    </w:p>
    <w:p>
      <w:pPr>
        <w:spacing w:after="0" w:line="163" w:lineRule="exact"/>
        <w:rPr>
          <w:sz w:val="20"/>
          <w:szCs w:val="20"/>
          <w:color w:val="auto"/>
        </w:rPr>
      </w:pPr>
    </w:p>
    <w:p>
      <w:pPr>
        <w:jc w:val="both"/>
        <w:ind w:left="720" w:right="60" w:firstLine="324"/>
        <w:spacing w:after="0" w:line="247" w:lineRule="auto"/>
        <w:rPr>
          <w:sz w:val="20"/>
          <w:szCs w:val="20"/>
          <w:color w:val="auto"/>
        </w:rPr>
      </w:pPr>
      <w:r>
        <w:rPr>
          <w:rFonts w:ascii="Times New Roman" w:cs="Times New Roman" w:eastAsia="Times New Roman" w:hAnsi="Times New Roman"/>
          <w:sz w:val="18"/>
          <w:szCs w:val="18"/>
          <w:color w:val="auto"/>
        </w:rPr>
        <w:t>If the outstanding principal balance under the Credit Facility exceeds the aggregate available commitment amount at any time, the Partnership must make a lump sum payment curing the deficiency within three business days. If the outstanding principal balance of the loans under the Credit Facility exceeds the borrowing base at any time, the Partnership has the option to take any of the following actions, either individually or in combination: (1) make a lump sum payment curing the deficiency within 30 days; (2) pledge additional collateral sufficient in the lenders’ opinion to increase the borrowing base and cure the deficiency; or (3) begin making equal monthly principal payments that will cure the deficiency within the ensuing six-month period.</w:t>
      </w:r>
    </w:p>
    <w:p>
      <w:pPr>
        <w:spacing w:after="0" w:line="19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 Credit Facility contains various restrictive covenants and compliance requirements, which include:</w:t>
      </w:r>
    </w:p>
    <w:p>
      <w:pPr>
        <w:spacing w:after="0" w:line="212" w:lineRule="exact"/>
        <w:rPr>
          <w:sz w:val="20"/>
          <w:szCs w:val="20"/>
          <w:color w:val="auto"/>
        </w:rPr>
      </w:pPr>
    </w:p>
    <w:p>
      <w:pPr>
        <w:ind w:left="1360" w:hanging="315"/>
        <w:spacing w:after="0"/>
        <w:tabs>
          <w:tab w:leader="none" w:pos="1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certain financial ratios, including:</w:t>
      </w:r>
    </w:p>
    <w:p>
      <w:pPr>
        <w:spacing w:after="0" w:line="225" w:lineRule="exact"/>
        <w:rPr>
          <w:rFonts w:ascii="Times New Roman" w:cs="Times New Roman" w:eastAsia="Times New Roman" w:hAnsi="Times New Roman"/>
          <w:sz w:val="18"/>
          <w:szCs w:val="18"/>
          <w:color w:val="auto"/>
        </w:rPr>
      </w:pPr>
    </w:p>
    <w:p>
      <w:pPr>
        <w:ind w:left="2360" w:right="160" w:hanging="570"/>
        <w:spacing w:after="0"/>
        <w:tabs>
          <w:tab w:leader="none" w:pos="214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quarterly ratio of current assets to current liabilities to be not less than 1.0 to 1.0, excluding noncash assets and liabilities related to financial derivatives and AROs and including all letter of credit obligations as liabilities but excluding current maturities of indebtedness, and including any unused availability under the Credit Facility as a current asset, and</w:t>
      </w:r>
    </w:p>
    <w:p>
      <w:pPr>
        <w:spacing w:after="0" w:line="2" w:lineRule="exact"/>
        <w:rPr>
          <w:rFonts w:ascii="Times New Roman" w:cs="Times New Roman" w:eastAsia="Times New Roman" w:hAnsi="Times New Roman"/>
          <w:sz w:val="18"/>
          <w:szCs w:val="18"/>
          <w:color w:val="auto"/>
        </w:rPr>
      </w:pPr>
    </w:p>
    <w:p>
      <w:pPr>
        <w:ind w:left="2360" w:hanging="570"/>
        <w:spacing w:after="0" w:line="239" w:lineRule="auto"/>
        <w:tabs>
          <w:tab w:leader="none" w:pos="219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quarterly ratio of total funded indebtedness, net of unrestricted cash up to $125 million, to 12-month consolidated earnings before interest expense, income taxes, depletion, depreciation, and amortization, exploration expense and noncash income and expenses to be no greater than 3.5 to 1.0.</w:t>
      </w:r>
    </w:p>
    <w:p>
      <w:pPr>
        <w:spacing w:after="0" w:line="198" w:lineRule="exact"/>
        <w:rPr>
          <w:rFonts w:ascii="Times New Roman" w:cs="Times New Roman" w:eastAsia="Times New Roman" w:hAnsi="Times New Roman"/>
          <w:sz w:val="18"/>
          <w:szCs w:val="18"/>
          <w:color w:val="auto"/>
        </w:rPr>
      </w:pPr>
    </w:p>
    <w:p>
      <w:pPr>
        <w:ind w:left="1360" w:right="80" w:hanging="315"/>
        <w:spacing w:after="0" w:line="253" w:lineRule="auto"/>
        <w:tabs>
          <w:tab w:leader="none" w:pos="13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to the lender and maintenance of satisfactory title opinions covering not less than 80% and 85% of the present value of proved oil and natural gas reserves and proved developed producing oil and natural gas reserves, respectively;</w:t>
      </w:r>
    </w:p>
    <w:p>
      <w:pPr>
        <w:ind w:left="1360" w:hanging="315"/>
        <w:spacing w:after="0"/>
        <w:tabs>
          <w:tab w:leader="none" w:pos="1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the incurrence of additional indebtedness and certain types of liens;</w:t>
      </w:r>
    </w:p>
    <w:p>
      <w:pPr>
        <w:spacing w:after="0" w:line="22" w:lineRule="exact"/>
        <w:rPr>
          <w:rFonts w:ascii="Times New Roman" w:cs="Times New Roman" w:eastAsia="Times New Roman" w:hAnsi="Times New Roman"/>
          <w:sz w:val="18"/>
          <w:szCs w:val="18"/>
          <w:color w:val="auto"/>
        </w:rPr>
      </w:pPr>
    </w:p>
    <w:p>
      <w:pPr>
        <w:ind w:left="1360" w:hanging="315"/>
        <w:spacing w:after="0"/>
        <w:tabs>
          <w:tab w:leader="none" w:pos="1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as to investments, mergers, acquisitions and dispositions of assets;</w:t>
      </w:r>
    </w:p>
    <w:p>
      <w:pPr>
        <w:spacing w:after="0" w:line="9" w:lineRule="exact"/>
        <w:rPr>
          <w:rFonts w:ascii="Times New Roman" w:cs="Times New Roman" w:eastAsia="Times New Roman" w:hAnsi="Times New Roman"/>
          <w:sz w:val="18"/>
          <w:szCs w:val="18"/>
          <w:color w:val="auto"/>
        </w:rPr>
      </w:pPr>
    </w:p>
    <w:p>
      <w:pPr>
        <w:ind w:left="1360" w:hanging="315"/>
        <w:spacing w:after="0"/>
        <w:tabs>
          <w:tab w:leader="none" w:pos="1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hedging contracts and transactions with affiliates; and</w:t>
      </w:r>
    </w:p>
    <w:p>
      <w:pPr>
        <w:spacing w:after="0" w:line="9" w:lineRule="exact"/>
        <w:rPr>
          <w:rFonts w:ascii="Times New Roman" w:cs="Times New Roman" w:eastAsia="Times New Roman" w:hAnsi="Times New Roman"/>
          <w:sz w:val="18"/>
          <w:szCs w:val="18"/>
          <w:color w:val="auto"/>
        </w:rPr>
      </w:pPr>
    </w:p>
    <w:p>
      <w:pPr>
        <w:jc w:val="both"/>
        <w:ind w:left="1360" w:right="60" w:hanging="315"/>
        <w:spacing w:after="0" w:line="243" w:lineRule="auto"/>
        <w:tabs>
          <w:tab w:leader="none" w:pos="13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dividends and distributions. The agreement allows permitted tax distributions. It also allows periodic cash distributions if the unused availability on the Credit Facility, plus unrestricted cash, is greater than or equal to 20% of the elected commitment amount, and the Partnership’s funded indebtedness to 12-month consolidated earnings before interest expense, income taxes, depletion, depreciation and amortization, exploration expense and non-cash income and expenses is no more than 3.00 to 1.00 calculated on a pro forma basis after giving effect to such cash payment. Discretionary distributions were restricted by the PIPA from January 1, 2024 to the closing date of the Partnership Sale Transaction which was August 1, 2024 (See Note M – Subsequent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278" w:right="339" w:bottom="1440" w:gutter="0" w:footer="0" w:header="0"/>
        </w:sectPr>
      </w:pPr>
    </w:p>
    <w:bookmarkStart w:id="23" w:name="page24"/>
    <w:bookmarkEnd w:id="23"/>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L.</w:t>
      </w:r>
      <w:r>
        <w:rPr>
          <w:sz w:val="20"/>
          <w:szCs w:val="20"/>
          <w:color w:val="auto"/>
        </w:rPr>
        <w:tab/>
      </w:r>
      <w:r>
        <w:rPr>
          <w:rFonts w:ascii="Times New Roman" w:cs="Times New Roman" w:eastAsia="Times New Roman" w:hAnsi="Times New Roman"/>
          <w:sz w:val="17"/>
          <w:szCs w:val="17"/>
          <w:b w:val="1"/>
          <w:bCs w:val="1"/>
          <w:color w:val="auto"/>
        </w:rPr>
        <w:t>Long-term Debt (Continued)</w:t>
      </w:r>
    </w:p>
    <w:p>
      <w:pPr>
        <w:spacing w:after="0" w:line="2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At June 30, 2024, the Partnership was in compliance with all of the covenants under the Credit Facility.</w:t>
      </w:r>
    </w:p>
    <w:p>
      <w:pPr>
        <w:spacing w:after="0" w:line="194" w:lineRule="exact"/>
        <w:rPr>
          <w:sz w:val="20"/>
          <w:szCs w:val="20"/>
          <w:color w:val="auto"/>
        </w:rPr>
      </w:pPr>
    </w:p>
    <w:p>
      <w:pPr>
        <w:jc w:val="both"/>
        <w:ind w:left="640" w:right="6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5.625% Senior Notes due 2025. </w:t>
      </w:r>
      <w:r>
        <w:rPr>
          <w:rFonts w:ascii="Times New Roman" w:cs="Times New Roman" w:eastAsia="Times New Roman" w:hAnsi="Times New Roman"/>
          <w:sz w:val="18"/>
          <w:szCs w:val="18"/>
          <w:color w:val="auto"/>
        </w:rPr>
        <w:t>On October 11, 2017, the Partnership and CrownRock Finance issued $1.0 billion aggregate principal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the 2025 Senior Notes at par. On May 22, 2018, the Partnership and CrownRock Finance issued an additional $185 million aggregate principal amount of 2025 Senior Notes at 98.26% of par. These additional notes were fungible with the original notes and are governed by the same indenture and thus contain the same terms and conditions.</w:t>
      </w:r>
    </w:p>
    <w:p>
      <w:pPr>
        <w:spacing w:after="0" w:line="174" w:lineRule="exact"/>
        <w:rPr>
          <w:sz w:val="20"/>
          <w:szCs w:val="20"/>
          <w:color w:val="auto"/>
        </w:rPr>
      </w:pPr>
    </w:p>
    <w:p>
      <w:pPr>
        <w:jc w:val="both"/>
        <w:ind w:left="640" w:right="80" w:firstLine="324"/>
        <w:spacing w:after="0" w:line="282" w:lineRule="auto"/>
        <w:rPr>
          <w:sz w:val="20"/>
          <w:szCs w:val="20"/>
          <w:color w:val="auto"/>
        </w:rPr>
      </w:pPr>
      <w:r>
        <w:rPr>
          <w:rFonts w:ascii="Times New Roman" w:cs="Times New Roman" w:eastAsia="Times New Roman" w:hAnsi="Times New Roman"/>
          <w:sz w:val="18"/>
          <w:szCs w:val="18"/>
          <w:color w:val="auto"/>
        </w:rPr>
        <w:t>The 2025 Senior Notes mature on October 15, 2025, and interest is paid in arrears semi-annually on April 15 and October 15. The 2025 Senior Notes are fully and unconditionally guaranteed on a senior unsecured basis by Canvasback, CR Management and CR Royalties.</w:t>
      </w:r>
    </w:p>
    <w:p>
      <w:pPr>
        <w:spacing w:after="0" w:line="162" w:lineRule="exact"/>
        <w:rPr>
          <w:sz w:val="20"/>
          <w:szCs w:val="20"/>
          <w:color w:val="auto"/>
        </w:rPr>
      </w:pPr>
    </w:p>
    <w:p>
      <w:pPr>
        <w:ind w:left="660" w:firstLine="324"/>
        <w:spacing w:after="0" w:line="237" w:lineRule="auto"/>
        <w:rPr>
          <w:sz w:val="20"/>
          <w:szCs w:val="20"/>
          <w:color w:val="auto"/>
        </w:rPr>
      </w:pPr>
      <w:r>
        <w:rPr>
          <w:rFonts w:ascii="Times New Roman" w:cs="Times New Roman" w:eastAsia="Times New Roman" w:hAnsi="Times New Roman"/>
          <w:sz w:val="18"/>
          <w:szCs w:val="18"/>
          <w:color w:val="auto"/>
        </w:rPr>
        <w:t>On July 15, 2024, the Partnership issued a Redemption Notice to redeem the 2025 Senior Notes at the redemption price of 100.00% which is scheduled to close August 14, 2024.</w:t>
      </w:r>
    </w:p>
    <w:p>
      <w:pPr>
        <w:spacing w:after="0" w:line="172" w:lineRule="exact"/>
        <w:rPr>
          <w:sz w:val="20"/>
          <w:szCs w:val="20"/>
          <w:color w:val="auto"/>
        </w:rPr>
      </w:pPr>
    </w:p>
    <w:p>
      <w:pPr>
        <w:jc w:val="both"/>
        <w:ind w:left="640" w:right="80" w:firstLine="324"/>
        <w:spacing w:after="0" w:line="258" w:lineRule="auto"/>
        <w:rPr>
          <w:sz w:val="20"/>
          <w:szCs w:val="20"/>
          <w:color w:val="auto"/>
        </w:rPr>
      </w:pPr>
      <w:r>
        <w:rPr>
          <w:rFonts w:ascii="Times New Roman" w:cs="Times New Roman" w:eastAsia="Times New Roman" w:hAnsi="Times New Roman"/>
          <w:sz w:val="18"/>
          <w:szCs w:val="18"/>
          <w:color w:val="auto"/>
        </w:rPr>
        <w:t>The 2025 Senior Notes are general, unsecured senior obligations and are subordinated to all existing and future secured indebtedness, including the Credit Facility. The indenture to the 2025 Senior Notes dated as of October 11, 2017, as supplemented (“2025 Senior Note Indenture”) contains various restrictive covenants which include:</w:t>
      </w:r>
    </w:p>
    <w:p>
      <w:pPr>
        <w:spacing w:after="0" w:line="169" w:lineRule="exact"/>
        <w:rPr>
          <w:sz w:val="20"/>
          <w:szCs w:val="20"/>
          <w:color w:val="auto"/>
        </w:rPr>
      </w:pPr>
    </w:p>
    <w:p>
      <w:pPr>
        <w:ind w:left="1280" w:hanging="315"/>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the incurrence of additional indebtedness and certain types of liens;</w:t>
      </w:r>
    </w:p>
    <w:p>
      <w:pPr>
        <w:spacing w:after="0" w:line="27" w:lineRule="exact"/>
        <w:rPr>
          <w:rFonts w:ascii="Times New Roman" w:cs="Times New Roman" w:eastAsia="Times New Roman" w:hAnsi="Times New Roman"/>
          <w:sz w:val="18"/>
          <w:szCs w:val="18"/>
          <w:color w:val="auto"/>
        </w:rPr>
      </w:pPr>
    </w:p>
    <w:p>
      <w:pPr>
        <w:ind w:left="1280" w:hanging="315"/>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as to mergers and disposition of assets;</w:t>
      </w:r>
    </w:p>
    <w:p>
      <w:pPr>
        <w:spacing w:after="0" w:line="9" w:lineRule="exact"/>
        <w:rPr>
          <w:rFonts w:ascii="Times New Roman" w:cs="Times New Roman" w:eastAsia="Times New Roman" w:hAnsi="Times New Roman"/>
          <w:sz w:val="18"/>
          <w:szCs w:val="18"/>
          <w:color w:val="auto"/>
        </w:rPr>
      </w:pPr>
    </w:p>
    <w:p>
      <w:pPr>
        <w:ind w:left="1280" w:hanging="315"/>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transactions with affiliates; and</w:t>
      </w:r>
    </w:p>
    <w:p>
      <w:pPr>
        <w:spacing w:after="0" w:line="22" w:lineRule="exact"/>
        <w:rPr>
          <w:rFonts w:ascii="Times New Roman" w:cs="Times New Roman" w:eastAsia="Times New Roman" w:hAnsi="Times New Roman"/>
          <w:sz w:val="18"/>
          <w:szCs w:val="18"/>
          <w:color w:val="auto"/>
        </w:rPr>
      </w:pPr>
    </w:p>
    <w:p>
      <w:pPr>
        <w:jc w:val="both"/>
        <w:ind w:left="1280" w:right="60" w:hanging="315"/>
        <w:spacing w:after="0" w:line="243" w:lineRule="auto"/>
        <w:tabs>
          <w:tab w:leader="none" w:pos="12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dividends and distributions. The 2025 Senior Note Indenture allows permitted tax distributions. The 2025 Senior Notes Indenture also allows periodic cash distributions up to $150 million plus 50% of consolidated net income as adjusted for certain non-cash items from July 1, 2017 to the end of the Partnership’s most recently ended fiscal quarter. Based on this provision, as of June 30, 2024, the Partnership is allowed to make discretionary distributions of approximately $1.17 billion. Discretionary distributions were restricted by the PIPA from January 1, 2024 to the closing date of the Partnership Sale Transaction which was August 1, 2024. (See Note M – Subsequent Events).</w:t>
      </w:r>
    </w:p>
    <w:p>
      <w:pPr>
        <w:spacing w:after="0" w:line="16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At June 30, 2024, the Partnership was in compliance with all of the covenants under the 2025 Senior Note Indenture.</w:t>
      </w:r>
    </w:p>
    <w:p>
      <w:pPr>
        <w:spacing w:after="0" w:line="208" w:lineRule="exact"/>
        <w:rPr>
          <w:sz w:val="20"/>
          <w:szCs w:val="20"/>
          <w:color w:val="auto"/>
        </w:rPr>
      </w:pPr>
    </w:p>
    <w:p>
      <w:pPr>
        <w:jc w:val="both"/>
        <w:ind w:left="640" w:right="60" w:firstLine="324"/>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5.000% Senior Notes due 2029. </w:t>
      </w:r>
      <w:r>
        <w:rPr>
          <w:rFonts w:ascii="Times New Roman" w:cs="Times New Roman" w:eastAsia="Times New Roman" w:hAnsi="Times New Roman"/>
          <w:sz w:val="18"/>
          <w:szCs w:val="18"/>
          <w:color w:val="auto"/>
        </w:rPr>
        <w:t>On April 20, 2021, the Partnership and CrownRock Finance issued $400.0 million aggregate principal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the 2029 Senior Notes at par. The Partnership issued the 2029 Senior Notes to fund distributions to Holdings. Holdings utilized the net proceeds in the amount of $396 million to redeem a portion of its Series A Preferred Units. The 2029 Senior Notes mature on May 1, 2029, and interest is paid in arrears semi-annually on May 1 and November 1. The 2029 Senior Notes are fully and unconditionally guaranteed on a senior unsecured basis by Canvasback, CR Management and CR Royalties. The 2029 Senior Notes may be redeemed on or after the following dates and at the following redemption prices, expressed as a percentage of principal amount plus accrued and unpaid interest if any, during the twelve-month periods beginning on the dates indicated: May 1, 2024, 102.500%; May 1, 2025, 101.667%; May 1, 2026, 100.833%; May 1, 2027 and thereafter, 100.00%.</w:t>
      </w:r>
    </w:p>
    <w:p>
      <w:pPr>
        <w:spacing w:after="0" w:line="184" w:lineRule="exact"/>
        <w:rPr>
          <w:sz w:val="20"/>
          <w:szCs w:val="20"/>
          <w:color w:val="auto"/>
        </w:rPr>
      </w:pPr>
    </w:p>
    <w:p>
      <w:pPr>
        <w:jc w:val="both"/>
        <w:ind w:left="640" w:right="60" w:firstLine="324"/>
        <w:spacing w:after="0" w:line="250" w:lineRule="auto"/>
        <w:rPr>
          <w:sz w:val="20"/>
          <w:szCs w:val="20"/>
          <w:color w:val="auto"/>
        </w:rPr>
      </w:pPr>
      <w:r>
        <w:rPr>
          <w:rFonts w:ascii="Times New Roman" w:cs="Times New Roman" w:eastAsia="Times New Roman" w:hAnsi="Times New Roman"/>
          <w:sz w:val="18"/>
          <w:szCs w:val="18"/>
          <w:color w:val="auto"/>
        </w:rPr>
        <w:t>The 2029 Senior Notes are general, unsecured senior obligations and are subordinated to all existing and future secured indebtedness, including the Credit Facility. The indenture to the 2029 Senior Notes dated as of April 20, 2021 (“2029 Senior Note Indenture”) contains various restrictive covenants which include:</w:t>
      </w:r>
    </w:p>
    <w:p>
      <w:pPr>
        <w:spacing w:after="0" w:line="190" w:lineRule="exact"/>
        <w:rPr>
          <w:sz w:val="20"/>
          <w:szCs w:val="20"/>
          <w:color w:val="auto"/>
        </w:rPr>
      </w:pPr>
    </w:p>
    <w:p>
      <w:pPr>
        <w:ind w:left="1280" w:hanging="315"/>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the incurrence of additional indebtedness and certain types of liens;</w:t>
      </w:r>
    </w:p>
    <w:p>
      <w:pPr>
        <w:spacing w:after="0" w:line="27" w:lineRule="exact"/>
        <w:rPr>
          <w:rFonts w:ascii="Times New Roman" w:cs="Times New Roman" w:eastAsia="Times New Roman" w:hAnsi="Times New Roman"/>
          <w:sz w:val="18"/>
          <w:szCs w:val="18"/>
          <w:color w:val="auto"/>
        </w:rPr>
      </w:pPr>
    </w:p>
    <w:p>
      <w:pPr>
        <w:ind w:left="1280" w:hanging="315"/>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as to mergers and disposition of assets;</w:t>
      </w:r>
    </w:p>
    <w:p>
      <w:pPr>
        <w:spacing w:after="0" w:line="9" w:lineRule="exact"/>
        <w:rPr>
          <w:rFonts w:ascii="Times New Roman" w:cs="Times New Roman" w:eastAsia="Times New Roman" w:hAnsi="Times New Roman"/>
          <w:sz w:val="18"/>
          <w:szCs w:val="18"/>
          <w:color w:val="auto"/>
        </w:rPr>
      </w:pPr>
    </w:p>
    <w:p>
      <w:pPr>
        <w:ind w:left="1280" w:hanging="315"/>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transactions with affiliates; and</w:t>
      </w:r>
    </w:p>
    <w:p>
      <w:pPr>
        <w:spacing w:after="0" w:line="22" w:lineRule="exact"/>
        <w:rPr>
          <w:rFonts w:ascii="Times New Roman" w:cs="Times New Roman" w:eastAsia="Times New Roman" w:hAnsi="Times New Roman"/>
          <w:sz w:val="18"/>
          <w:szCs w:val="18"/>
          <w:color w:val="auto"/>
        </w:rPr>
      </w:pPr>
    </w:p>
    <w:p>
      <w:pPr>
        <w:ind w:left="1280" w:right="80" w:hanging="315"/>
        <w:spacing w:after="0" w:line="239" w:lineRule="auto"/>
        <w:tabs>
          <w:tab w:leader="none" w:pos="12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dividends and distributions. The 2029 Senior Note Indenture allows permitted tax distributions. The 2029 Senior Note Indenture also allows periodic cash distributions up to 50% of consolidated net income as adjusted for certain non-cash items from July 1, 2017 to the end of the Partnership’s most recently ended fiscal quarter. Based on this provision, as of June 30, 2024, the Partnership is allowed to make discretionary distributions of approximately $1.26 billion. Notwithstanding this limit based on</w:t>
      </w:r>
    </w:p>
    <w:p>
      <w:pPr>
        <w:ind w:left="1280" w:right="80"/>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income, the 2029 Senior Note Indenture provides for unlimited periodic cash discretionary distributions if the Partnership’s leverage ratio, as defined, is less than 1.5 to 1.0, determined on a pro forma</w:t>
      </w:r>
    </w:p>
    <w:p>
      <w:pPr>
        <w:spacing w:after="0" w:line="200" w:lineRule="exact"/>
        <w:rPr>
          <w:sz w:val="20"/>
          <w:szCs w:val="20"/>
          <w:color w:val="auto"/>
        </w:rPr>
      </w:pP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60"/>
          </w:cols>
          <w:pgMar w:left="400" w:top="1035" w:right="339" w:bottom="1440" w:gutter="0" w:footer="0" w:header="0"/>
        </w:sectPr>
      </w:pPr>
    </w:p>
    <w:bookmarkStart w:id="24" w:name="page25"/>
    <w:bookmarkEnd w:id="24"/>
    <w:p>
      <w:pPr>
        <w:ind w:left="351" w:hanging="351"/>
        <w:spacing w:after="0"/>
        <w:tabs>
          <w:tab w:leader="none" w:pos="351"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 (Continued)</w:t>
      </w:r>
    </w:p>
    <w:p>
      <w:pPr>
        <w:spacing w:after="0" w:line="148" w:lineRule="exact"/>
        <w:rPr>
          <w:rFonts w:ascii="Times New Roman" w:cs="Times New Roman" w:eastAsia="Times New Roman" w:hAnsi="Times New Roman"/>
          <w:sz w:val="18"/>
          <w:szCs w:val="18"/>
          <w:b w:val="1"/>
          <w:bCs w:val="1"/>
          <w:color w:val="auto"/>
        </w:rPr>
      </w:pPr>
    </w:p>
    <w:p>
      <w:pPr>
        <w:ind w:left="1291" w:hanging="319"/>
        <w:spacing w:after="0" w:line="237" w:lineRule="auto"/>
        <w:tabs>
          <w:tab w:leader="none" w:pos="128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giving effect to any such distribution payments. Discretionary distributions are restricted by the PIPA from January 1, 2024 to the closing date of the Partnership Sale Transaction which was August 1, 2024 (See Note M – Subsequent Events).</w:t>
      </w:r>
    </w:p>
    <w:p>
      <w:pPr>
        <w:spacing w:after="0" w:line="172" w:lineRule="exact"/>
        <w:rPr>
          <w:sz w:val="20"/>
          <w:szCs w:val="20"/>
          <w:color w:val="auto"/>
        </w:rPr>
      </w:pPr>
    </w:p>
    <w:p>
      <w:pPr>
        <w:ind w:left="971"/>
        <w:spacing w:after="0"/>
        <w:rPr>
          <w:sz w:val="20"/>
          <w:szCs w:val="20"/>
          <w:color w:val="auto"/>
        </w:rPr>
      </w:pPr>
      <w:r>
        <w:rPr>
          <w:rFonts w:ascii="Times New Roman" w:cs="Times New Roman" w:eastAsia="Times New Roman" w:hAnsi="Times New Roman"/>
          <w:sz w:val="18"/>
          <w:szCs w:val="18"/>
          <w:color w:val="auto"/>
        </w:rPr>
        <w:t>At June 30, 2024, the Partnership was in compliance with all of the covenants under the 2029 Senior Note Indenture.</w:t>
      </w:r>
    </w:p>
    <w:p>
      <w:pPr>
        <w:spacing w:after="0" w:line="194" w:lineRule="exact"/>
        <w:rPr>
          <w:sz w:val="20"/>
          <w:szCs w:val="20"/>
          <w:color w:val="auto"/>
        </w:rPr>
      </w:pPr>
    </w:p>
    <w:p>
      <w:pPr>
        <w:jc w:val="both"/>
        <w:ind w:left="651" w:firstLine="32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Construction loan - Canvasback office building. </w:t>
      </w:r>
      <w:r>
        <w:rPr>
          <w:rFonts w:ascii="Times New Roman" w:cs="Times New Roman" w:eastAsia="Times New Roman" w:hAnsi="Times New Roman"/>
          <w:sz w:val="18"/>
          <w:szCs w:val="18"/>
          <w:color w:val="auto"/>
        </w:rPr>
        <w:t>On June 19, 2014, Canvasback entered into a construction loan agreement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 (the “Construction Loan”) to partially finance the cost of the construction of an office building in Midland, Texas that became the Partnership’s headquarters. Advances were made during the period of February 2015 through December 2015 when the final advance was made, and the balance outstanding was at its maximum amount available of $12.0 million. Construction was completed and the certain conditions of the loan agreement were satisfied in December 2015 to effect the extension of the loan to June 30, 2026. Payments of principal and interest are due on the first of each month in an amount necessary to fully amortize the loan over its remaining term. Advances on the Construction Loan bear interest at a fixed rate equal to the Wall Street Journal published Prime Rate in effect on July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each year plus</w:t>
      </w:r>
    </w:p>
    <w:p>
      <w:pPr>
        <w:spacing w:after="0" w:line="3" w:lineRule="exact"/>
        <w:rPr>
          <w:sz w:val="20"/>
          <w:szCs w:val="20"/>
          <w:color w:val="auto"/>
        </w:rPr>
      </w:pPr>
    </w:p>
    <w:p>
      <w:pPr>
        <w:ind w:left="651"/>
        <w:spacing w:after="0"/>
        <w:rPr>
          <w:sz w:val="20"/>
          <w:szCs w:val="20"/>
          <w:color w:val="auto"/>
        </w:rPr>
      </w:pPr>
      <w:r>
        <w:rPr>
          <w:rFonts w:ascii="Times New Roman" w:cs="Times New Roman" w:eastAsia="Times New Roman" w:hAnsi="Times New Roman"/>
          <w:sz w:val="18"/>
          <w:szCs w:val="18"/>
          <w:color w:val="auto"/>
        </w:rPr>
        <w:t>100 basis points, but in no event shall the interest rate be less than 4.25% nor more than 4.75%.</w:t>
      </w:r>
    </w:p>
    <w:p>
      <w:pPr>
        <w:spacing w:after="0" w:line="178" w:lineRule="exact"/>
        <w:rPr>
          <w:sz w:val="20"/>
          <w:szCs w:val="20"/>
          <w:color w:val="auto"/>
        </w:rPr>
      </w:pPr>
    </w:p>
    <w:p>
      <w:pPr>
        <w:jc w:val="both"/>
        <w:ind w:left="651" w:firstLine="324"/>
        <w:spacing w:after="0" w:line="258" w:lineRule="auto"/>
        <w:rPr>
          <w:sz w:val="20"/>
          <w:szCs w:val="20"/>
          <w:color w:val="auto"/>
        </w:rPr>
      </w:pPr>
      <w:r>
        <w:rPr>
          <w:rFonts w:ascii="Times New Roman" w:cs="Times New Roman" w:eastAsia="Times New Roman" w:hAnsi="Times New Roman"/>
          <w:sz w:val="18"/>
          <w:szCs w:val="18"/>
          <w:color w:val="auto"/>
        </w:rPr>
        <w:t>On July 6, 2023, Canvasback and the bank modified the Construction Loan amortization schedule and maturity date to facilitate the full amortization of the loan on June 1, 2024. In conjunction with this modification, Canvasback made a principal prepayment on June 30, 2023 in the amount of $1.0 million. The interest rate for the period of July 1, 2023 through June 1, 2024 was determined at 4.75%.</w:t>
      </w:r>
    </w:p>
    <w:p>
      <w:pPr>
        <w:spacing w:after="0" w:line="169" w:lineRule="exact"/>
        <w:rPr>
          <w:sz w:val="20"/>
          <w:szCs w:val="20"/>
          <w:color w:val="auto"/>
        </w:rPr>
      </w:pPr>
    </w:p>
    <w:p>
      <w:pPr>
        <w:jc w:val="both"/>
        <w:ind w:left="651" w:firstLine="324"/>
        <w:spacing w:after="0" w:line="250" w:lineRule="auto"/>
        <w:rPr>
          <w:sz w:val="20"/>
          <w:szCs w:val="20"/>
          <w:color w:val="auto"/>
        </w:rPr>
      </w:pPr>
      <w:r>
        <w:rPr>
          <w:rFonts w:ascii="Times New Roman" w:cs="Times New Roman" w:eastAsia="Times New Roman" w:hAnsi="Times New Roman"/>
          <w:sz w:val="18"/>
          <w:szCs w:val="18"/>
          <w:color w:val="auto"/>
        </w:rPr>
        <w:t>On January 19, 2024, Canvasback fully prepaid the remaining principal balance and accrued interest on the Construction Loan. As a result of this repayment, the bank released all security instruments including the mortgage and the Partnership’s guaranty which had been part of the original loan documents.</w:t>
      </w:r>
    </w:p>
    <w:p>
      <w:pPr>
        <w:spacing w:after="0" w:line="177" w:lineRule="exact"/>
        <w:rPr>
          <w:sz w:val="20"/>
          <w:szCs w:val="20"/>
          <w:color w:val="auto"/>
        </w:rPr>
      </w:pPr>
    </w:p>
    <w:p>
      <w:pPr>
        <w:ind w:left="971"/>
        <w:spacing w:after="0"/>
        <w:rPr>
          <w:sz w:val="20"/>
          <w:szCs w:val="20"/>
          <w:color w:val="auto"/>
        </w:rPr>
      </w:pPr>
      <w:r>
        <w:rPr>
          <w:rFonts w:ascii="Times New Roman" w:cs="Times New Roman" w:eastAsia="Times New Roman" w:hAnsi="Times New Roman"/>
          <w:sz w:val="18"/>
          <w:szCs w:val="18"/>
          <w:color w:val="auto"/>
        </w:rPr>
        <w:t>Effective January 31, 2024, Canvasback distributed the office building to 18 Desta, a wholly-owned subsidiary of Holdings.</w:t>
      </w:r>
    </w:p>
    <w:p>
      <w:pPr>
        <w:spacing w:after="0" w:line="194" w:lineRule="exact"/>
        <w:rPr>
          <w:sz w:val="20"/>
          <w:szCs w:val="20"/>
          <w:color w:val="auto"/>
        </w:rPr>
      </w:pPr>
    </w:p>
    <w:p>
      <w:pPr>
        <w:jc w:val="both"/>
        <w:ind w:left="651"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Principal maturities of debt. </w:t>
      </w:r>
      <w:r>
        <w:rPr>
          <w:rFonts w:ascii="Times New Roman" w:cs="Times New Roman" w:eastAsia="Times New Roman" w:hAnsi="Times New Roman"/>
          <w:sz w:val="18"/>
          <w:szCs w:val="18"/>
          <w:color w:val="auto"/>
        </w:rPr>
        <w:t>The Credit Facility expires in 2028. The 2025 Senior Notes are due in 2025. The 2029 Senior Notes are due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2029.</w:t>
      </w:r>
    </w:p>
    <w:p>
      <w:pPr>
        <w:spacing w:after="0" w:line="344" w:lineRule="exact"/>
        <w:rPr>
          <w:sz w:val="20"/>
          <w:szCs w:val="20"/>
          <w:color w:val="auto"/>
        </w:rPr>
      </w:pPr>
    </w:p>
    <w:p>
      <w:pPr>
        <w:ind w:left="971"/>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The following amounts have been incurred and charged to interest expense for the six months ended June 30, 2024:</w:t>
      </w:r>
    </w:p>
    <w:p>
      <w:pPr>
        <w:sectPr>
          <w:pgSz w:w="11900" w:h="16838" w:orient="portrait"/>
          <w:cols w:equalWidth="0" w:num="1">
            <w:col w:w="11151"/>
          </w:cols>
          <w:pgMar w:left="409"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51"/>
        <w:spacing w:after="0"/>
        <w:rPr>
          <w:sz w:val="20"/>
          <w:szCs w:val="20"/>
          <w:color w:val="auto"/>
        </w:rPr>
      </w:pPr>
      <w:r>
        <w:rPr>
          <w:rFonts w:ascii="Times New Roman" w:cs="Times New Roman" w:eastAsia="Times New Roman" w:hAnsi="Times New Roman"/>
          <w:sz w:val="17"/>
          <w:szCs w:val="17"/>
          <w:color w:val="auto"/>
        </w:rPr>
        <w:t>Cash payments for interest</w:t>
      </w:r>
    </w:p>
    <w:p>
      <w:pPr>
        <w:spacing w:after="0" w:line="34" w:lineRule="exact"/>
        <w:rPr>
          <w:sz w:val="20"/>
          <w:szCs w:val="20"/>
          <w:color w:val="auto"/>
        </w:rPr>
      </w:pPr>
    </w:p>
    <w:p>
      <w:pPr>
        <w:ind w:left="1851"/>
        <w:spacing w:after="0"/>
        <w:rPr>
          <w:sz w:val="20"/>
          <w:szCs w:val="20"/>
          <w:color w:val="auto"/>
        </w:rPr>
      </w:pPr>
      <w:r>
        <w:rPr>
          <w:rFonts w:ascii="Times New Roman" w:cs="Times New Roman" w:eastAsia="Times New Roman" w:hAnsi="Times New Roman"/>
          <w:sz w:val="17"/>
          <w:szCs w:val="17"/>
          <w:color w:val="auto"/>
        </w:rPr>
        <w:t>Amortization of original issue discount</w:t>
      </w:r>
    </w:p>
    <w:p>
      <w:pPr>
        <w:spacing w:after="0" w:line="48" w:lineRule="exact"/>
        <w:rPr>
          <w:sz w:val="20"/>
          <w:szCs w:val="20"/>
          <w:color w:val="auto"/>
        </w:rPr>
      </w:pPr>
    </w:p>
    <w:p>
      <w:pPr>
        <w:ind w:left="1851"/>
        <w:spacing w:after="0"/>
        <w:rPr>
          <w:sz w:val="20"/>
          <w:szCs w:val="20"/>
          <w:color w:val="auto"/>
        </w:rPr>
      </w:pPr>
      <w:r>
        <w:rPr>
          <w:rFonts w:ascii="Times New Roman" w:cs="Times New Roman" w:eastAsia="Times New Roman" w:hAnsi="Times New Roman"/>
          <w:sz w:val="17"/>
          <w:szCs w:val="17"/>
          <w:color w:val="auto"/>
        </w:rPr>
        <w:t>Amortization of deferred loan costs</w:t>
      </w:r>
    </w:p>
    <w:p>
      <w:pPr>
        <w:spacing w:after="0" w:line="34" w:lineRule="exact"/>
        <w:rPr>
          <w:sz w:val="20"/>
          <w:szCs w:val="20"/>
          <w:color w:val="auto"/>
        </w:rPr>
      </w:pPr>
    </w:p>
    <w:p>
      <w:pPr>
        <w:ind w:left="1851"/>
        <w:spacing w:after="0"/>
        <w:rPr>
          <w:sz w:val="20"/>
          <w:szCs w:val="20"/>
          <w:color w:val="auto"/>
        </w:rPr>
      </w:pPr>
      <w:r>
        <w:rPr>
          <w:rFonts w:ascii="Times New Roman" w:cs="Times New Roman" w:eastAsia="Times New Roman" w:hAnsi="Times New Roman"/>
          <w:sz w:val="17"/>
          <w:szCs w:val="17"/>
          <w:color w:val="auto"/>
        </w:rPr>
        <w:t>Net changes in accrued interest expense</w:t>
      </w:r>
    </w:p>
    <w:p>
      <w:pPr>
        <w:spacing w:after="0" w:line="48" w:lineRule="exact"/>
        <w:rPr>
          <w:sz w:val="20"/>
          <w:szCs w:val="20"/>
          <w:color w:val="auto"/>
        </w:rPr>
      </w:pPr>
    </w:p>
    <w:p>
      <w:pPr>
        <w:ind w:left="1851"/>
        <w:spacing w:after="0"/>
        <w:rPr>
          <w:sz w:val="20"/>
          <w:szCs w:val="20"/>
          <w:color w:val="auto"/>
        </w:rPr>
      </w:pPr>
      <w:r>
        <w:rPr>
          <w:rFonts w:ascii="Times New Roman" w:cs="Times New Roman" w:eastAsia="Times New Roman" w:hAnsi="Times New Roman"/>
          <w:sz w:val="17"/>
          <w:szCs w:val="17"/>
          <w:color w:val="auto"/>
        </w:rPr>
        <w:t>Total interest expense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center"/>
        <w:ind w:right="282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15773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74" w:lineRule="exact"/>
        <w:rPr>
          <w:sz w:val="20"/>
          <w:szCs w:val="20"/>
          <w:color w:val="auto"/>
        </w:rPr>
      </w:pPr>
    </w:p>
    <w:p>
      <w:pPr>
        <w:jc w:val="center"/>
        <w:ind w:right="2820"/>
        <w:spacing w:after="0"/>
        <w:rPr>
          <w:sz w:val="20"/>
          <w:szCs w:val="20"/>
          <w:color w:val="auto"/>
        </w:rPr>
      </w:pPr>
      <w:r>
        <w:rPr>
          <w:rFonts w:ascii="Times New Roman" w:cs="Times New Roman" w:eastAsia="Times New Roman" w:hAnsi="Times New Roman"/>
          <w:sz w:val="17"/>
          <w:szCs w:val="17"/>
          <w:color w:val="auto"/>
        </w:rPr>
        <w:t>(in thousands)</w:t>
      </w:r>
    </w:p>
    <w:p>
      <w:pPr>
        <w:spacing w:after="0" w:line="34" w:lineRule="exact"/>
        <w:rPr>
          <w:sz w:val="20"/>
          <w:szCs w:val="20"/>
          <w:color w:val="auto"/>
        </w:rPr>
      </w:pPr>
    </w:p>
    <w:p>
      <w:pPr>
        <w:jc w:val="both"/>
        <w:spacing w:after="0"/>
        <w:tabs>
          <w:tab w:leader="none" w:pos="19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36,388</w:t>
      </w:r>
    </w:p>
    <w:p>
      <w:pPr>
        <w:spacing w:after="0" w:line="48" w:lineRule="exact"/>
        <w:rPr>
          <w:sz w:val="20"/>
          <w:szCs w:val="20"/>
          <w:color w:val="auto"/>
        </w:rPr>
      </w:pPr>
    </w:p>
    <w:p>
      <w:pPr>
        <w:jc w:val="right"/>
        <w:ind w:right="2880"/>
        <w:spacing w:after="0"/>
        <w:rPr>
          <w:sz w:val="20"/>
          <w:szCs w:val="20"/>
          <w:color w:val="auto"/>
        </w:rPr>
      </w:pPr>
      <w:r>
        <w:rPr>
          <w:rFonts w:ascii="Times New Roman" w:cs="Times New Roman" w:eastAsia="Times New Roman" w:hAnsi="Times New Roman"/>
          <w:sz w:val="17"/>
          <w:szCs w:val="17"/>
          <w:color w:val="auto"/>
        </w:rPr>
        <w:t>180</w:t>
      </w:r>
    </w:p>
    <w:p>
      <w:pPr>
        <w:spacing w:after="0" w:line="34" w:lineRule="exact"/>
        <w:rPr>
          <w:sz w:val="20"/>
          <w:szCs w:val="20"/>
          <w:color w:val="auto"/>
        </w:rPr>
      </w:pPr>
    </w:p>
    <w:p>
      <w:pPr>
        <w:jc w:val="right"/>
        <w:ind w:right="2880"/>
        <w:spacing w:after="0"/>
        <w:rPr>
          <w:sz w:val="20"/>
          <w:szCs w:val="20"/>
          <w:color w:val="auto"/>
        </w:rPr>
      </w:pPr>
      <w:r>
        <w:rPr>
          <w:rFonts w:ascii="Times New Roman" w:cs="Times New Roman" w:eastAsia="Times New Roman" w:hAnsi="Times New Roman"/>
          <w:sz w:val="17"/>
          <w:szCs w:val="17"/>
          <w:color w:val="auto"/>
        </w:rPr>
        <w:t>2,220</w:t>
      </w:r>
    </w:p>
    <w:p>
      <w:pPr>
        <w:spacing w:after="0" w:line="34" w:lineRule="exact"/>
        <w:rPr>
          <w:sz w:val="20"/>
          <w:szCs w:val="20"/>
          <w:color w:val="auto"/>
        </w:rPr>
      </w:pPr>
    </w:p>
    <w:p>
      <w:pPr>
        <w:jc w:val="right"/>
        <w:ind w:right="288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15773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8"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38,792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157734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7734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59690</wp:posOffset>
            </wp:positionV>
            <wp:extent cx="157734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5151" w:space="720"/>
            <w:col w:w="5280"/>
          </w:cols>
          <w:pgMar w:left="409" w:top="10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51"/>
          </w:cols>
          <w:pgMar w:left="409" w:top="1035"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M. Subsequent Events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Completion of Occidental’s Acquisition of the Partnership Interests of the Partnership</w:t>
      </w:r>
    </w:p>
    <w:p>
      <w:pPr>
        <w:spacing w:after="0" w:line="243" w:lineRule="exact"/>
        <w:rPr>
          <w:sz w:val="20"/>
          <w:szCs w:val="20"/>
          <w:color w:val="auto"/>
        </w:rPr>
      </w:pPr>
    </w:p>
    <w:p>
      <w:pPr>
        <w:jc w:val="both"/>
        <w:ind w:right="820" w:firstLine="324"/>
        <w:spacing w:after="0" w:line="258" w:lineRule="auto"/>
        <w:rPr>
          <w:sz w:val="20"/>
          <w:szCs w:val="20"/>
          <w:color w:val="auto"/>
        </w:rPr>
      </w:pPr>
      <w:r>
        <w:rPr>
          <w:rFonts w:ascii="Times New Roman" w:cs="Times New Roman" w:eastAsia="Times New Roman" w:hAnsi="Times New Roman"/>
          <w:sz w:val="18"/>
          <w:szCs w:val="18"/>
          <w:color w:val="auto"/>
        </w:rPr>
        <w:t>The Partnership Sale Transaction closed on August 1, 2024. As a result, the general partner and limited partner interests formerly owned by CrownRock GP and Holdings, respectively, are now owned by subsidiaries of Occidental. Future activities of the Partnership will be reported by Occidental.</w:t>
      </w:r>
    </w:p>
    <w:p>
      <w:pPr>
        <w:spacing w:after="0" w:line="179"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Long-term Debt. </w:t>
      </w:r>
      <w:r>
        <w:rPr>
          <w:rFonts w:ascii="Times New Roman" w:cs="Times New Roman" w:eastAsia="Times New Roman" w:hAnsi="Times New Roman"/>
          <w:sz w:val="18"/>
          <w:szCs w:val="18"/>
          <w:color w:val="auto"/>
        </w:rPr>
        <w:t>In conjunction with the closing of the Partnership Sale Transaction on August 1, 2024, the Partnership’s Credit Facility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terminated.</w:t>
      </w:r>
    </w:p>
    <w:p>
      <w:pPr>
        <w:spacing w:after="0" w:line="18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Additionally, on July 15, 2024, the Partnership issued a Redemption Notice to redeem the 2025 Senior Notes at the redemption price of 100.00% which is scheduled to close on August 14, 2024.</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049"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22"/>
          <w:szCs w:val="22"/>
          <w:b w:val="1"/>
          <w:bCs w:val="1"/>
          <w:color w:val="auto"/>
        </w:rPr>
        <w:t>Exhibit 99.2</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PRO FORMA CONDENSED COMBINED FINANCIAL STATEMENTS</w:t>
      </w:r>
    </w:p>
    <w:p>
      <w:pPr>
        <w:spacing w:after="0" w:line="2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7"/>
          <w:szCs w:val="17"/>
          <w:color w:val="auto"/>
        </w:rPr>
        <w:t>On August 1, 2024, Occidental Petroleum Corporation (“Occidental”) consummated the purchase of CrownRock, L.P. (“CrownRock”) for total consideration of approximately $12.4 billion (“the acquisition”) consisting of approximately $9.4 billion of cash consideration (inclusive of and subject to certain working capital and other customary purchase price adjustments), approximately 29.6 million shares of common stock of Occidental, and the assumption of $1.2 billion of existing debt of CrownRock and its subsidiaries. Concurrent with the acquisition closing, Occidental issued approximately $9.7 billion aggregate principal amount of new debt.</w:t>
      </w:r>
    </w:p>
    <w:p>
      <w:pPr>
        <w:spacing w:after="0" w:line="2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7"/>
          <w:szCs w:val="17"/>
          <w:color w:val="auto"/>
        </w:rPr>
        <w:t>The unaudited pro forma condensed combined financial statements (the “pro forma financial statements”) presented below have been prepared from the respective historical consolidated financial statements of Occidental and CrownRock and have been adjusted to reflect (i) the completion of the acquisition, (ii) Occidental’s incurrence of approximately $9.7 billion aggregate principal amount of new indebtedness, (iii) the issuance of approximately 29.6 million shares of Occidental’s common stock and (iv) the redemption of CrownRock’s unsecured senior notes due in 2025 (the “CrownRock 2025 notes”). The unaudited pro forma condensed combined balance sheet (the “pro forma balance sheet”) is presented as if the transactions had been completed on June 30, 2024. The unaudited pro forma combined statements of operations (the “pro forma statements of operations”) for the year ended December 31, 2023, and for the six months ended June 30, 2024, are presented as if the transactions had been completed on January 1, 2023. The amounts related to discontinued operations in Occidental’s Quarterly Report on Form 10-Q for the period ended June 30, 2024 have been excluded from the pro forma statements of operations.</w:t>
      </w:r>
    </w:p>
    <w:p>
      <w:pPr>
        <w:spacing w:after="0" w:line="2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7"/>
          <w:szCs w:val="17"/>
          <w:color w:val="auto"/>
        </w:rPr>
        <w:t>The pro forma financial statements have been prepared from, and should be read in conjunction with, (i) the unaudited consolidated financial statements of Occidental contained in its Quarterly Report on Form 10-Q for the period ended June 30, 2024, (ii) the unaudited condensed consolidated financial statements of CrownRock for the six months ended June 30, 2024 included as Exhibit 99.1 to the Current Report on Form 8-K which these pro forma financial statements are filed with as Exhibit 99.2, (iii) the audited consolidated financial statements of Occidental contained in its Annual Report on Form 10-K for the year ended December 31, 2023 and (iv) the audited consolidated financial statements of CrownRock for the year ended December 31, 2023, included as Exhibit 99.1 to Occidental’s Current Report on Form 8-K filed on July 19, 2024. Certain of CrownRock’s historical amounts have been reclassified to conform to Occidental’s financial statement presentation.</w:t>
      </w:r>
    </w:p>
    <w:p>
      <w:pPr>
        <w:spacing w:after="0" w:line="22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7"/>
          <w:szCs w:val="17"/>
          <w:color w:val="auto"/>
        </w:rPr>
        <w:t>The pro forma financial statements have been prepared to reflect adjustments to Occidental’s historical consolidated financial information that are (i) directly attributable to the acquisition, (ii) factually supportable and (iii) with respect to the pro forma statements of operations only, expected to have a continuing impact on Occidental’s results.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pro forma financial statements reflect the following pro forma adjustments, based on available information and certain assumptions that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Occidental believes are reasonable:</w:t>
      </w:r>
    </w:p>
    <w:p>
      <w:pPr>
        <w:spacing w:after="0" w:line="234" w:lineRule="exact"/>
        <w:rPr>
          <w:sz w:val="20"/>
          <w:szCs w:val="20"/>
          <w:color w:val="auto"/>
        </w:rPr>
      </w:pPr>
    </w:p>
    <w:p>
      <w:pPr>
        <w:ind w:left="820" w:hanging="245"/>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acquisition of CrownRock under the acquisition method of accounting;</w:t>
      </w:r>
    </w:p>
    <w:p>
      <w:pPr>
        <w:spacing w:after="0" w:line="29" w:lineRule="exact"/>
        <w:rPr>
          <w:rFonts w:ascii="Arial" w:cs="Arial" w:eastAsia="Arial" w:hAnsi="Arial"/>
          <w:sz w:val="17"/>
          <w:szCs w:val="17"/>
          <w:color w:val="auto"/>
        </w:rPr>
      </w:pPr>
    </w:p>
    <w:p>
      <w:pPr>
        <w:ind w:left="820" w:hanging="245"/>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assumption of liabilities for expenses related to the transactions;</w:t>
      </w:r>
    </w:p>
    <w:p>
      <w:pPr>
        <w:spacing w:after="0" w:line="14" w:lineRule="exact"/>
        <w:rPr>
          <w:rFonts w:ascii="Arial" w:cs="Arial" w:eastAsia="Arial" w:hAnsi="Arial"/>
          <w:sz w:val="17"/>
          <w:szCs w:val="17"/>
          <w:color w:val="auto"/>
        </w:rPr>
      </w:pPr>
    </w:p>
    <w:p>
      <w:pPr>
        <w:ind w:left="900" w:right="40" w:hanging="325"/>
        <w:spacing w:after="0" w:line="236" w:lineRule="auto"/>
        <w:tabs>
          <w:tab w:leader="none" w:pos="82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incurrence by Occidental of $9.7 billion of new indebtedness, consisting of (i) $2.0 billion in term loans with a maturity of 364 days and $2.7 billion in term loans with a maturity of two years borrowed under a term loan agreement with Bank of America, N.A., as administrative agent, and certain financial institutions party thereto, as lenders, and (ii) $5.0 billion in senior unsecured long-term debt issued in lieu of borrowings pursuant to, and termination of, a 364-day senior unsecured bridge loan facility;</w:t>
      </w:r>
    </w:p>
    <w:p>
      <w:pPr>
        <w:ind w:left="900" w:hanging="325"/>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redemption of the CrownRock 2025 notes, totaling approximately $868 million; and</w:t>
      </w:r>
    </w:p>
    <w:p>
      <w:pPr>
        <w:spacing w:after="0" w:line="7" w:lineRule="exact"/>
        <w:rPr>
          <w:rFonts w:ascii="Arial" w:cs="Arial" w:eastAsia="Arial" w:hAnsi="Arial"/>
          <w:sz w:val="17"/>
          <w:szCs w:val="17"/>
          <w:color w:val="auto"/>
        </w:rPr>
      </w:pPr>
    </w:p>
    <w:p>
      <w:pPr>
        <w:ind w:left="900" w:hanging="325"/>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issuance of approximately 29.6 million shares of Occidental’s common stock</w:t>
      </w:r>
    </w:p>
    <w:p>
      <w:pPr>
        <w:spacing w:after="0" w:line="234"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7"/>
          <w:szCs w:val="17"/>
          <w:color w:val="auto"/>
        </w:rPr>
        <w:t>The pro forma financial statements do not include the realization of cost savings from operating efficiencies, revenue synergies or other integration costs expected to result from the acquisition.</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7"/>
          <w:szCs w:val="17"/>
          <w:color w:val="auto"/>
        </w:rPr>
        <w:t>The pro forma financial statements have been prepared using the acquisition method of accounting using the accounting guidance in Accounting Standards Codification 805, Business Combinations (“ASC 805”), with Occidental treated as the acquirer. The acquisition method of accounting is dependent upon certain valuations and other studies that, as of the date of these pro forma financial statements, have yet to commence or progress to a stage where there is sufficient information for a definitive measure. As indicated in the pro forma financial statements and under “—Purchase Price and Allocation” below, Occidental has performed a preliminary valuation analysis of the fair value of CrownRock’s assets acquired and liabilities assumed and has made certain adjustments to the historical book values of the assets and liabilities of CrownRock to reflect preliminary estimates of the fair values necessary to prepare the pro forma financial statements. Occidental is performing a detailed review of CrownRock’s accounting policies. Accordingly, the pro forma financial statements and pro forma adjustments are preliminary and have been made solely for the purpose of preparing the pro forma financial statements. Amounts used in these pro forma financial statements will differ from ultimate amounts once Occidental has completed the valuation studies necessary to finalize the required purchase price allocation and identified any necessary conforming accounting policy changes for CrownRock. Differences between these preliminary estimates and the final acquisition accounting may have a material impact on the pro forma financial statements and the combined company’s future results of operations and financial position.</w:t>
      </w:r>
    </w:p>
    <w:p>
      <w:pPr>
        <w:sectPr>
          <w:pgSz w:w="11900" w:h="16838" w:orient="portrait"/>
          <w:cols w:equalWidth="0" w:num="1">
            <w:col w:w="11240"/>
          </w:cols>
          <w:pgMar w:left="320" w:top="1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52" w:right="339" w:bottom="1440" w:gutter="0" w:footer="0" w:header="0"/>
          <w:type w:val="continuous"/>
        </w:sectPr>
      </w:pPr>
    </w:p>
    <w:bookmarkStart w:id="27" w:name="page28"/>
    <w:bookmarkEnd w:id="27"/>
    <w:p>
      <w:pPr>
        <w:jc w:val="both"/>
        <w:ind w:firstLine="324"/>
        <w:spacing w:after="0" w:line="274" w:lineRule="auto"/>
        <w:rPr>
          <w:sz w:val="20"/>
          <w:szCs w:val="20"/>
          <w:color w:val="auto"/>
        </w:rPr>
      </w:pPr>
      <w:r>
        <w:rPr>
          <w:rFonts w:ascii="Arial" w:cs="Arial" w:eastAsia="Arial" w:hAnsi="Arial"/>
          <w:sz w:val="17"/>
          <w:szCs w:val="17"/>
          <w:color w:val="auto"/>
        </w:rPr>
        <w:t>The pro forma financial statements are provided for illustrative purposes only and do not purport to represent what the actual consolidated results of operations or consolidated financial position of Occidental would have been had the transactions occurred on the dates assumed, nor are they necessarily indicative of future consolidated results of operations or consolidated financial position.</w:t>
      </w:r>
    </w:p>
    <w:p>
      <w:pPr>
        <w:spacing w:after="0" w:line="19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7"/>
          <w:szCs w:val="17"/>
          <w:color w:val="auto"/>
        </w:rPr>
        <w:t>The pro forma financial statements and related notes should be read in conjunction with the separate historical consolidated financial statements and related notes of Occidental included in its Annual Report on Form 10-K for the year ended December 31, 2023 and Quarterly Report on Form 10-Q for the period ended June 30, 2024, and CrownRock included as Exhibit 99.1 to Occidental’s Current Report on Form 8-K filed on July 19, 2024 and Exhibit 99.1 to the Current Report on Form 8-K which these pro forma financial statements are filed with as Exhibit 99.2.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Price and Allocation</w:t>
      </w:r>
    </w:p>
    <w:p>
      <w:pPr>
        <w:spacing w:after="0" w:line="264"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7"/>
          <w:szCs w:val="17"/>
          <w:color w:val="auto"/>
        </w:rPr>
        <w:t>The aggregate value of the purchase price is approximately $11.1 billion based on the closing price of Occidental common stock of $59.38 on August 1, 2024.</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Price</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cash and common stock components of the approximate purchase price: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0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in millions, except per-share amounts</w:t>
            </w:r>
          </w:p>
        </w:tc>
        <w:tc>
          <w:tcPr>
            <w:tcW w:w="6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1035"/>
              <w:spacing w:after="0"/>
              <w:rPr>
                <w:sz w:val="20"/>
                <w:szCs w:val="20"/>
                <w:color w:val="auto"/>
              </w:rPr>
            </w:pPr>
            <w:r>
              <w:rPr>
                <w:rFonts w:ascii="Arial" w:cs="Arial" w:eastAsia="Arial" w:hAnsi="Arial"/>
                <w:sz w:val="17"/>
                <w:szCs w:val="17"/>
                <w:b w:val="1"/>
                <w:bCs w:val="1"/>
                <w:color w:val="auto"/>
              </w:rPr>
              <w:t>Total</w:t>
            </w:r>
          </w:p>
        </w:tc>
      </w:tr>
      <w:tr>
        <w:trPr>
          <w:trHeight w:val="216"/>
        </w:trPr>
        <w:tc>
          <w:tcPr>
            <w:tcW w:w="8600" w:type="dxa"/>
            <w:vAlign w:val="bottom"/>
          </w:tcPr>
          <w:p>
            <w:pPr>
              <w:ind w:left="20"/>
              <w:spacing w:after="0"/>
              <w:rPr>
                <w:sz w:val="20"/>
                <w:szCs w:val="20"/>
                <w:color w:val="auto"/>
              </w:rPr>
            </w:pPr>
            <w:r>
              <w:rPr>
                <w:rFonts w:ascii="Arial" w:cs="Arial" w:eastAsia="Arial" w:hAnsi="Arial"/>
                <w:sz w:val="17"/>
                <w:szCs w:val="17"/>
                <w:color w:val="auto"/>
              </w:rPr>
              <w:t>Cash portion of purchase price</w:t>
            </w:r>
          </w:p>
        </w:tc>
        <w:tc>
          <w:tcPr>
            <w:tcW w:w="620" w:type="dxa"/>
            <w:vAlign w:val="bottom"/>
          </w:tcPr>
          <w:p>
            <w:pPr>
              <w:jc w:val="right"/>
              <w:ind w:right="415"/>
              <w:spacing w:after="0"/>
              <w:rPr>
                <w:sz w:val="20"/>
                <w:szCs w:val="20"/>
                <w:color w:val="auto"/>
              </w:rPr>
            </w:pPr>
            <w:r>
              <w:rPr>
                <w:rFonts w:ascii="Arial" w:cs="Arial" w:eastAsia="Arial" w:hAnsi="Arial"/>
                <w:sz w:val="17"/>
                <w:szCs w:val="17"/>
                <w:color w:val="auto"/>
              </w:rPr>
              <w:t>$</w:t>
            </w:r>
          </w:p>
        </w:tc>
        <w:tc>
          <w:tcPr>
            <w:tcW w:w="2020" w:type="dxa"/>
            <w:vAlign w:val="bottom"/>
          </w:tcPr>
          <w:p>
            <w:pPr>
              <w:jc w:val="right"/>
              <w:spacing w:after="0"/>
              <w:rPr>
                <w:sz w:val="20"/>
                <w:szCs w:val="20"/>
                <w:color w:val="auto"/>
              </w:rPr>
            </w:pPr>
            <w:r>
              <w:rPr>
                <w:rFonts w:ascii="Arial" w:cs="Arial" w:eastAsia="Arial" w:hAnsi="Arial"/>
                <w:sz w:val="17"/>
                <w:szCs w:val="17"/>
                <w:color w:val="auto"/>
              </w:rPr>
              <w:t>9,100</w:t>
            </w:r>
          </w:p>
        </w:tc>
      </w:tr>
      <w:tr>
        <w:trPr>
          <w:trHeight w:val="225"/>
        </w:trPr>
        <w:tc>
          <w:tcPr>
            <w:tcW w:w="8600" w:type="dxa"/>
            <w:vAlign w:val="bottom"/>
          </w:tcPr>
          <w:p>
            <w:pPr>
              <w:ind w:left="20"/>
              <w:spacing w:after="0"/>
              <w:rPr>
                <w:sz w:val="20"/>
                <w:szCs w:val="20"/>
                <w:color w:val="auto"/>
              </w:rPr>
            </w:pPr>
            <w:r>
              <w:rPr>
                <w:rFonts w:ascii="Arial" w:cs="Arial" w:eastAsia="Arial" w:hAnsi="Arial"/>
                <w:sz w:val="17"/>
                <w:szCs w:val="17"/>
                <w:color w:val="auto"/>
              </w:rPr>
              <w:t>Closing Adjustments</w:t>
            </w:r>
          </w:p>
        </w:tc>
        <w:tc>
          <w:tcPr>
            <w:tcW w:w="6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30"/>
        </w:trPr>
        <w:tc>
          <w:tcPr>
            <w:tcW w:w="8600" w:type="dxa"/>
            <w:vAlign w:val="bottom"/>
          </w:tcPr>
          <w:p>
            <w:pPr>
              <w:ind w:left="360"/>
              <w:spacing w:after="0"/>
              <w:rPr>
                <w:sz w:val="20"/>
                <w:szCs w:val="20"/>
                <w:color w:val="auto"/>
              </w:rPr>
            </w:pPr>
            <w:r>
              <w:rPr>
                <w:rFonts w:ascii="Arial" w:cs="Arial" w:eastAsia="Arial" w:hAnsi="Arial"/>
                <w:sz w:val="17"/>
                <w:szCs w:val="17"/>
                <w:color w:val="auto"/>
              </w:rPr>
              <w:t>Net Working Capital and Other Purchase Price Adjustments</w:t>
            </w:r>
          </w:p>
        </w:tc>
        <w:tc>
          <w:tcPr>
            <w:tcW w:w="6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257</w:t>
            </w:r>
          </w:p>
        </w:tc>
      </w:tr>
      <w:tr>
        <w:trPr>
          <w:trHeight w:val="236"/>
        </w:trPr>
        <w:tc>
          <w:tcPr>
            <w:tcW w:w="8600" w:type="dxa"/>
            <w:vAlign w:val="bottom"/>
          </w:tcPr>
          <w:p>
            <w:pPr>
              <w:ind w:left="360"/>
              <w:spacing w:after="0"/>
              <w:rPr>
                <w:sz w:val="20"/>
                <w:szCs w:val="20"/>
                <w:color w:val="auto"/>
              </w:rPr>
            </w:pPr>
            <w:r>
              <w:rPr>
                <w:rFonts w:ascii="Arial" w:cs="Arial" w:eastAsia="Arial" w:hAnsi="Arial"/>
                <w:sz w:val="17"/>
                <w:szCs w:val="17"/>
                <w:color w:val="auto"/>
              </w:rPr>
              <w:t>Pre-closing dividends declared by Occidental</w:t>
            </w:r>
          </w:p>
        </w:tc>
        <w:tc>
          <w:tcPr>
            <w:tcW w:w="62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r>
      <w:tr>
        <w:trPr>
          <w:trHeight w:val="221"/>
        </w:trPr>
        <w:tc>
          <w:tcPr>
            <w:tcW w:w="8600" w:type="dxa"/>
            <w:vAlign w:val="bottom"/>
          </w:tcPr>
          <w:p>
            <w:pPr>
              <w:ind w:left="180"/>
              <w:spacing w:after="0"/>
              <w:rPr>
                <w:sz w:val="20"/>
                <w:szCs w:val="20"/>
                <w:color w:val="auto"/>
              </w:rPr>
            </w:pPr>
            <w:r>
              <w:rPr>
                <w:rFonts w:ascii="Arial" w:cs="Arial" w:eastAsia="Arial" w:hAnsi="Arial"/>
                <w:sz w:val="17"/>
                <w:szCs w:val="17"/>
                <w:b w:val="1"/>
                <w:bCs w:val="1"/>
                <w:color w:val="auto"/>
              </w:rPr>
              <w:t>Total Cash Purchase Price</w:t>
            </w:r>
          </w:p>
        </w:tc>
        <w:tc>
          <w:tcPr>
            <w:tcW w:w="620" w:type="dxa"/>
            <w:vAlign w:val="bottom"/>
          </w:tcPr>
          <w:p>
            <w:pPr>
              <w:jc w:val="right"/>
              <w:ind w:right="415"/>
              <w:spacing w:after="0"/>
              <w:rPr>
                <w:sz w:val="20"/>
                <w:szCs w:val="20"/>
                <w:color w:val="auto"/>
              </w:rPr>
            </w:pPr>
            <w:r>
              <w:rPr>
                <w:rFonts w:ascii="Arial" w:cs="Arial" w:eastAsia="Arial" w:hAnsi="Arial"/>
                <w:sz w:val="17"/>
                <w:szCs w:val="17"/>
                <w:b w:val="1"/>
                <w:bCs w:val="1"/>
                <w:color w:val="auto"/>
              </w:rPr>
              <w:t>$</w:t>
            </w:r>
          </w:p>
        </w:tc>
        <w:tc>
          <w:tcPr>
            <w:tcW w:w="2020" w:type="dxa"/>
            <w:vAlign w:val="bottom"/>
          </w:tcPr>
          <w:p>
            <w:pPr>
              <w:jc w:val="right"/>
              <w:spacing w:after="0"/>
              <w:rPr>
                <w:sz w:val="20"/>
                <w:szCs w:val="20"/>
                <w:color w:val="auto"/>
              </w:rPr>
            </w:pPr>
            <w:r>
              <w:rPr>
                <w:rFonts w:ascii="Arial" w:cs="Arial" w:eastAsia="Arial" w:hAnsi="Arial"/>
                <w:sz w:val="17"/>
                <w:szCs w:val="17"/>
                <w:b w:val="1"/>
                <w:bCs w:val="1"/>
                <w:color w:val="auto"/>
              </w:rPr>
              <w:t>9,370</w:t>
            </w:r>
          </w:p>
        </w:tc>
      </w:tr>
      <w:tr>
        <w:trPr>
          <w:trHeight w:val="225"/>
        </w:trPr>
        <w:tc>
          <w:tcPr>
            <w:tcW w:w="8600" w:type="dxa"/>
            <w:vAlign w:val="bottom"/>
          </w:tcPr>
          <w:p>
            <w:pPr>
              <w:ind w:left="40"/>
              <w:spacing w:after="0"/>
              <w:rPr>
                <w:sz w:val="20"/>
                <w:szCs w:val="20"/>
                <w:color w:val="auto"/>
              </w:rPr>
            </w:pPr>
            <w:r>
              <w:rPr>
                <w:rFonts w:ascii="Arial" w:cs="Arial" w:eastAsia="Arial" w:hAnsi="Arial"/>
                <w:sz w:val="17"/>
                <w:szCs w:val="17"/>
                <w:color w:val="auto"/>
              </w:rPr>
              <w:t>Total shares of Occidental common stock issued</w:t>
            </w:r>
          </w:p>
        </w:tc>
        <w:tc>
          <w:tcPr>
            <w:tcW w:w="6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29.6</w:t>
            </w:r>
          </w:p>
        </w:tc>
      </w:tr>
      <w:tr>
        <w:trPr>
          <w:trHeight w:val="237"/>
        </w:trPr>
        <w:tc>
          <w:tcPr>
            <w:tcW w:w="8600" w:type="dxa"/>
            <w:vAlign w:val="bottom"/>
          </w:tcPr>
          <w:p>
            <w:pPr>
              <w:ind w:left="40"/>
              <w:spacing w:after="0"/>
              <w:rPr>
                <w:sz w:val="20"/>
                <w:szCs w:val="20"/>
                <w:color w:val="auto"/>
              </w:rPr>
            </w:pPr>
            <w:r>
              <w:rPr>
                <w:rFonts w:ascii="Arial" w:cs="Arial" w:eastAsia="Arial" w:hAnsi="Arial"/>
                <w:sz w:val="17"/>
                <w:szCs w:val="17"/>
                <w:color w:val="auto"/>
              </w:rPr>
              <w:t>Share price of Occidental common stock</w:t>
            </w:r>
          </w:p>
        </w:tc>
        <w:tc>
          <w:tcPr>
            <w:tcW w:w="62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59.38</w:t>
            </w:r>
          </w:p>
        </w:tc>
      </w:tr>
      <w:tr>
        <w:trPr>
          <w:trHeight w:val="236"/>
        </w:trPr>
        <w:tc>
          <w:tcPr>
            <w:tcW w:w="8600" w:type="dxa"/>
            <w:vAlign w:val="bottom"/>
          </w:tcPr>
          <w:p>
            <w:pPr>
              <w:ind w:left="200"/>
              <w:spacing w:after="0"/>
              <w:rPr>
                <w:sz w:val="20"/>
                <w:szCs w:val="20"/>
                <w:color w:val="auto"/>
              </w:rPr>
            </w:pPr>
            <w:r>
              <w:rPr>
                <w:rFonts w:ascii="Arial" w:cs="Arial" w:eastAsia="Arial" w:hAnsi="Arial"/>
                <w:sz w:val="17"/>
                <w:szCs w:val="17"/>
                <w:b w:val="1"/>
                <w:bCs w:val="1"/>
                <w:color w:val="auto"/>
              </w:rPr>
              <w:t>Stock portion of purchase price</w:t>
            </w:r>
          </w:p>
        </w:tc>
        <w:tc>
          <w:tcPr>
            <w:tcW w:w="62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1,755</w:t>
            </w:r>
          </w:p>
        </w:tc>
      </w:tr>
      <w:tr>
        <w:trPr>
          <w:trHeight w:val="237"/>
        </w:trPr>
        <w:tc>
          <w:tcPr>
            <w:tcW w:w="8600" w:type="dxa"/>
            <w:vAlign w:val="bottom"/>
          </w:tcPr>
          <w:p>
            <w:pPr>
              <w:ind w:left="200"/>
              <w:spacing w:after="0"/>
              <w:rPr>
                <w:sz w:val="20"/>
                <w:szCs w:val="20"/>
                <w:color w:val="auto"/>
              </w:rPr>
            </w:pPr>
            <w:r>
              <w:rPr>
                <w:rFonts w:ascii="Arial" w:cs="Arial" w:eastAsia="Arial" w:hAnsi="Arial"/>
                <w:sz w:val="17"/>
                <w:szCs w:val="17"/>
                <w:b w:val="1"/>
                <w:bCs w:val="1"/>
                <w:color w:val="auto"/>
              </w:rPr>
              <w:t>Total preliminary purchase price</w:t>
            </w:r>
          </w:p>
        </w:tc>
        <w:tc>
          <w:tcPr>
            <w:tcW w:w="62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11,125</w:t>
            </w:r>
          </w:p>
        </w:tc>
      </w:tr>
      <w:tr>
        <w:trPr>
          <w:trHeight w:val="34"/>
        </w:trPr>
        <w:tc>
          <w:tcPr>
            <w:tcW w:w="86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bl>
    <w:p>
      <w:pPr>
        <w:spacing w:after="0" w:line="153" w:lineRule="exact"/>
        <w:rPr>
          <w:sz w:val="20"/>
          <w:szCs w:val="20"/>
          <w:color w:val="auto"/>
        </w:rPr>
      </w:pPr>
    </w:p>
    <w:p>
      <w:pPr>
        <w:ind w:right="380" w:firstLine="324"/>
        <w:spacing w:after="0" w:line="284" w:lineRule="auto"/>
        <w:rPr>
          <w:sz w:val="20"/>
          <w:szCs w:val="20"/>
          <w:color w:val="auto"/>
        </w:rPr>
      </w:pPr>
      <w:r>
        <w:rPr>
          <w:rFonts w:ascii="Arial" w:cs="Arial" w:eastAsia="Arial" w:hAnsi="Arial"/>
          <w:sz w:val="17"/>
          <w:szCs w:val="17"/>
          <w:color w:val="auto"/>
        </w:rPr>
        <w:t>Occidental has incurred approximately $9.7 billion aggregate principal amount of new indebtedness and has used or will use, as applicable, available cash to finance the cash purchase price of the acquisition, redeem the CrownRock 2025 notes and pay related fees and expenses.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Preliminary Purchase Price Allocation</w:t>
      </w:r>
    </w:p>
    <w:p>
      <w:pPr>
        <w:spacing w:after="0" w:line="113" w:lineRule="exact"/>
        <w:rPr>
          <w:sz w:val="20"/>
          <w:szCs w:val="20"/>
          <w:color w:val="auto"/>
        </w:rPr>
      </w:pPr>
    </w:p>
    <w:p>
      <w:pPr>
        <w:jc w:val="both"/>
        <w:ind w:right="200" w:firstLine="324"/>
        <w:spacing w:after="0" w:line="266" w:lineRule="auto"/>
        <w:rPr>
          <w:sz w:val="20"/>
          <w:szCs w:val="20"/>
          <w:color w:val="auto"/>
        </w:rPr>
      </w:pPr>
      <w:r>
        <w:rPr>
          <w:rFonts w:ascii="Arial" w:cs="Arial" w:eastAsia="Arial" w:hAnsi="Arial"/>
          <w:sz w:val="17"/>
          <w:szCs w:val="17"/>
          <w:color w:val="auto"/>
        </w:rPr>
        <w:t>The preliminary allocation of the approximate purchase price to the fair values of assets acquired and liabilities assumed includes pro forma adjustments for the fair value of CrownRock's assets and liabilities. The final allocation will be determined once Occidental has completed the necessary detailed valuation analysis and calculations. The final allocation could differ materially from the preliminary allocation used in these pro forma financial statements and related pro forma adjustments.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022" w:right="339" w:bottom="1440" w:gutter="0" w:footer="0" w:header="0"/>
        </w:sectPr>
      </w:pPr>
    </w:p>
    <w:bookmarkStart w:id="28" w:name="page29"/>
    <w:bookmarkEnd w:id="28"/>
    <w:p>
      <w:pPr>
        <w:ind w:right="200" w:firstLine="324"/>
        <w:spacing w:after="0" w:line="317" w:lineRule="auto"/>
        <w:rPr>
          <w:sz w:val="20"/>
          <w:szCs w:val="20"/>
          <w:color w:val="auto"/>
        </w:rPr>
      </w:pPr>
      <w:r>
        <w:rPr>
          <w:rFonts w:ascii="Arial" w:cs="Arial" w:eastAsia="Arial" w:hAnsi="Arial"/>
          <w:sz w:val="16"/>
          <w:szCs w:val="16"/>
          <w:color w:val="auto"/>
        </w:rPr>
        <w:t>Occidental has performed a preliminary valuation analysis of the fair market value of the CrownRock assets acquired and liabilities assumed and the related allocations to such items of the approximate purchase price. The following table summarizes the allocation of the preliminary purchase price: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12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in millions</w:t>
            </w:r>
          </w:p>
        </w:tc>
        <w:tc>
          <w:tcPr>
            <w:tcW w:w="2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As of June 30, 2024</w:t>
            </w:r>
          </w:p>
        </w:tc>
      </w:tr>
      <w:tr>
        <w:trPr>
          <w:trHeight w:val="216"/>
        </w:trPr>
        <w:tc>
          <w:tcPr>
            <w:tcW w:w="9120" w:type="dxa"/>
            <w:vAlign w:val="bottom"/>
          </w:tcPr>
          <w:p>
            <w:pPr>
              <w:ind w:left="40"/>
              <w:spacing w:after="0"/>
              <w:rPr>
                <w:sz w:val="20"/>
                <w:szCs w:val="20"/>
                <w:color w:val="auto"/>
              </w:rPr>
            </w:pPr>
            <w:r>
              <w:rPr>
                <w:rFonts w:ascii="Arial" w:cs="Arial" w:eastAsia="Arial" w:hAnsi="Arial"/>
                <w:sz w:val="17"/>
                <w:szCs w:val="17"/>
                <w:b w:val="1"/>
                <w:bCs w:val="1"/>
                <w:color w:val="auto"/>
              </w:rPr>
              <w:t>Fair value of assets acquired:</w:t>
            </w: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25"/>
        </w:trPr>
        <w:tc>
          <w:tcPr>
            <w:tcW w:w="9120" w:type="dxa"/>
            <w:vAlign w:val="bottom"/>
          </w:tcPr>
          <w:p>
            <w:pPr>
              <w:ind w:left="360"/>
              <w:spacing w:after="0"/>
              <w:rPr>
                <w:sz w:val="20"/>
                <w:szCs w:val="20"/>
                <w:color w:val="auto"/>
              </w:rPr>
            </w:pPr>
            <w:r>
              <w:rPr>
                <w:rFonts w:ascii="Arial" w:cs="Arial" w:eastAsia="Arial" w:hAnsi="Arial"/>
                <w:sz w:val="17"/>
                <w:szCs w:val="17"/>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920" w:type="dxa"/>
            <w:vAlign w:val="bottom"/>
          </w:tcPr>
          <w:p>
            <w:pPr>
              <w:jc w:val="right"/>
              <w:spacing w:after="0"/>
              <w:rPr>
                <w:sz w:val="20"/>
                <w:szCs w:val="20"/>
                <w:color w:val="auto"/>
              </w:rPr>
            </w:pPr>
            <w:r>
              <w:rPr>
                <w:rFonts w:ascii="Arial" w:cs="Arial" w:eastAsia="Arial" w:hAnsi="Arial"/>
                <w:sz w:val="17"/>
                <w:szCs w:val="17"/>
                <w:color w:val="auto"/>
              </w:rPr>
              <w:t>431</w:t>
            </w:r>
          </w:p>
        </w:tc>
      </w:tr>
      <w:tr>
        <w:trPr>
          <w:trHeight w:val="230"/>
        </w:trPr>
        <w:tc>
          <w:tcPr>
            <w:tcW w:w="9120" w:type="dxa"/>
            <w:vAlign w:val="bottom"/>
          </w:tcPr>
          <w:p>
            <w:pPr>
              <w:ind w:left="360"/>
              <w:spacing w:after="0"/>
              <w:rPr>
                <w:sz w:val="20"/>
                <w:szCs w:val="20"/>
                <w:color w:val="auto"/>
              </w:rPr>
            </w:pPr>
            <w:r>
              <w:rPr>
                <w:rFonts w:ascii="Arial" w:cs="Arial" w:eastAsia="Arial" w:hAnsi="Arial"/>
                <w:sz w:val="17"/>
                <w:szCs w:val="17"/>
                <w:color w:val="auto"/>
              </w:rPr>
              <w:t>Trade receivables, net</w:t>
            </w: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220</w:t>
            </w:r>
          </w:p>
        </w:tc>
      </w:tr>
      <w:tr>
        <w:trPr>
          <w:trHeight w:val="229"/>
        </w:trPr>
        <w:tc>
          <w:tcPr>
            <w:tcW w:w="9120" w:type="dxa"/>
            <w:vAlign w:val="bottom"/>
          </w:tcPr>
          <w:p>
            <w:pPr>
              <w:ind w:left="360"/>
              <w:spacing w:after="0"/>
              <w:rPr>
                <w:sz w:val="20"/>
                <w:szCs w:val="20"/>
                <w:color w:val="auto"/>
              </w:rPr>
            </w:pPr>
            <w:r>
              <w:rPr>
                <w:rFonts w:ascii="Arial" w:cs="Arial" w:eastAsia="Arial" w:hAnsi="Arial"/>
                <w:sz w:val="17"/>
                <w:szCs w:val="17"/>
                <w:color w:val="auto"/>
              </w:rPr>
              <w:t>Other current assets</w:t>
            </w: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37"/>
        </w:trPr>
        <w:tc>
          <w:tcPr>
            <w:tcW w:w="9120" w:type="dxa"/>
            <w:vAlign w:val="bottom"/>
          </w:tcPr>
          <w:p>
            <w:pPr>
              <w:ind w:left="360"/>
              <w:spacing w:after="0"/>
              <w:rPr>
                <w:sz w:val="20"/>
                <w:szCs w:val="20"/>
                <w:color w:val="auto"/>
              </w:rPr>
            </w:pPr>
            <w:r>
              <w:rPr>
                <w:rFonts w:ascii="Arial" w:cs="Arial" w:eastAsia="Arial" w:hAnsi="Arial"/>
                <w:sz w:val="17"/>
                <w:szCs w:val="17"/>
                <w:color w:val="auto"/>
              </w:rPr>
              <w:t>Property, plant and equipment, net</w:t>
            </w: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11,875</w:t>
            </w:r>
          </w:p>
        </w:tc>
      </w:tr>
      <w:tr>
        <w:trPr>
          <w:trHeight w:val="229"/>
        </w:trPr>
        <w:tc>
          <w:tcPr>
            <w:tcW w:w="9120" w:type="dxa"/>
            <w:vAlign w:val="bottom"/>
          </w:tcPr>
          <w:p>
            <w:pPr>
              <w:ind w:left="520"/>
              <w:spacing w:after="0"/>
              <w:rPr>
                <w:sz w:val="20"/>
                <w:szCs w:val="20"/>
                <w:color w:val="auto"/>
              </w:rPr>
            </w:pPr>
            <w:r>
              <w:rPr>
                <w:rFonts w:ascii="Arial" w:cs="Arial" w:eastAsia="Arial" w:hAnsi="Arial"/>
                <w:sz w:val="17"/>
                <w:szCs w:val="17"/>
                <w:b w:val="1"/>
                <w:bCs w:val="1"/>
                <w:color w:val="auto"/>
              </w:rPr>
              <w:t>Amount attributable to assets acquired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12,528</w:t>
            </w:r>
          </w:p>
        </w:tc>
      </w:tr>
      <w:tr>
        <w:trPr>
          <w:trHeight w:val="201"/>
        </w:trPr>
        <w:tc>
          <w:tcPr>
            <w:tcW w:w="9120" w:type="dxa"/>
            <w:vAlign w:val="bottom"/>
          </w:tcPr>
          <w:p>
            <w:pPr>
              <w:ind w:left="40"/>
              <w:spacing w:after="0"/>
              <w:rPr>
                <w:sz w:val="20"/>
                <w:szCs w:val="20"/>
                <w:color w:val="auto"/>
              </w:rPr>
            </w:pPr>
            <w:r>
              <w:rPr>
                <w:rFonts w:ascii="Arial" w:cs="Arial" w:eastAsia="Arial" w:hAnsi="Arial"/>
                <w:sz w:val="17"/>
                <w:szCs w:val="17"/>
                <w:b w:val="1"/>
                <w:bCs w:val="1"/>
                <w:color w:val="auto"/>
              </w:rPr>
              <w:t>Fair value of liabilities assumed:</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25"/>
        </w:trPr>
        <w:tc>
          <w:tcPr>
            <w:tcW w:w="9120" w:type="dxa"/>
            <w:vAlign w:val="bottom"/>
          </w:tcPr>
          <w:p>
            <w:pPr>
              <w:ind w:left="360"/>
              <w:spacing w:after="0"/>
              <w:rPr>
                <w:sz w:val="20"/>
                <w:szCs w:val="20"/>
                <w:color w:val="auto"/>
              </w:rPr>
            </w:pPr>
            <w:r>
              <w:rPr>
                <w:rFonts w:ascii="Arial" w:cs="Arial" w:eastAsia="Arial" w:hAnsi="Arial"/>
                <w:sz w:val="17"/>
                <w:szCs w:val="17"/>
                <w:color w:val="auto"/>
              </w:rPr>
              <w:t>Accrued liabilities</w:t>
            </w: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111</w:t>
            </w:r>
          </w:p>
        </w:tc>
      </w:tr>
      <w:tr>
        <w:trPr>
          <w:trHeight w:val="229"/>
        </w:trPr>
        <w:tc>
          <w:tcPr>
            <w:tcW w:w="9120" w:type="dxa"/>
            <w:vAlign w:val="bottom"/>
          </w:tcPr>
          <w:p>
            <w:pPr>
              <w:ind w:left="360"/>
              <w:spacing w:after="0"/>
              <w:rPr>
                <w:sz w:val="20"/>
                <w:szCs w:val="20"/>
                <w:color w:val="auto"/>
              </w:rPr>
            </w:pPr>
            <w:r>
              <w:rPr>
                <w:rFonts w:ascii="Arial" w:cs="Arial" w:eastAsia="Arial" w:hAnsi="Arial"/>
                <w:sz w:val="17"/>
                <w:szCs w:val="17"/>
                <w:color w:val="auto"/>
              </w:rPr>
              <w:t>Long-term debt</w:t>
            </w: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1,244</w:t>
            </w:r>
          </w:p>
        </w:tc>
      </w:tr>
      <w:tr>
        <w:trPr>
          <w:trHeight w:val="237"/>
        </w:trPr>
        <w:tc>
          <w:tcPr>
            <w:tcW w:w="9120" w:type="dxa"/>
            <w:vAlign w:val="bottom"/>
          </w:tcPr>
          <w:p>
            <w:pPr>
              <w:ind w:left="360"/>
              <w:spacing w:after="0"/>
              <w:rPr>
                <w:sz w:val="20"/>
                <w:szCs w:val="20"/>
                <w:color w:val="auto"/>
              </w:rPr>
            </w:pPr>
            <w:r>
              <w:rPr>
                <w:rFonts w:ascii="Arial" w:cs="Arial" w:eastAsia="Arial" w:hAnsi="Arial"/>
                <w:sz w:val="17"/>
                <w:szCs w:val="17"/>
                <w:color w:val="auto"/>
              </w:rPr>
              <w:t>Asset retirement obligations</w:t>
            </w: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r>
      <w:tr>
        <w:trPr>
          <w:trHeight w:val="229"/>
        </w:trPr>
        <w:tc>
          <w:tcPr>
            <w:tcW w:w="9120" w:type="dxa"/>
            <w:vAlign w:val="bottom"/>
          </w:tcPr>
          <w:p>
            <w:pPr>
              <w:ind w:left="520"/>
              <w:spacing w:after="0"/>
              <w:rPr>
                <w:sz w:val="20"/>
                <w:szCs w:val="20"/>
                <w:color w:val="auto"/>
              </w:rPr>
            </w:pPr>
            <w:r>
              <w:rPr>
                <w:rFonts w:ascii="Arial" w:cs="Arial" w:eastAsia="Arial" w:hAnsi="Arial"/>
                <w:sz w:val="17"/>
                <w:szCs w:val="17"/>
                <w:b w:val="1"/>
                <w:bCs w:val="1"/>
                <w:color w:val="auto"/>
              </w:rPr>
              <w:t>Amount attributable to liabilities assumed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1,403</w:t>
            </w:r>
          </w:p>
        </w:tc>
      </w:tr>
      <w:tr>
        <w:trPr>
          <w:trHeight w:val="214"/>
        </w:trPr>
        <w:tc>
          <w:tcPr>
            <w:tcW w:w="9120" w:type="dxa"/>
            <w:vAlign w:val="bottom"/>
          </w:tcPr>
          <w:p>
            <w:pPr>
              <w:ind w:left="40"/>
              <w:spacing w:after="0"/>
              <w:rPr>
                <w:sz w:val="20"/>
                <w:szCs w:val="20"/>
                <w:color w:val="auto"/>
              </w:rPr>
            </w:pPr>
            <w:r>
              <w:rPr>
                <w:rFonts w:ascii="Arial" w:cs="Arial" w:eastAsia="Arial" w:hAnsi="Arial"/>
                <w:sz w:val="17"/>
                <w:szCs w:val="17"/>
                <w:b w:val="1"/>
                <w:bCs w:val="1"/>
                <w:color w:val="auto"/>
              </w:rPr>
              <w:t>Fair value of net assets acquired:</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920" w:type="dxa"/>
            <w:vAlign w:val="bottom"/>
          </w:tcPr>
          <w:p>
            <w:pPr>
              <w:jc w:val="right"/>
              <w:spacing w:after="0"/>
              <w:rPr>
                <w:sz w:val="20"/>
                <w:szCs w:val="20"/>
                <w:color w:val="auto"/>
              </w:rPr>
            </w:pPr>
            <w:r>
              <w:rPr>
                <w:rFonts w:ascii="Arial" w:cs="Arial" w:eastAsia="Arial" w:hAnsi="Arial"/>
                <w:sz w:val="17"/>
                <w:szCs w:val="17"/>
                <w:b w:val="1"/>
                <w:bCs w:val="1"/>
                <w:color w:val="auto"/>
              </w:rPr>
              <w:t>11,125</w:t>
            </w:r>
          </w:p>
        </w:tc>
      </w:tr>
      <w:tr>
        <w:trPr>
          <w:trHeight w:val="245"/>
        </w:trPr>
        <w:tc>
          <w:tcPr>
            <w:tcW w:w="9120" w:type="dxa"/>
            <w:vAlign w:val="bottom"/>
          </w:tcPr>
          <w:p>
            <w:pPr>
              <w:ind w:left="40"/>
              <w:spacing w:after="0"/>
              <w:rPr>
                <w:sz w:val="20"/>
                <w:szCs w:val="20"/>
                <w:color w:val="auto"/>
              </w:rPr>
            </w:pPr>
            <w:r>
              <w:rPr>
                <w:rFonts w:ascii="Arial" w:cs="Arial" w:eastAsia="Arial" w:hAnsi="Arial"/>
                <w:sz w:val="17"/>
                <w:szCs w:val="17"/>
                <w:b w:val="1"/>
                <w:bCs w:val="1"/>
                <w:color w:val="auto"/>
              </w:rPr>
              <w:t>Goodwill as of June 30, 2024: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36"/>
        </w:trPr>
        <w:tc>
          <w:tcPr>
            <w:tcW w:w="9120" w:type="dxa"/>
            <w:vAlign w:val="bottom"/>
          </w:tcPr>
          <w:p>
            <w:pPr>
              <w:ind w:left="40"/>
              <w:spacing w:after="0"/>
              <w:rPr>
                <w:sz w:val="20"/>
                <w:szCs w:val="20"/>
                <w:color w:val="auto"/>
              </w:rPr>
            </w:pPr>
            <w:r>
              <w:rPr>
                <w:rFonts w:ascii="Arial" w:cs="Arial" w:eastAsia="Arial" w:hAnsi="Arial"/>
                <w:sz w:val="17"/>
                <w:szCs w:val="17"/>
                <w:b w:val="1"/>
                <w:bCs w:val="1"/>
                <w:color w:val="auto"/>
              </w:rPr>
              <w:t>Total preliminary purchase price: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11,125</w:t>
            </w:r>
          </w:p>
        </w:tc>
      </w:tr>
      <w:tr>
        <w:trPr>
          <w:trHeight w:val="34"/>
        </w:trPr>
        <w:tc>
          <w:tcPr>
            <w:tcW w:w="9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31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7"/>
          <w:szCs w:val="17"/>
          <w:color w:val="auto"/>
        </w:rPr>
        <w:t>Changes in future commodity prices, reserve estimates, other changes in cost assumptions and other facts and circumstances could result in changes to the fair value of the assets identified above.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887" w:right="339" w:bottom="1440" w:gutter="0" w:footer="0" w:header="0"/>
        </w:sectPr>
      </w:pPr>
    </w:p>
    <w:bookmarkStart w:id="29" w:name="page30"/>
    <w:bookmarkEnd w:id="29"/>
    <w:p>
      <w:pPr>
        <w:ind w:left="3920"/>
        <w:spacing w:after="0"/>
        <w:rPr>
          <w:sz w:val="20"/>
          <w:szCs w:val="20"/>
          <w:color w:val="auto"/>
        </w:rPr>
      </w:pPr>
      <w:r>
        <w:rPr>
          <w:rFonts w:ascii="Arial" w:cs="Arial" w:eastAsia="Arial" w:hAnsi="Arial"/>
          <w:sz w:val="16"/>
          <w:szCs w:val="16"/>
          <w:b w:val="1"/>
          <w:bCs w:val="1"/>
          <w:color w:val="auto"/>
        </w:rPr>
        <w:t>OCCIDENTAL PETROLEUM CORPORATION</w:t>
      </w:r>
    </w:p>
    <w:p>
      <w:pPr>
        <w:spacing w:after="0" w:line="39"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UNAUDITED PRO FORMA CONDENSED COMBINED BALANCE SHEET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2024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0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vMerge w:val="restart"/>
          </w:tcPr>
          <w:p>
            <w:pPr>
              <w:jc w:val="center"/>
              <w:ind w:right="159"/>
              <w:spacing w:after="0"/>
              <w:rPr>
                <w:sz w:val="20"/>
                <w:szCs w:val="20"/>
                <w:color w:val="auto"/>
              </w:rPr>
            </w:pPr>
            <w:r>
              <w:rPr>
                <w:rFonts w:ascii="Arial" w:cs="Arial" w:eastAsia="Arial" w:hAnsi="Arial"/>
                <w:sz w:val="16"/>
                <w:szCs w:val="16"/>
                <w:b w:val="1"/>
                <w:bCs w:val="1"/>
                <w:color w:val="auto"/>
              </w:rPr>
              <w:t>CrownRock</w:t>
            </w:r>
          </w:p>
        </w:tc>
        <w:tc>
          <w:tcPr>
            <w:tcW w:w="13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Acquisition</w:t>
            </w:r>
          </w:p>
        </w:tc>
        <w:tc>
          <w:tcPr>
            <w:tcW w:w="3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Occidental</w:t>
            </w:r>
          </w:p>
        </w:tc>
        <w:tc>
          <w:tcPr>
            <w:tcW w:w="0" w:type="dxa"/>
            <w:vAlign w:val="bottom"/>
          </w:tcPr>
          <w:p>
            <w:pPr>
              <w:spacing w:after="0"/>
              <w:rPr>
                <w:sz w:val="1"/>
                <w:szCs w:val="1"/>
                <w:color w:val="auto"/>
              </w:rPr>
            </w:pPr>
          </w:p>
        </w:tc>
      </w:tr>
      <w:tr>
        <w:trPr>
          <w:trHeight w:val="81"/>
        </w:trPr>
        <w:tc>
          <w:tcPr>
            <w:tcW w:w="3100" w:type="dxa"/>
            <w:vAlign w:val="bottom"/>
          </w:tcPr>
          <w:p>
            <w:pPr>
              <w:spacing w:after="0"/>
              <w:rPr>
                <w:sz w:val="7"/>
                <w:szCs w:val="7"/>
                <w:color w:val="auto"/>
              </w:rPr>
            </w:pPr>
          </w:p>
        </w:tc>
        <w:tc>
          <w:tcPr>
            <w:tcW w:w="1660" w:type="dxa"/>
            <w:vAlign w:val="bottom"/>
            <w:vMerge w:val="restart"/>
          </w:tcPr>
          <w:p>
            <w:pPr>
              <w:jc w:val="right"/>
              <w:ind w:right="419"/>
              <w:spacing w:after="0" w:line="162" w:lineRule="exact"/>
              <w:rPr>
                <w:sz w:val="20"/>
                <w:szCs w:val="20"/>
                <w:color w:val="auto"/>
              </w:rPr>
            </w:pPr>
            <w:r>
              <w:rPr>
                <w:rFonts w:ascii="Arial" w:cs="Arial" w:eastAsia="Arial" w:hAnsi="Arial"/>
                <w:sz w:val="16"/>
                <w:szCs w:val="16"/>
                <w:b w:val="1"/>
                <w:bCs w:val="1"/>
                <w:color w:val="auto"/>
              </w:rPr>
              <w:t>Occidental</w:t>
            </w:r>
          </w:p>
        </w:tc>
        <w:tc>
          <w:tcPr>
            <w:tcW w:w="146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2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Accounting and</w:t>
            </w:r>
          </w:p>
        </w:tc>
        <w:tc>
          <w:tcPr>
            <w:tcW w:w="32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1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60" w:type="dxa"/>
            <w:vAlign w:val="bottom"/>
            <w:vMerge w:val="restart"/>
          </w:tcPr>
          <w:p>
            <w:pPr>
              <w:jc w:val="center"/>
              <w:ind w:right="159"/>
              <w:spacing w:after="0" w:line="162" w:lineRule="exact"/>
              <w:rPr>
                <w:sz w:val="20"/>
                <w:szCs w:val="20"/>
                <w:color w:val="auto"/>
              </w:rPr>
            </w:pPr>
            <w:r>
              <w:rPr>
                <w:rFonts w:ascii="Arial" w:cs="Arial" w:eastAsia="Arial" w:hAnsi="Arial"/>
                <w:sz w:val="16"/>
                <w:szCs w:val="16"/>
                <w:b w:val="1"/>
                <w:bCs w:val="1"/>
                <w:color w:val="auto"/>
              </w:rPr>
              <w:t>Historical</w:t>
            </w:r>
          </w:p>
        </w:tc>
        <w:tc>
          <w:tcPr>
            <w:tcW w:w="1380" w:type="dxa"/>
            <w:vAlign w:val="bottom"/>
            <w:vMerge w:val="restart"/>
          </w:tcPr>
          <w:p>
            <w:pPr>
              <w:jc w:val="right"/>
              <w:ind w:right="99"/>
              <w:spacing w:after="0" w:line="162" w:lineRule="exact"/>
              <w:rPr>
                <w:sz w:val="20"/>
                <w:szCs w:val="20"/>
                <w:color w:val="auto"/>
              </w:rPr>
            </w:pPr>
            <w:r>
              <w:rPr>
                <w:rFonts w:ascii="Arial" w:cs="Arial" w:eastAsia="Arial" w:hAnsi="Arial"/>
                <w:sz w:val="16"/>
                <w:szCs w:val="16"/>
                <w:b w:val="1"/>
                <w:bCs w:val="1"/>
                <w:color w:val="auto"/>
              </w:rPr>
              <w:t>Debt Issuance</w:t>
            </w:r>
          </w:p>
        </w:tc>
        <w:tc>
          <w:tcPr>
            <w:tcW w:w="34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46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Combined Pro</w:t>
            </w:r>
          </w:p>
        </w:tc>
        <w:tc>
          <w:tcPr>
            <w:tcW w:w="0" w:type="dxa"/>
            <w:vAlign w:val="bottom"/>
          </w:tcPr>
          <w:p>
            <w:pPr>
              <w:spacing w:after="0"/>
              <w:rPr>
                <w:sz w:val="1"/>
                <w:szCs w:val="1"/>
                <w:color w:val="auto"/>
              </w:rPr>
            </w:pPr>
          </w:p>
        </w:tc>
      </w:tr>
      <w:tr>
        <w:trPr>
          <w:trHeight w:val="81"/>
        </w:trPr>
        <w:tc>
          <w:tcPr>
            <w:tcW w:w="3100" w:type="dxa"/>
            <w:vAlign w:val="bottom"/>
          </w:tcPr>
          <w:p>
            <w:pPr>
              <w:spacing w:after="0"/>
              <w:rPr>
                <w:sz w:val="7"/>
                <w:szCs w:val="7"/>
                <w:color w:val="auto"/>
              </w:rPr>
            </w:pPr>
          </w:p>
        </w:tc>
        <w:tc>
          <w:tcPr>
            <w:tcW w:w="1660" w:type="dxa"/>
            <w:vAlign w:val="bottom"/>
            <w:vMerge w:val="restart"/>
          </w:tcPr>
          <w:p>
            <w:pPr>
              <w:jc w:val="right"/>
              <w:ind w:right="459"/>
              <w:spacing w:after="0" w:line="162" w:lineRule="exact"/>
              <w:rPr>
                <w:sz w:val="20"/>
                <w:szCs w:val="20"/>
                <w:color w:val="auto"/>
              </w:rPr>
            </w:pPr>
            <w:r>
              <w:rPr>
                <w:rFonts w:ascii="Arial" w:cs="Arial" w:eastAsia="Arial" w:hAnsi="Arial"/>
                <w:sz w:val="16"/>
                <w:szCs w:val="16"/>
                <w:b w:val="1"/>
                <w:bCs w:val="1"/>
                <w:color w:val="auto"/>
              </w:rPr>
              <w:t>Historical</w:t>
            </w:r>
          </w:p>
        </w:tc>
        <w:tc>
          <w:tcPr>
            <w:tcW w:w="146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52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Related</w:t>
            </w:r>
          </w:p>
        </w:tc>
        <w:tc>
          <w:tcPr>
            <w:tcW w:w="32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1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6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rPr>
              <w:t>(Adjusted)</w:t>
            </w:r>
          </w:p>
        </w:tc>
        <w:tc>
          <w:tcPr>
            <w:tcW w:w="1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Forma</w:t>
            </w:r>
          </w:p>
        </w:tc>
        <w:tc>
          <w:tcPr>
            <w:tcW w:w="0" w:type="dxa"/>
            <w:vAlign w:val="bottom"/>
          </w:tcPr>
          <w:p>
            <w:pPr>
              <w:spacing w:after="0"/>
              <w:rPr>
                <w:sz w:val="1"/>
                <w:szCs w:val="1"/>
                <w:color w:val="auto"/>
              </w:rPr>
            </w:pPr>
          </w:p>
        </w:tc>
      </w:tr>
      <w:tr>
        <w:trPr>
          <w:trHeight w:val="142"/>
        </w:trPr>
        <w:tc>
          <w:tcPr>
            <w:tcW w:w="31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16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Transactions</w:t>
            </w:r>
          </w:p>
        </w:tc>
        <w:tc>
          <w:tcPr>
            <w:tcW w:w="3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3100" w:type="dxa"/>
            <w:vAlign w:val="bottom"/>
            <w:tcBorders>
              <w:bottom w:val="single" w:sz="8" w:color="auto"/>
            </w:tcBorders>
            <w:vMerge w:val="continue"/>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0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1,845</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431</w:t>
            </w:r>
          </w:p>
        </w:tc>
        <w:tc>
          <w:tcPr>
            <w:tcW w:w="1380" w:type="dxa"/>
            <w:vAlign w:val="bottom"/>
          </w:tcPr>
          <w:p>
            <w:pPr>
              <w:jc w:val="right"/>
              <w:spacing w:after="0"/>
              <w:rPr>
                <w:sz w:val="20"/>
                <w:szCs w:val="20"/>
                <w:color w:val="auto"/>
              </w:rPr>
            </w:pPr>
            <w:r>
              <w:rPr>
                <w:rFonts w:ascii="Arial" w:cs="Arial" w:eastAsia="Arial" w:hAnsi="Arial"/>
                <w:sz w:val="16"/>
                <w:szCs w:val="16"/>
                <w:color w:val="auto"/>
              </w:rPr>
              <w:t>9,646</w:t>
            </w:r>
          </w:p>
        </w:tc>
        <w:tc>
          <w:tcPr>
            <w:tcW w:w="340" w:type="dxa"/>
            <w:vAlign w:val="bottom"/>
          </w:tcPr>
          <w:p>
            <w:pPr>
              <w:ind w:left="60"/>
              <w:spacing w:after="0"/>
              <w:rPr>
                <w:sz w:val="20"/>
                <w:szCs w:val="20"/>
                <w:color w:val="auto"/>
              </w:rPr>
            </w:pPr>
            <w:r>
              <w:rPr>
                <w:rFonts w:ascii="Arial" w:cs="Arial" w:eastAsia="Arial" w:hAnsi="Arial"/>
                <w:sz w:val="13"/>
                <w:szCs w:val="13"/>
                <w:color w:val="auto"/>
              </w:rPr>
              <w:t>(a)</w:t>
            </w:r>
          </w:p>
        </w:tc>
        <w:tc>
          <w:tcPr>
            <w:tcW w:w="1520" w:type="dxa"/>
            <w:vAlign w:val="bottom"/>
          </w:tcPr>
          <w:p>
            <w:pPr>
              <w:jc w:val="right"/>
              <w:spacing w:after="0"/>
              <w:rPr>
                <w:sz w:val="20"/>
                <w:szCs w:val="20"/>
                <w:color w:val="auto"/>
              </w:rPr>
            </w:pPr>
            <w:r>
              <w:rPr>
                <w:rFonts w:ascii="Arial" w:cs="Arial" w:eastAsia="Arial" w:hAnsi="Arial"/>
                <w:sz w:val="16"/>
                <w:szCs w:val="16"/>
                <w:color w:val="auto"/>
              </w:rPr>
              <w:t>(9,370)</w:t>
            </w:r>
          </w:p>
        </w:tc>
        <w:tc>
          <w:tcPr>
            <w:tcW w:w="320" w:type="dxa"/>
            <w:vAlign w:val="bottom"/>
          </w:tcPr>
          <w:p>
            <w:pPr>
              <w:ind w:left="40"/>
              <w:spacing w:after="0"/>
              <w:rPr>
                <w:sz w:val="20"/>
                <w:szCs w:val="20"/>
                <w:color w:val="auto"/>
              </w:rPr>
            </w:pPr>
            <w:r>
              <w:rPr>
                <w:rFonts w:ascii="Arial" w:cs="Arial" w:eastAsia="Arial" w:hAnsi="Arial"/>
                <w:sz w:val="13"/>
                <w:szCs w:val="13"/>
                <w:color w:val="auto"/>
              </w:rPr>
              <w:t>(a)</w:t>
            </w:r>
          </w:p>
        </w:tc>
        <w:tc>
          <w:tcPr>
            <w:tcW w:w="1460" w:type="dxa"/>
            <w:vAlign w:val="bottom"/>
          </w:tcPr>
          <w:p>
            <w:pPr>
              <w:jc w:val="right"/>
              <w:spacing w:after="0"/>
              <w:rPr>
                <w:sz w:val="20"/>
                <w:szCs w:val="20"/>
                <w:color w:val="auto"/>
              </w:rPr>
            </w:pPr>
            <w:r>
              <w:rPr>
                <w:rFonts w:ascii="Arial" w:cs="Arial" w:eastAsia="Arial" w:hAnsi="Arial"/>
                <w:sz w:val="16"/>
                <w:szCs w:val="16"/>
                <w:color w:val="auto"/>
              </w:rPr>
              <w:t>1,636</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(48)</w:t>
            </w:r>
          </w:p>
        </w:tc>
        <w:tc>
          <w:tcPr>
            <w:tcW w:w="320" w:type="dxa"/>
            <w:vAlign w:val="bottom"/>
          </w:tcPr>
          <w:p>
            <w:pPr>
              <w:ind w:left="40"/>
              <w:spacing w:after="0"/>
              <w:rPr>
                <w:sz w:val="20"/>
                <w:szCs w:val="20"/>
                <w:color w:val="auto"/>
              </w:rPr>
            </w:pPr>
            <w:r>
              <w:rPr>
                <w:rFonts w:ascii="Arial" w:cs="Arial" w:eastAsia="Arial" w:hAnsi="Arial"/>
                <w:sz w:val="13"/>
                <w:szCs w:val="13"/>
                <w:color w:val="auto"/>
              </w:rPr>
              <w:t>(a)</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(868)</w:t>
            </w:r>
          </w:p>
        </w:tc>
        <w:tc>
          <w:tcPr>
            <w:tcW w:w="320" w:type="dxa"/>
            <w:vAlign w:val="bottom"/>
          </w:tcPr>
          <w:p>
            <w:pPr>
              <w:ind w:left="40"/>
              <w:spacing w:after="0"/>
              <w:rPr>
                <w:sz w:val="20"/>
                <w:szCs w:val="20"/>
                <w:color w:val="auto"/>
              </w:rPr>
            </w:pPr>
            <w:r>
              <w:rPr>
                <w:rFonts w:ascii="Arial" w:cs="Arial" w:eastAsia="Arial" w:hAnsi="Arial"/>
                <w:sz w:val="13"/>
                <w:szCs w:val="13"/>
                <w:color w:val="auto"/>
              </w:rPr>
              <w:t>(a)</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20"/>
              <w:spacing w:after="0"/>
              <w:rPr>
                <w:sz w:val="20"/>
                <w:szCs w:val="20"/>
                <w:color w:val="auto"/>
              </w:rPr>
            </w:pPr>
            <w:r>
              <w:rPr>
                <w:rFonts w:ascii="Arial" w:cs="Arial" w:eastAsia="Arial" w:hAnsi="Arial"/>
                <w:sz w:val="16"/>
                <w:szCs w:val="16"/>
                <w:color w:val="auto"/>
              </w:rPr>
              <w:t>Trade receivables</w:t>
            </w: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3,896</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220</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4,116</w:t>
            </w:r>
          </w:p>
        </w:tc>
        <w:tc>
          <w:tcPr>
            <w:tcW w:w="0" w:type="dxa"/>
            <w:vAlign w:val="bottom"/>
          </w:tcPr>
          <w:p>
            <w:pPr>
              <w:spacing w:after="0"/>
              <w:rPr>
                <w:sz w:val="1"/>
                <w:szCs w:val="1"/>
                <w:color w:val="auto"/>
              </w:rPr>
            </w:pPr>
          </w:p>
        </w:tc>
      </w:tr>
      <w:tr>
        <w:trPr>
          <w:trHeight w:val="216"/>
        </w:trPr>
        <w:tc>
          <w:tcPr>
            <w:tcW w:w="310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2,813</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2,813</w:t>
            </w:r>
          </w:p>
        </w:tc>
        <w:tc>
          <w:tcPr>
            <w:tcW w:w="0" w:type="dxa"/>
            <w:vAlign w:val="bottom"/>
          </w:tcPr>
          <w:p>
            <w:pPr>
              <w:spacing w:after="0"/>
              <w:rPr>
                <w:sz w:val="1"/>
                <w:szCs w:val="1"/>
                <w:color w:val="auto"/>
              </w:rPr>
            </w:pPr>
          </w:p>
        </w:tc>
      </w:tr>
      <w:tr>
        <w:trPr>
          <w:trHeight w:val="217"/>
        </w:trPr>
        <w:tc>
          <w:tcPr>
            <w:tcW w:w="31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current assets</w:t>
            </w:r>
          </w:p>
        </w:tc>
        <w:tc>
          <w:tcPr>
            <w:tcW w:w="1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1,538</w:t>
            </w: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1,540</w:t>
            </w:r>
          </w:p>
        </w:tc>
        <w:tc>
          <w:tcPr>
            <w:tcW w:w="0" w:type="dxa"/>
            <w:vAlign w:val="bottom"/>
          </w:tcPr>
          <w:p>
            <w:pPr>
              <w:spacing w:after="0"/>
              <w:rPr>
                <w:sz w:val="1"/>
                <w:szCs w:val="1"/>
                <w:color w:val="auto"/>
              </w:rPr>
            </w:pPr>
          </w:p>
        </w:tc>
      </w:tr>
      <w:tr>
        <w:trPr>
          <w:trHeight w:val="210"/>
        </w:trPr>
        <w:tc>
          <w:tcPr>
            <w:tcW w:w="31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current assets</w:t>
            </w:r>
          </w:p>
        </w:tc>
        <w:tc>
          <w:tcPr>
            <w:tcW w:w="1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10,092</w:t>
            </w: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653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9,646</w:t>
            </w: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(10,286)</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10,105</w:t>
            </w:r>
          </w:p>
        </w:tc>
        <w:tc>
          <w:tcPr>
            <w:tcW w:w="0" w:type="dxa"/>
            <w:vAlign w:val="bottom"/>
          </w:tcPr>
          <w:p>
            <w:pPr>
              <w:spacing w:after="0"/>
              <w:rPr>
                <w:sz w:val="1"/>
                <w:szCs w:val="1"/>
                <w:color w:val="auto"/>
              </w:rPr>
            </w:pPr>
          </w:p>
        </w:tc>
      </w:tr>
      <w:tr>
        <w:trPr>
          <w:trHeight w:val="465"/>
        </w:trPr>
        <w:tc>
          <w:tcPr>
            <w:tcW w:w="3100" w:type="dxa"/>
            <w:vAlign w:val="bottom"/>
          </w:tcPr>
          <w:p>
            <w:pPr>
              <w:ind w:left="20"/>
              <w:spacing w:after="0"/>
              <w:rPr>
                <w:sz w:val="20"/>
                <w:szCs w:val="20"/>
                <w:color w:val="auto"/>
              </w:rPr>
            </w:pPr>
            <w:r>
              <w:rPr>
                <w:rFonts w:ascii="Arial" w:cs="Arial" w:eastAsia="Arial" w:hAnsi="Arial"/>
                <w:sz w:val="16"/>
                <w:szCs w:val="16"/>
                <w:color w:val="auto"/>
              </w:rPr>
              <w:t>Investments in Unconsolidated Entities</w:t>
            </w: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3,460</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3,460</w:t>
            </w: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60"/>
              <w:spacing w:after="0"/>
              <w:rPr>
                <w:sz w:val="20"/>
                <w:szCs w:val="20"/>
                <w:color w:val="auto"/>
              </w:rPr>
            </w:pPr>
            <w:r>
              <w:rPr>
                <w:rFonts w:ascii="Arial" w:cs="Arial" w:eastAsia="Arial" w:hAnsi="Arial"/>
                <w:sz w:val="16"/>
                <w:szCs w:val="16"/>
                <w:color w:val="auto"/>
              </w:rPr>
              <w:t>Oil and gas</w:t>
            </w: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111,881</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7,702</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4,173</w:t>
            </w:r>
          </w:p>
        </w:tc>
        <w:tc>
          <w:tcPr>
            <w:tcW w:w="320" w:type="dxa"/>
            <w:vAlign w:val="bottom"/>
          </w:tcPr>
          <w:p>
            <w:pPr>
              <w:ind w:left="40"/>
              <w:spacing w:after="0"/>
              <w:rPr>
                <w:sz w:val="20"/>
                <w:szCs w:val="20"/>
                <w:color w:val="auto"/>
              </w:rPr>
            </w:pPr>
            <w:r>
              <w:rPr>
                <w:rFonts w:ascii="Arial" w:cs="Arial" w:eastAsia="Arial" w:hAnsi="Arial"/>
                <w:sz w:val="13"/>
                <w:szCs w:val="13"/>
                <w:color w:val="auto"/>
              </w:rPr>
              <w:t>(b)</w:t>
            </w:r>
          </w:p>
        </w:tc>
        <w:tc>
          <w:tcPr>
            <w:tcW w:w="1460" w:type="dxa"/>
            <w:vAlign w:val="bottom"/>
          </w:tcPr>
          <w:p>
            <w:pPr>
              <w:jc w:val="right"/>
              <w:spacing w:after="0"/>
              <w:rPr>
                <w:sz w:val="20"/>
                <w:szCs w:val="20"/>
                <w:color w:val="auto"/>
              </w:rPr>
            </w:pPr>
            <w:r>
              <w:rPr>
                <w:rFonts w:ascii="Arial" w:cs="Arial" w:eastAsia="Arial" w:hAnsi="Arial"/>
                <w:sz w:val="16"/>
                <w:szCs w:val="16"/>
                <w:color w:val="auto"/>
              </w:rPr>
              <w:t>123,756</w:t>
            </w:r>
          </w:p>
        </w:tc>
        <w:tc>
          <w:tcPr>
            <w:tcW w:w="0" w:type="dxa"/>
            <w:vAlign w:val="bottom"/>
          </w:tcPr>
          <w:p>
            <w:pPr>
              <w:spacing w:after="0"/>
              <w:rPr>
                <w:sz w:val="1"/>
                <w:szCs w:val="1"/>
                <w:color w:val="auto"/>
              </w:rPr>
            </w:pPr>
          </w:p>
        </w:tc>
      </w:tr>
      <w:tr>
        <w:trPr>
          <w:trHeight w:val="216"/>
        </w:trPr>
        <w:tc>
          <w:tcPr>
            <w:tcW w:w="3100" w:type="dxa"/>
            <w:vAlign w:val="bottom"/>
          </w:tcPr>
          <w:p>
            <w:pPr>
              <w:ind w:left="260"/>
              <w:spacing w:after="0"/>
              <w:rPr>
                <w:sz w:val="20"/>
                <w:szCs w:val="20"/>
                <w:color w:val="auto"/>
              </w:rPr>
            </w:pPr>
            <w:r>
              <w:rPr>
                <w:rFonts w:ascii="Arial" w:cs="Arial" w:eastAsia="Arial" w:hAnsi="Arial"/>
                <w:sz w:val="16"/>
                <w:szCs w:val="16"/>
                <w:color w:val="auto"/>
              </w:rPr>
              <w:t>Chemical</w:t>
            </w: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8,520</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8,520</w:t>
            </w:r>
          </w:p>
        </w:tc>
        <w:tc>
          <w:tcPr>
            <w:tcW w:w="0" w:type="dxa"/>
            <w:vAlign w:val="bottom"/>
          </w:tcPr>
          <w:p>
            <w:pPr>
              <w:spacing w:after="0"/>
              <w:rPr>
                <w:sz w:val="1"/>
                <w:szCs w:val="1"/>
                <w:color w:val="auto"/>
              </w:rPr>
            </w:pPr>
          </w:p>
        </w:tc>
      </w:tr>
      <w:tr>
        <w:trPr>
          <w:trHeight w:val="216"/>
        </w:trPr>
        <w:tc>
          <w:tcPr>
            <w:tcW w:w="3100" w:type="dxa"/>
            <w:vAlign w:val="bottom"/>
          </w:tcPr>
          <w:p>
            <w:pPr>
              <w:ind w:left="260"/>
              <w:spacing w:after="0"/>
              <w:rPr>
                <w:sz w:val="20"/>
                <w:szCs w:val="20"/>
                <w:color w:val="auto"/>
              </w:rPr>
            </w:pPr>
            <w:r>
              <w:rPr>
                <w:rFonts w:ascii="Arial" w:cs="Arial" w:eastAsia="Arial" w:hAnsi="Arial"/>
                <w:sz w:val="16"/>
                <w:szCs w:val="16"/>
                <w:color w:val="auto"/>
              </w:rPr>
              <w:t>Midstream and marketing</w:t>
            </w: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8,730</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8,730</w:t>
            </w:r>
          </w:p>
        </w:tc>
        <w:tc>
          <w:tcPr>
            <w:tcW w:w="0" w:type="dxa"/>
            <w:vAlign w:val="bottom"/>
          </w:tcPr>
          <w:p>
            <w:pPr>
              <w:spacing w:after="0"/>
              <w:rPr>
                <w:sz w:val="1"/>
                <w:szCs w:val="1"/>
                <w:color w:val="auto"/>
              </w:rPr>
            </w:pPr>
          </w:p>
        </w:tc>
      </w:tr>
      <w:tr>
        <w:trPr>
          <w:trHeight w:val="216"/>
        </w:trPr>
        <w:tc>
          <w:tcPr>
            <w:tcW w:w="3100" w:type="dxa"/>
            <w:vAlign w:val="bottom"/>
          </w:tcPr>
          <w:p>
            <w:pPr>
              <w:ind w:left="260"/>
              <w:spacing w:after="0"/>
              <w:rPr>
                <w:sz w:val="20"/>
                <w:szCs w:val="20"/>
                <w:color w:val="auto"/>
              </w:rPr>
            </w:pPr>
            <w:r>
              <w:rPr>
                <w:rFonts w:ascii="Arial" w:cs="Arial" w:eastAsia="Arial" w:hAnsi="Arial"/>
                <w:sz w:val="16"/>
                <w:szCs w:val="16"/>
                <w:color w:val="auto"/>
              </w:rPr>
              <w:t>Corporate</w:t>
            </w:r>
          </w:p>
        </w:tc>
        <w:tc>
          <w:tcPr>
            <w:tcW w:w="1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1,091</w:t>
            </w: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(f)</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w:t>
            </w:r>
          </w:p>
        </w:tc>
        <w:tc>
          <w:tcPr>
            <w:tcW w:w="0" w:type="dxa"/>
            <w:vAlign w:val="bottom"/>
          </w:tcPr>
          <w:p>
            <w:pPr>
              <w:spacing w:after="0"/>
              <w:rPr>
                <w:sz w:val="1"/>
                <w:szCs w:val="1"/>
                <w:color w:val="auto"/>
              </w:rPr>
            </w:pPr>
          </w:p>
        </w:tc>
      </w:tr>
      <w:tr>
        <w:trPr>
          <w:trHeight w:val="210"/>
        </w:trPr>
        <w:tc>
          <w:tcPr>
            <w:tcW w:w="3100" w:type="dxa"/>
            <w:vAlign w:val="bottom"/>
          </w:tcPr>
          <w:p>
            <w:pPr>
              <w:ind w:left="260"/>
              <w:spacing w:after="0"/>
              <w:rPr>
                <w:sz w:val="20"/>
                <w:szCs w:val="20"/>
                <w:color w:val="auto"/>
              </w:rPr>
            </w:pPr>
            <w:r>
              <w:rPr>
                <w:rFonts w:ascii="Arial" w:cs="Arial" w:eastAsia="Arial" w:hAnsi="Arial"/>
                <w:sz w:val="16"/>
                <w:szCs w:val="16"/>
                <w:color w:val="auto"/>
              </w:rPr>
              <w:t>Gross property, plant and equipment</w:t>
            </w: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130,222</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7,710</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4,165</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142,097</w:t>
            </w:r>
          </w:p>
        </w:tc>
        <w:tc>
          <w:tcPr>
            <w:tcW w:w="0" w:type="dxa"/>
            <w:vAlign w:val="bottom"/>
          </w:tcPr>
          <w:p>
            <w:pPr>
              <w:spacing w:after="0"/>
              <w:rPr>
                <w:sz w:val="1"/>
                <w:szCs w:val="1"/>
                <w:color w:val="auto"/>
              </w:rPr>
            </w:pPr>
          </w:p>
        </w:tc>
      </w:tr>
      <w:tr>
        <w:trPr>
          <w:trHeight w:val="163"/>
        </w:trPr>
        <w:tc>
          <w:tcPr>
            <w:tcW w:w="3100" w:type="dxa"/>
            <w:vAlign w:val="bottom"/>
          </w:tcPr>
          <w:p>
            <w:pPr>
              <w:ind w:left="260"/>
              <w:spacing w:after="0" w:line="164" w:lineRule="exact"/>
              <w:rPr>
                <w:sz w:val="20"/>
                <w:szCs w:val="20"/>
                <w:color w:val="auto"/>
              </w:rPr>
            </w:pPr>
            <w:r>
              <w:rPr>
                <w:rFonts w:ascii="Arial" w:cs="Arial" w:eastAsia="Arial" w:hAnsi="Arial"/>
                <w:sz w:val="16"/>
                <w:szCs w:val="16"/>
                <w:color w:val="auto"/>
              </w:rPr>
              <w:t>Accumulated depreciation, depletion</w:t>
            </w:r>
          </w:p>
        </w:tc>
        <w:tc>
          <w:tcPr>
            <w:tcW w:w="1660" w:type="dxa"/>
            <w:vAlign w:val="bottom"/>
            <w:vMerge w:val="restart"/>
          </w:tcPr>
          <w:p>
            <w:pPr>
              <w:jc w:val="right"/>
              <w:ind w:right="99"/>
              <w:spacing w:after="0"/>
              <w:rPr>
                <w:sz w:val="20"/>
                <w:szCs w:val="20"/>
                <w:color w:val="auto"/>
              </w:rPr>
            </w:pPr>
            <w:r>
              <w:rPr>
                <w:rFonts w:ascii="Arial" w:cs="Arial" w:eastAsia="Arial" w:hAnsi="Arial"/>
                <w:sz w:val="16"/>
                <w:szCs w:val="16"/>
                <w:color w:val="auto"/>
              </w:rPr>
              <w:t>(71,352)</w:t>
            </w:r>
          </w:p>
        </w:tc>
        <w:tc>
          <w:tcPr>
            <w:tcW w:w="1460" w:type="dxa"/>
            <w:vAlign w:val="bottom"/>
            <w:vMerge w:val="restart"/>
          </w:tcPr>
          <w:p>
            <w:pPr>
              <w:jc w:val="right"/>
              <w:ind w:right="39"/>
              <w:spacing w:after="0"/>
              <w:rPr>
                <w:sz w:val="20"/>
                <w:szCs w:val="20"/>
                <w:color w:val="auto"/>
              </w:rPr>
            </w:pPr>
            <w:r>
              <w:rPr>
                <w:rFonts w:ascii="Arial" w:cs="Arial" w:eastAsia="Arial" w:hAnsi="Arial"/>
                <w:sz w:val="16"/>
                <w:szCs w:val="16"/>
                <w:color w:val="auto"/>
              </w:rPr>
              <w:t>(3,533)</w:t>
            </w: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1520" w:type="dxa"/>
            <w:vAlign w:val="bottom"/>
            <w:vMerge w:val="restart"/>
          </w:tcPr>
          <w:p>
            <w:pPr>
              <w:jc w:val="right"/>
              <w:ind w:right="19"/>
              <w:spacing w:after="0"/>
              <w:rPr>
                <w:sz w:val="20"/>
                <w:szCs w:val="20"/>
                <w:color w:val="auto"/>
              </w:rPr>
            </w:pPr>
            <w:r>
              <w:rPr>
                <w:rFonts w:ascii="Arial" w:cs="Arial" w:eastAsia="Arial" w:hAnsi="Arial"/>
                <w:sz w:val="16"/>
                <w:szCs w:val="16"/>
                <w:color w:val="auto"/>
              </w:rPr>
              <w:t>3,533</w:t>
            </w:r>
          </w:p>
        </w:tc>
        <w:tc>
          <w:tcPr>
            <w:tcW w:w="3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(71,352)</w:t>
            </w:r>
          </w:p>
        </w:tc>
        <w:tc>
          <w:tcPr>
            <w:tcW w:w="0" w:type="dxa"/>
            <w:vAlign w:val="bottom"/>
          </w:tcPr>
          <w:p>
            <w:pPr>
              <w:spacing w:after="0"/>
              <w:rPr>
                <w:sz w:val="1"/>
                <w:szCs w:val="1"/>
                <w:color w:val="auto"/>
              </w:rPr>
            </w:pPr>
          </w:p>
        </w:tc>
      </w:tr>
      <w:tr>
        <w:trPr>
          <w:trHeight w:val="215"/>
        </w:trPr>
        <w:tc>
          <w:tcPr>
            <w:tcW w:w="3100" w:type="dxa"/>
            <w:vAlign w:val="bottom"/>
          </w:tcPr>
          <w:p>
            <w:pPr>
              <w:ind w:left="360"/>
              <w:spacing w:after="0"/>
              <w:rPr>
                <w:sz w:val="20"/>
                <w:szCs w:val="20"/>
                <w:color w:val="auto"/>
              </w:rPr>
            </w:pPr>
            <w:r>
              <w:rPr>
                <w:rFonts w:ascii="Arial" w:cs="Arial" w:eastAsia="Arial" w:hAnsi="Arial"/>
                <w:sz w:val="16"/>
                <w:szCs w:val="16"/>
                <w:color w:val="auto"/>
              </w:rPr>
              <w:t>and amortization</w:t>
            </w:r>
          </w:p>
        </w:tc>
        <w:tc>
          <w:tcPr>
            <w:tcW w:w="166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(b)</w:t>
            </w: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20"/>
              <w:spacing w:after="0"/>
              <w:rPr>
                <w:sz w:val="20"/>
                <w:szCs w:val="20"/>
                <w:color w:val="auto"/>
              </w:rPr>
            </w:pPr>
            <w:r>
              <w:rPr>
                <w:rFonts w:ascii="Arial" w:cs="Arial" w:eastAsia="Arial" w:hAnsi="Arial"/>
                <w:sz w:val="16"/>
                <w:szCs w:val="16"/>
                <w:color w:val="auto"/>
              </w:rPr>
              <w:t>Net property, plant, and equipment</w:t>
            </w: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58,870</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4,177</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7,698</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70,745</w:t>
            </w:r>
          </w:p>
        </w:tc>
        <w:tc>
          <w:tcPr>
            <w:tcW w:w="0" w:type="dxa"/>
            <w:vAlign w:val="bottom"/>
          </w:tcPr>
          <w:p>
            <w:pPr>
              <w:spacing w:after="0"/>
              <w:rPr>
                <w:sz w:val="1"/>
                <w:szCs w:val="1"/>
                <w:color w:val="auto"/>
              </w:rPr>
            </w:pPr>
          </w:p>
        </w:tc>
      </w:tr>
      <w:tr>
        <w:trPr>
          <w:trHeight w:val="215"/>
        </w:trPr>
        <w:tc>
          <w:tcPr>
            <w:tcW w:w="310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1,022</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1,022</w:t>
            </w:r>
          </w:p>
        </w:tc>
        <w:tc>
          <w:tcPr>
            <w:tcW w:w="0" w:type="dxa"/>
            <w:vAlign w:val="bottom"/>
          </w:tcPr>
          <w:p>
            <w:pPr>
              <w:spacing w:after="0"/>
              <w:rPr>
                <w:sz w:val="1"/>
                <w:szCs w:val="1"/>
                <w:color w:val="auto"/>
              </w:rPr>
            </w:pPr>
          </w:p>
        </w:tc>
      </w:tr>
      <w:tr>
        <w:trPr>
          <w:trHeight w:val="217"/>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long-term assets</w:t>
            </w:r>
          </w:p>
        </w:tc>
        <w:tc>
          <w:tcPr>
            <w:tcW w:w="1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2,772</w:t>
            </w: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(b)</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2,772</w:t>
            </w:r>
          </w:p>
        </w:tc>
        <w:tc>
          <w:tcPr>
            <w:tcW w:w="0" w:type="dxa"/>
            <w:vAlign w:val="bottom"/>
          </w:tcPr>
          <w:p>
            <w:pPr>
              <w:spacing w:after="0"/>
              <w:rPr>
                <w:sz w:val="1"/>
                <w:szCs w:val="1"/>
                <w:color w:val="auto"/>
              </w:rPr>
            </w:pPr>
          </w:p>
        </w:tc>
      </w:tr>
      <w:tr>
        <w:trPr>
          <w:trHeight w:val="210"/>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ASSETS</w:t>
            </w:r>
          </w:p>
        </w:tc>
        <w:tc>
          <w:tcPr>
            <w:tcW w:w="1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76,216</w:t>
            </w: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4,838</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9,646</w:t>
            </w: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(2,596)</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88,104</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pro forma condensed combined financial statements.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976" w:right="339" w:bottom="1440" w:gutter="0" w:footer="0" w:header="0"/>
        </w:sectPr>
      </w:pPr>
    </w:p>
    <w:bookmarkStart w:id="30" w:name="page31"/>
    <w:bookmarkEnd w:id="30"/>
    <w:p>
      <w:pPr>
        <w:ind w:left="3920"/>
        <w:spacing w:after="0"/>
        <w:rPr>
          <w:sz w:val="20"/>
          <w:szCs w:val="20"/>
          <w:color w:val="auto"/>
        </w:rPr>
      </w:pPr>
      <w:r>
        <w:rPr>
          <w:rFonts w:ascii="Arial" w:cs="Arial" w:eastAsia="Arial" w:hAnsi="Arial"/>
          <w:sz w:val="16"/>
          <w:szCs w:val="16"/>
          <w:b w:val="1"/>
          <w:bCs w:val="1"/>
          <w:color w:val="auto"/>
        </w:rPr>
        <w:t>OCCIDENTAL PETROLEUM CORPORATION</w:t>
      </w:r>
    </w:p>
    <w:p>
      <w:pPr>
        <w:spacing w:after="0" w:line="39"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UNAUDITED PRO FORMA CONDENSED COMBINED BALANCE SHEET</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JUNE 30, 2024</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vMerge w:val="restart"/>
          </w:tcPr>
          <w:p>
            <w:pPr>
              <w:jc w:val="center"/>
              <w:ind w:right="139"/>
              <w:spacing w:after="0"/>
              <w:rPr>
                <w:sz w:val="20"/>
                <w:szCs w:val="20"/>
                <w:color w:val="auto"/>
              </w:rPr>
            </w:pPr>
            <w:r>
              <w:rPr>
                <w:rFonts w:ascii="Arial" w:cs="Arial" w:eastAsia="Arial" w:hAnsi="Arial"/>
                <w:sz w:val="16"/>
                <w:szCs w:val="16"/>
                <w:b w:val="1"/>
                <w:bCs w:val="1"/>
                <w:color w:val="auto"/>
              </w:rPr>
              <w:t>CrownRock</w:t>
            </w:r>
          </w:p>
        </w:tc>
        <w:tc>
          <w:tcPr>
            <w:tcW w:w="14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Acquisition</w:t>
            </w:r>
          </w:p>
        </w:tc>
        <w:tc>
          <w:tcPr>
            <w:tcW w:w="3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Occidental</w:t>
            </w: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1540" w:type="dxa"/>
            <w:vAlign w:val="bottom"/>
            <w:vMerge w:val="restart"/>
          </w:tcPr>
          <w:p>
            <w:pPr>
              <w:jc w:val="right"/>
              <w:ind w:right="399"/>
              <w:spacing w:after="0" w:line="162" w:lineRule="exact"/>
              <w:rPr>
                <w:sz w:val="20"/>
                <w:szCs w:val="20"/>
                <w:color w:val="auto"/>
              </w:rPr>
            </w:pPr>
            <w:r>
              <w:rPr>
                <w:rFonts w:ascii="Arial" w:cs="Arial" w:eastAsia="Arial" w:hAnsi="Arial"/>
                <w:sz w:val="16"/>
                <w:szCs w:val="16"/>
                <w:b w:val="1"/>
                <w:bCs w:val="1"/>
                <w:color w:val="auto"/>
              </w:rPr>
              <w:t>Occidental</w:t>
            </w:r>
          </w:p>
        </w:tc>
        <w:tc>
          <w:tcPr>
            <w:tcW w:w="1440" w:type="dxa"/>
            <w:vAlign w:val="bottom"/>
            <w:vMerge w:val="continue"/>
          </w:tcPr>
          <w:p>
            <w:pPr>
              <w:spacing w:after="0"/>
              <w:rPr>
                <w:sz w:val="7"/>
                <w:szCs w:val="7"/>
                <w:color w:val="auto"/>
              </w:rPr>
            </w:pPr>
          </w:p>
        </w:tc>
        <w:tc>
          <w:tcPr>
            <w:tcW w:w="1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8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Accounting and</w:t>
            </w:r>
          </w:p>
        </w:tc>
        <w:tc>
          <w:tcPr>
            <w:tcW w:w="32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1440" w:type="dxa"/>
            <w:vAlign w:val="bottom"/>
            <w:vMerge w:val="restart"/>
          </w:tcPr>
          <w:p>
            <w:pPr>
              <w:jc w:val="center"/>
              <w:ind w:right="139"/>
              <w:spacing w:after="0" w:line="162" w:lineRule="exact"/>
              <w:rPr>
                <w:sz w:val="20"/>
                <w:szCs w:val="20"/>
                <w:color w:val="auto"/>
              </w:rPr>
            </w:pPr>
            <w:r>
              <w:rPr>
                <w:rFonts w:ascii="Arial" w:cs="Arial" w:eastAsia="Arial" w:hAnsi="Arial"/>
                <w:sz w:val="16"/>
                <w:szCs w:val="16"/>
                <w:b w:val="1"/>
                <w:bCs w:val="1"/>
                <w:color w:val="auto"/>
              </w:rPr>
              <w:t>Historical</w:t>
            </w:r>
          </w:p>
        </w:tc>
        <w:tc>
          <w:tcPr>
            <w:tcW w:w="1480" w:type="dxa"/>
            <w:vAlign w:val="bottom"/>
            <w:vMerge w:val="restart"/>
          </w:tcPr>
          <w:p>
            <w:pPr>
              <w:jc w:val="right"/>
              <w:ind w:right="159"/>
              <w:spacing w:after="0" w:line="162" w:lineRule="exact"/>
              <w:rPr>
                <w:sz w:val="20"/>
                <w:szCs w:val="20"/>
                <w:color w:val="auto"/>
              </w:rPr>
            </w:pPr>
            <w:r>
              <w:rPr>
                <w:rFonts w:ascii="Arial" w:cs="Arial" w:eastAsia="Arial" w:hAnsi="Arial"/>
                <w:sz w:val="16"/>
                <w:szCs w:val="16"/>
                <w:b w:val="1"/>
                <w:bCs w:val="1"/>
                <w:color w:val="auto"/>
              </w:rPr>
              <w:t>Debt Issuance</w:t>
            </w:r>
          </w:p>
        </w:tc>
        <w:tc>
          <w:tcPr>
            <w:tcW w:w="30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46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Combined Pro</w:t>
            </w: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1540" w:type="dxa"/>
            <w:vAlign w:val="bottom"/>
            <w:vMerge w:val="restart"/>
          </w:tcPr>
          <w:p>
            <w:pPr>
              <w:jc w:val="right"/>
              <w:ind w:right="439"/>
              <w:spacing w:after="0" w:line="162" w:lineRule="exact"/>
              <w:rPr>
                <w:sz w:val="20"/>
                <w:szCs w:val="20"/>
                <w:color w:val="auto"/>
              </w:rPr>
            </w:pPr>
            <w:r>
              <w:rPr>
                <w:rFonts w:ascii="Arial" w:cs="Arial" w:eastAsia="Arial" w:hAnsi="Arial"/>
                <w:sz w:val="16"/>
                <w:szCs w:val="16"/>
                <w:b w:val="1"/>
                <w:bCs w:val="1"/>
                <w:color w:val="auto"/>
              </w:rPr>
              <w:t>Historical</w:t>
            </w:r>
          </w:p>
        </w:tc>
        <w:tc>
          <w:tcPr>
            <w:tcW w:w="144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48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Related</w:t>
            </w:r>
          </w:p>
        </w:tc>
        <w:tc>
          <w:tcPr>
            <w:tcW w:w="32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144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(Adjusted)</w:t>
            </w:r>
          </w:p>
        </w:tc>
        <w:tc>
          <w:tcPr>
            <w:tcW w:w="1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Forma</w:t>
            </w:r>
          </w:p>
        </w:tc>
        <w:tc>
          <w:tcPr>
            <w:tcW w:w="0" w:type="dxa"/>
            <w:vAlign w:val="bottom"/>
          </w:tcPr>
          <w:p>
            <w:pPr>
              <w:spacing w:after="0"/>
              <w:rPr>
                <w:sz w:val="1"/>
                <w:szCs w:val="1"/>
                <w:color w:val="auto"/>
              </w:rPr>
            </w:pPr>
          </w:p>
        </w:tc>
      </w:tr>
      <w:tr>
        <w:trPr>
          <w:trHeight w:val="142"/>
        </w:trPr>
        <w:tc>
          <w:tcPr>
            <w:tcW w:w="32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15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Transactions</w:t>
            </w:r>
          </w:p>
        </w:tc>
        <w:tc>
          <w:tcPr>
            <w:tcW w:w="3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3200" w:type="dxa"/>
            <w:vAlign w:val="bottom"/>
            <w:tcBorders>
              <w:bottom w:val="single" w:sz="8" w:color="auto"/>
            </w:tcBorders>
            <w:vMerge w:val="continue"/>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32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0" w:type="dxa"/>
            <w:vAlign w:val="bottom"/>
          </w:tcPr>
          <w:p>
            <w:pPr>
              <w:ind w:left="180"/>
              <w:spacing w:after="0"/>
              <w:rPr>
                <w:sz w:val="20"/>
                <w:szCs w:val="20"/>
                <w:color w:val="auto"/>
              </w:rPr>
            </w:pPr>
            <w:r>
              <w:rPr>
                <w:rFonts w:ascii="Arial" w:cs="Arial" w:eastAsia="Arial" w:hAnsi="Arial"/>
                <w:sz w:val="16"/>
                <w:szCs w:val="16"/>
                <w:color w:val="auto"/>
              </w:rPr>
              <w:t>Current maturities of long-term debt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1,347</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2,000</w:t>
            </w:r>
          </w:p>
        </w:tc>
        <w:tc>
          <w:tcPr>
            <w:tcW w:w="300" w:type="dxa"/>
            <w:vAlign w:val="bottom"/>
          </w:tcPr>
          <w:p>
            <w:pPr>
              <w:ind w:left="100"/>
              <w:spacing w:after="0"/>
              <w:rPr>
                <w:sz w:val="20"/>
                <w:szCs w:val="20"/>
                <w:color w:val="auto"/>
              </w:rPr>
            </w:pPr>
            <w:r>
              <w:rPr>
                <w:rFonts w:ascii="Arial" w:cs="Arial" w:eastAsia="Arial" w:hAnsi="Arial"/>
                <w:sz w:val="12"/>
                <w:szCs w:val="12"/>
                <w:color w:val="auto"/>
              </w:rPr>
              <w:t>(c)</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3,347</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6"/>
                <w:szCs w:val="16"/>
                <w:color w:val="auto"/>
              </w:rPr>
              <w:t>Current operating lease liabilities</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410</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4,282</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4,282</w:t>
            </w:r>
          </w:p>
        </w:tc>
        <w:tc>
          <w:tcPr>
            <w:tcW w:w="0" w:type="dxa"/>
            <w:vAlign w:val="bottom"/>
          </w:tcPr>
          <w:p>
            <w:pPr>
              <w:spacing w:after="0"/>
              <w:rPr>
                <w:sz w:val="1"/>
                <w:szCs w:val="1"/>
                <w:color w:val="auto"/>
              </w:rPr>
            </w:pPr>
          </w:p>
        </w:tc>
      </w:tr>
      <w:tr>
        <w:trPr>
          <w:trHeight w:val="217"/>
        </w:trPr>
        <w:tc>
          <w:tcPr>
            <w:tcW w:w="32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Accrued liabilities</w:t>
            </w: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3,660</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111</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3,771</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current liabilities</w:t>
            </w: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9,699</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111</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2,000</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11,810</w:t>
            </w:r>
          </w:p>
        </w:tc>
        <w:tc>
          <w:tcPr>
            <w:tcW w:w="0" w:type="dxa"/>
            <w:vAlign w:val="bottom"/>
          </w:tcPr>
          <w:p>
            <w:pPr>
              <w:spacing w:after="0"/>
              <w:rPr>
                <w:sz w:val="1"/>
                <w:szCs w:val="1"/>
                <w:color w:val="auto"/>
              </w:rPr>
            </w:pPr>
          </w:p>
        </w:tc>
      </w:tr>
      <w:tr>
        <w:trPr>
          <w:trHeight w:val="453"/>
        </w:trPr>
        <w:tc>
          <w:tcPr>
            <w:tcW w:w="3200" w:type="dxa"/>
            <w:vAlign w:val="bottom"/>
          </w:tcPr>
          <w:p>
            <w:pPr>
              <w:ind w:left="20"/>
              <w:spacing w:after="0"/>
              <w:rPr>
                <w:sz w:val="20"/>
                <w:szCs w:val="20"/>
                <w:color w:val="auto"/>
              </w:rPr>
            </w:pPr>
            <w:r>
              <w:rPr>
                <w:rFonts w:ascii="Arial" w:cs="Arial" w:eastAsia="Arial" w:hAnsi="Arial"/>
                <w:sz w:val="16"/>
                <w:szCs w:val="16"/>
                <w:b w:val="1"/>
                <w:bCs w:val="1"/>
                <w:color w:val="auto"/>
              </w:rPr>
              <w:t>Long-term debt, net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18,390</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1,239</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7,646</w:t>
            </w:r>
          </w:p>
        </w:tc>
        <w:tc>
          <w:tcPr>
            <w:tcW w:w="300" w:type="dxa"/>
            <w:vAlign w:val="bottom"/>
          </w:tcPr>
          <w:p>
            <w:pPr>
              <w:ind w:left="100"/>
              <w:spacing w:after="0"/>
              <w:rPr>
                <w:sz w:val="20"/>
                <w:szCs w:val="20"/>
                <w:color w:val="auto"/>
              </w:rPr>
            </w:pPr>
            <w:r>
              <w:rPr>
                <w:rFonts w:ascii="Arial" w:cs="Arial" w:eastAsia="Arial" w:hAnsi="Arial"/>
                <w:sz w:val="12"/>
                <w:szCs w:val="12"/>
                <w:color w:val="auto"/>
              </w:rPr>
              <w:t>(c)</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320" w:type="dxa"/>
            <w:vAlign w:val="bottom"/>
          </w:tcPr>
          <w:p>
            <w:pPr>
              <w:ind w:left="40"/>
              <w:spacing w:after="0"/>
              <w:rPr>
                <w:sz w:val="20"/>
                <w:szCs w:val="20"/>
                <w:color w:val="auto"/>
              </w:rPr>
            </w:pPr>
            <w:r>
              <w:rPr>
                <w:rFonts w:ascii="Arial" w:cs="Arial" w:eastAsia="Arial" w:hAnsi="Arial"/>
                <w:sz w:val="12"/>
                <w:szCs w:val="12"/>
                <w:color w:val="auto"/>
              </w:rPr>
              <w:t>(b)</w:t>
            </w:r>
          </w:p>
        </w:tc>
        <w:tc>
          <w:tcPr>
            <w:tcW w:w="1460" w:type="dxa"/>
            <w:vAlign w:val="bottom"/>
          </w:tcPr>
          <w:p>
            <w:pPr>
              <w:jc w:val="right"/>
              <w:spacing w:after="0"/>
              <w:rPr>
                <w:sz w:val="20"/>
                <w:szCs w:val="20"/>
                <w:color w:val="auto"/>
              </w:rPr>
            </w:pPr>
            <w:r>
              <w:rPr>
                <w:rFonts w:ascii="Arial" w:cs="Arial" w:eastAsia="Arial" w:hAnsi="Arial"/>
                <w:sz w:val="16"/>
                <w:szCs w:val="16"/>
                <w:color w:val="auto"/>
              </w:rPr>
              <w:t>26,412</w:t>
            </w:r>
          </w:p>
        </w:tc>
        <w:tc>
          <w:tcPr>
            <w:tcW w:w="0" w:type="dxa"/>
            <w:vAlign w:val="bottom"/>
          </w:tcPr>
          <w:p>
            <w:pPr>
              <w:spacing w:after="0"/>
              <w:rPr>
                <w:sz w:val="1"/>
                <w:szCs w:val="1"/>
                <w:color w:val="auto"/>
              </w:rPr>
            </w:pPr>
          </w:p>
        </w:tc>
      </w:tr>
      <w:tr>
        <w:trPr>
          <w:trHeight w:val="215"/>
        </w:trPr>
        <w:tc>
          <w:tcPr>
            <w:tcW w:w="3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(868)</w:t>
            </w:r>
          </w:p>
        </w:tc>
        <w:tc>
          <w:tcPr>
            <w:tcW w:w="320" w:type="dxa"/>
            <w:vAlign w:val="bottom"/>
          </w:tcPr>
          <w:p>
            <w:pPr>
              <w:ind w:left="40"/>
              <w:spacing w:after="0"/>
              <w:rPr>
                <w:sz w:val="20"/>
                <w:szCs w:val="20"/>
                <w:color w:val="auto"/>
              </w:rPr>
            </w:pPr>
            <w:r>
              <w:rPr>
                <w:rFonts w:ascii="Arial" w:cs="Arial" w:eastAsia="Arial" w:hAnsi="Arial"/>
                <w:sz w:val="12"/>
                <w:szCs w:val="12"/>
                <w:color w:val="auto"/>
              </w:rPr>
              <w:t>(a)</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3200" w:type="dxa"/>
            <w:vAlign w:val="bottom"/>
          </w:tcPr>
          <w:p>
            <w:pPr>
              <w:ind w:left="20"/>
              <w:spacing w:after="0"/>
              <w:rPr>
                <w:sz w:val="20"/>
                <w:szCs w:val="20"/>
                <w:color w:val="auto"/>
              </w:rPr>
            </w:pPr>
            <w:r>
              <w:rPr>
                <w:rFonts w:ascii="Arial" w:cs="Arial" w:eastAsia="Arial" w:hAnsi="Arial"/>
                <w:sz w:val="16"/>
                <w:szCs w:val="16"/>
                <w:b w:val="1"/>
                <w:bCs w:val="1"/>
                <w:color w:val="auto"/>
              </w:rPr>
              <w:t>Deferred credits and other liabilities</w:t>
            </w: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200" w:type="dxa"/>
            <w:vAlign w:val="bottom"/>
          </w:tcPr>
          <w:p>
            <w:pPr>
              <w:ind w:left="180"/>
              <w:spacing w:after="0"/>
              <w:rPr>
                <w:sz w:val="20"/>
                <w:szCs w:val="20"/>
                <w:color w:val="auto"/>
              </w:rPr>
            </w:pPr>
            <w:r>
              <w:rPr>
                <w:rFonts w:ascii="Arial" w:cs="Arial" w:eastAsia="Arial" w:hAnsi="Arial"/>
                <w:sz w:val="16"/>
                <w:szCs w:val="16"/>
                <w:color w:val="auto"/>
              </w:rPr>
              <w:t>Deferred income taxes, net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5,680</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5,680</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6"/>
                <w:szCs w:val="16"/>
                <w:color w:val="auto"/>
              </w:rPr>
              <w:t>Asset retirement obligations</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3,848</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48</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3,896</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6"/>
                <w:szCs w:val="16"/>
                <w:color w:val="auto"/>
              </w:rPr>
              <w:t>Pension and postretirement obligations</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935</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6"/>
                <w:szCs w:val="16"/>
                <w:color w:val="auto"/>
              </w:rPr>
              <w:t>Environmental remediation liabilities</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857</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6"/>
                <w:szCs w:val="16"/>
                <w:color w:val="auto"/>
              </w:rPr>
              <w:t>Operating lease liabilities</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668</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217"/>
        </w:trPr>
        <w:tc>
          <w:tcPr>
            <w:tcW w:w="32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Other</w:t>
            </w: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3,880</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3,880</w:t>
            </w:r>
          </w:p>
        </w:tc>
        <w:tc>
          <w:tcPr>
            <w:tcW w:w="0" w:type="dxa"/>
            <w:vAlign w:val="bottom"/>
          </w:tcPr>
          <w:p>
            <w:pPr>
              <w:spacing w:after="0"/>
              <w:rPr>
                <w:sz w:val="1"/>
                <w:szCs w:val="1"/>
                <w:color w:val="auto"/>
              </w:rPr>
            </w:pPr>
          </w:p>
        </w:tc>
      </w:tr>
      <w:tr>
        <w:trPr>
          <w:trHeight w:val="157"/>
        </w:trPr>
        <w:tc>
          <w:tcPr>
            <w:tcW w:w="3200" w:type="dxa"/>
            <w:vAlign w:val="bottom"/>
          </w:tcPr>
          <w:p>
            <w:pPr>
              <w:ind w:left="180"/>
              <w:spacing w:after="0" w:line="157" w:lineRule="exact"/>
              <w:rPr>
                <w:sz w:val="20"/>
                <w:szCs w:val="20"/>
                <w:color w:val="auto"/>
              </w:rPr>
            </w:pPr>
            <w:r>
              <w:rPr>
                <w:rFonts w:ascii="Arial" w:cs="Arial" w:eastAsia="Arial" w:hAnsi="Arial"/>
                <w:sz w:val="16"/>
                <w:szCs w:val="16"/>
                <w:color w:val="auto"/>
              </w:rPr>
              <w:t>Total deferred credits and other</w:t>
            </w:r>
          </w:p>
        </w:tc>
        <w:tc>
          <w:tcPr>
            <w:tcW w:w="1540" w:type="dxa"/>
            <w:vAlign w:val="bottom"/>
            <w:vMerge w:val="restart"/>
          </w:tcPr>
          <w:p>
            <w:pPr>
              <w:jc w:val="right"/>
              <w:ind w:right="139"/>
              <w:spacing w:after="0"/>
              <w:rPr>
                <w:sz w:val="20"/>
                <w:szCs w:val="20"/>
                <w:color w:val="auto"/>
              </w:rPr>
            </w:pPr>
            <w:r>
              <w:rPr>
                <w:rFonts w:ascii="Arial" w:cs="Arial" w:eastAsia="Arial" w:hAnsi="Arial"/>
                <w:sz w:val="16"/>
                <w:szCs w:val="16"/>
                <w:color w:val="auto"/>
              </w:rPr>
              <w:t>15,868</w:t>
            </w:r>
          </w:p>
        </w:tc>
        <w:tc>
          <w:tcPr>
            <w:tcW w:w="1440" w:type="dxa"/>
            <w:vAlign w:val="bottom"/>
            <w:vMerge w:val="restart"/>
          </w:tcPr>
          <w:p>
            <w:pPr>
              <w:jc w:val="right"/>
              <w:ind w:right="59"/>
              <w:spacing w:after="0"/>
              <w:rPr>
                <w:sz w:val="20"/>
                <w:szCs w:val="20"/>
                <w:color w:val="auto"/>
              </w:rPr>
            </w:pPr>
            <w:r>
              <w:rPr>
                <w:rFonts w:ascii="Arial" w:cs="Arial" w:eastAsia="Arial" w:hAnsi="Arial"/>
                <w:sz w:val="16"/>
                <w:szCs w:val="16"/>
                <w:color w:val="auto"/>
              </w:rPr>
              <w:t>48</w:t>
            </w:r>
          </w:p>
        </w:tc>
        <w:tc>
          <w:tcPr>
            <w:tcW w:w="14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3"/>
                <w:szCs w:val="13"/>
                <w:color w:val="auto"/>
              </w:rPr>
            </w:pPr>
          </w:p>
        </w:tc>
        <w:tc>
          <w:tcPr>
            <w:tcW w:w="14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15,916</w:t>
            </w:r>
          </w:p>
        </w:tc>
        <w:tc>
          <w:tcPr>
            <w:tcW w:w="0" w:type="dxa"/>
            <w:vAlign w:val="bottom"/>
          </w:tcPr>
          <w:p>
            <w:pPr>
              <w:spacing w:after="0"/>
              <w:rPr>
                <w:sz w:val="1"/>
                <w:szCs w:val="1"/>
                <w:color w:val="auto"/>
              </w:rPr>
            </w:pPr>
          </w:p>
        </w:tc>
      </w:tr>
      <w:tr>
        <w:trPr>
          <w:trHeight w:val="215"/>
        </w:trPr>
        <w:tc>
          <w:tcPr>
            <w:tcW w:w="32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liabilities</w:t>
            </w:r>
          </w:p>
        </w:tc>
        <w:tc>
          <w:tcPr>
            <w:tcW w:w="154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200" w:type="dxa"/>
            <w:vAlign w:val="bottom"/>
          </w:tcPr>
          <w:p>
            <w:pPr>
              <w:ind w:left="20"/>
              <w:spacing w:after="0"/>
              <w:rPr>
                <w:sz w:val="20"/>
                <w:szCs w:val="20"/>
                <w:color w:val="auto"/>
              </w:rPr>
            </w:pPr>
            <w:r>
              <w:rPr>
                <w:rFonts w:ascii="Arial" w:cs="Arial" w:eastAsia="Arial" w:hAnsi="Arial"/>
                <w:sz w:val="16"/>
                <w:szCs w:val="16"/>
                <w:b w:val="1"/>
                <w:bCs w:val="1"/>
                <w:color w:val="auto"/>
              </w:rPr>
              <w:t>Equity</w:t>
            </w: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200" w:type="dxa"/>
            <w:vAlign w:val="bottom"/>
          </w:tcPr>
          <w:p>
            <w:pPr>
              <w:ind w:left="180"/>
              <w:spacing w:after="0"/>
              <w:rPr>
                <w:sz w:val="20"/>
                <w:szCs w:val="20"/>
                <w:color w:val="auto"/>
              </w:rPr>
            </w:pPr>
            <w:r>
              <w:rPr>
                <w:rFonts w:ascii="Arial" w:cs="Arial" w:eastAsia="Arial" w:hAnsi="Arial"/>
                <w:sz w:val="16"/>
                <w:szCs w:val="16"/>
                <w:color w:val="auto"/>
              </w:rPr>
              <w:t>Preferred stock, at par value</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8,287</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8,287</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6"/>
                <w:szCs w:val="16"/>
                <w:color w:val="auto"/>
              </w:rPr>
              <w:t>Common stock, at par value</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227</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320" w:type="dxa"/>
            <w:vAlign w:val="bottom"/>
          </w:tcPr>
          <w:p>
            <w:pPr>
              <w:ind w:left="40"/>
              <w:spacing w:after="0"/>
              <w:rPr>
                <w:sz w:val="20"/>
                <w:szCs w:val="20"/>
                <w:color w:val="auto"/>
              </w:rPr>
            </w:pPr>
            <w:r>
              <w:rPr>
                <w:rFonts w:ascii="Arial" w:cs="Arial" w:eastAsia="Arial" w:hAnsi="Arial"/>
                <w:sz w:val="12"/>
                <w:szCs w:val="12"/>
                <w:color w:val="auto"/>
              </w:rPr>
              <w:t>(g)</w:t>
            </w:r>
          </w:p>
        </w:tc>
        <w:tc>
          <w:tcPr>
            <w:tcW w:w="1460" w:type="dxa"/>
            <w:vAlign w:val="bottom"/>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6"/>
                <w:szCs w:val="16"/>
                <w:color w:val="auto"/>
              </w:rPr>
              <w:t>Treasury stock</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(15,591)</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(15,591)</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17,928</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3,440</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(1,691)</w:t>
            </w:r>
          </w:p>
        </w:tc>
        <w:tc>
          <w:tcPr>
            <w:tcW w:w="320" w:type="dxa"/>
            <w:vAlign w:val="bottom"/>
          </w:tcPr>
          <w:p>
            <w:pPr>
              <w:ind w:left="40"/>
              <w:spacing w:after="0"/>
              <w:rPr>
                <w:sz w:val="20"/>
                <w:szCs w:val="20"/>
                <w:color w:val="auto"/>
              </w:rPr>
            </w:pPr>
            <w:r>
              <w:rPr>
                <w:rFonts w:ascii="Arial" w:cs="Arial" w:eastAsia="Arial" w:hAnsi="Arial"/>
                <w:sz w:val="12"/>
                <w:szCs w:val="12"/>
                <w:color w:val="auto"/>
              </w:rPr>
              <w:t>(g)</w:t>
            </w:r>
          </w:p>
        </w:tc>
        <w:tc>
          <w:tcPr>
            <w:tcW w:w="1460" w:type="dxa"/>
            <w:vAlign w:val="bottom"/>
          </w:tcPr>
          <w:p>
            <w:pPr>
              <w:jc w:val="right"/>
              <w:spacing w:after="0"/>
              <w:rPr>
                <w:sz w:val="20"/>
                <w:szCs w:val="20"/>
                <w:color w:val="auto"/>
              </w:rPr>
            </w:pPr>
            <w:r>
              <w:rPr>
                <w:rFonts w:ascii="Arial" w:cs="Arial" w:eastAsia="Arial" w:hAnsi="Arial"/>
                <w:sz w:val="16"/>
                <w:szCs w:val="16"/>
                <w:color w:val="auto"/>
              </w:rPr>
              <w:t>19,677</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20,938</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(48)</w:t>
            </w:r>
          </w:p>
        </w:tc>
        <w:tc>
          <w:tcPr>
            <w:tcW w:w="320" w:type="dxa"/>
            <w:vAlign w:val="bottom"/>
          </w:tcPr>
          <w:p>
            <w:pPr>
              <w:ind w:left="40"/>
              <w:spacing w:after="0"/>
              <w:rPr>
                <w:sz w:val="20"/>
                <w:szCs w:val="20"/>
                <w:color w:val="auto"/>
              </w:rPr>
            </w:pPr>
            <w:r>
              <w:rPr>
                <w:rFonts w:ascii="Arial" w:cs="Arial" w:eastAsia="Arial" w:hAnsi="Arial"/>
                <w:sz w:val="12"/>
                <w:szCs w:val="12"/>
                <w:color w:val="auto"/>
              </w:rPr>
              <w:t>(a)</w:t>
            </w:r>
          </w:p>
        </w:tc>
        <w:tc>
          <w:tcPr>
            <w:tcW w:w="1460" w:type="dxa"/>
            <w:vAlign w:val="bottom"/>
          </w:tcPr>
          <w:p>
            <w:pPr>
              <w:jc w:val="right"/>
              <w:spacing w:after="0"/>
              <w:rPr>
                <w:sz w:val="20"/>
                <w:szCs w:val="20"/>
                <w:color w:val="auto"/>
              </w:rPr>
            </w:pPr>
            <w:r>
              <w:rPr>
                <w:rFonts w:ascii="Arial" w:cs="Arial" w:eastAsia="Arial" w:hAnsi="Arial"/>
                <w:sz w:val="16"/>
                <w:szCs w:val="16"/>
                <w:color w:val="auto"/>
              </w:rPr>
              <w:t>20,890</w:t>
            </w:r>
          </w:p>
        </w:tc>
        <w:tc>
          <w:tcPr>
            <w:tcW w:w="0" w:type="dxa"/>
            <w:vAlign w:val="bottom"/>
          </w:tcPr>
          <w:p>
            <w:pPr>
              <w:spacing w:after="0"/>
              <w:rPr>
                <w:sz w:val="1"/>
                <w:szCs w:val="1"/>
                <w:color w:val="auto"/>
              </w:rPr>
            </w:pPr>
          </w:p>
        </w:tc>
      </w:tr>
      <w:tr>
        <w:trPr>
          <w:trHeight w:val="164"/>
        </w:trPr>
        <w:tc>
          <w:tcPr>
            <w:tcW w:w="3200" w:type="dxa"/>
            <w:vAlign w:val="bottom"/>
          </w:tcPr>
          <w:p>
            <w:pPr>
              <w:ind w:left="180"/>
              <w:spacing w:after="0" w:line="164" w:lineRule="exact"/>
              <w:rPr>
                <w:sz w:val="20"/>
                <w:szCs w:val="20"/>
                <w:color w:val="auto"/>
              </w:rPr>
            </w:pPr>
            <w:r>
              <w:rPr>
                <w:rFonts w:ascii="Arial" w:cs="Arial" w:eastAsia="Arial" w:hAnsi="Arial"/>
                <w:sz w:val="16"/>
                <w:szCs w:val="16"/>
                <w:color w:val="auto"/>
              </w:rPr>
              <w:t>Accumulated other comprehensive</w:t>
            </w:r>
          </w:p>
        </w:tc>
        <w:tc>
          <w:tcPr>
            <w:tcW w:w="1540" w:type="dxa"/>
            <w:vAlign w:val="bottom"/>
            <w:vMerge w:val="restart"/>
          </w:tcPr>
          <w:p>
            <w:pPr>
              <w:jc w:val="right"/>
              <w:ind w:right="139"/>
              <w:spacing w:after="0"/>
              <w:rPr>
                <w:sz w:val="20"/>
                <w:szCs w:val="20"/>
                <w:color w:val="auto"/>
              </w:rPr>
            </w:pPr>
            <w:r>
              <w:rPr>
                <w:rFonts w:ascii="Arial" w:cs="Arial" w:eastAsia="Arial" w:hAnsi="Arial"/>
                <w:sz w:val="16"/>
                <w:szCs w:val="16"/>
                <w:color w:val="auto"/>
              </w:rPr>
              <w:t>264</w:t>
            </w:r>
          </w:p>
        </w:tc>
        <w:tc>
          <w:tcPr>
            <w:tcW w:w="144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14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5"/>
        </w:trPr>
        <w:tc>
          <w:tcPr>
            <w:tcW w:w="32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income</w:t>
            </w:r>
          </w:p>
        </w:tc>
        <w:tc>
          <w:tcPr>
            <w:tcW w:w="154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tcPr>
          <w:p>
            <w:pPr>
              <w:ind w:left="320"/>
              <w:spacing w:after="0"/>
              <w:rPr>
                <w:sz w:val="20"/>
                <w:szCs w:val="20"/>
                <w:color w:val="auto"/>
              </w:rPr>
            </w:pPr>
            <w:r>
              <w:rPr>
                <w:rFonts w:ascii="Arial" w:cs="Arial" w:eastAsia="Arial" w:hAnsi="Arial"/>
                <w:sz w:val="16"/>
                <w:szCs w:val="16"/>
                <w:color w:val="auto"/>
              </w:rPr>
              <w:t>Total stockholders’ equity</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32,053</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3,440</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(1,733)</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33,760</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Non-controlling interest</w:t>
            </w: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206</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equity</w:t>
            </w: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32,259</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3,440</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(1,733)</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33,966</w:t>
            </w:r>
          </w:p>
        </w:tc>
        <w:tc>
          <w:tcPr>
            <w:tcW w:w="0" w:type="dxa"/>
            <w:vAlign w:val="bottom"/>
          </w:tcPr>
          <w:p>
            <w:pPr>
              <w:spacing w:after="0"/>
              <w:rPr>
                <w:sz w:val="1"/>
                <w:szCs w:val="1"/>
                <w:color w:val="auto"/>
              </w:rPr>
            </w:pPr>
          </w:p>
        </w:tc>
      </w:tr>
      <w:tr>
        <w:trPr>
          <w:trHeight w:val="291"/>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76,216</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4,838</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9,646</w:t>
            </w: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(2,596)</w:t>
            </w: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88,104</w:t>
            </w:r>
          </w:p>
        </w:tc>
        <w:tc>
          <w:tcPr>
            <w:tcW w:w="0" w:type="dxa"/>
            <w:vAlign w:val="bottom"/>
          </w:tcPr>
          <w:p>
            <w:pPr>
              <w:spacing w:after="0"/>
              <w:rPr>
                <w:sz w:val="1"/>
                <w:szCs w:val="1"/>
                <w:color w:val="auto"/>
              </w:rPr>
            </w:pPr>
          </w:p>
        </w:tc>
      </w:tr>
      <w:tr>
        <w:trPr>
          <w:trHeight w:val="277"/>
        </w:trPr>
        <w:tc>
          <w:tcPr>
            <w:tcW w:w="9440" w:type="dxa"/>
            <w:vAlign w:val="bottom"/>
            <w:gridSpan w:val="6"/>
          </w:tcPr>
          <w:p>
            <w:pPr>
              <w:ind w:left="1980"/>
              <w:spacing w:after="0"/>
              <w:rPr>
                <w:sz w:val="20"/>
                <w:szCs w:val="20"/>
                <w:color w:val="auto"/>
              </w:rPr>
            </w:pPr>
            <w:r>
              <w:rPr>
                <w:rFonts w:ascii="Arial" w:cs="Arial" w:eastAsia="Arial" w:hAnsi="Arial"/>
                <w:sz w:val="17"/>
                <w:szCs w:val="17"/>
                <w:color w:val="auto"/>
              </w:rPr>
              <w:t>See accompanying notes to unaudited pro forma condensed combined financial statements.</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6"/>
        </w:trPr>
        <w:tc>
          <w:tcPr>
            <w:tcW w:w="3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40" w:type="dxa"/>
            <w:vAlign w:val="bottom"/>
          </w:tcPr>
          <w:p>
            <w:pPr>
              <w:jc w:val="right"/>
              <w:ind w:right="439"/>
              <w:spacing w:after="0"/>
              <w:rPr>
                <w:sz w:val="20"/>
                <w:szCs w:val="20"/>
                <w:color w:val="auto"/>
              </w:rPr>
            </w:pPr>
            <w:r>
              <w:rPr>
                <w:rFonts w:ascii="Arial" w:cs="Arial" w:eastAsia="Arial" w:hAnsi="Arial"/>
                <w:sz w:val="16"/>
                <w:szCs w:val="16"/>
                <w:color w:val="auto"/>
              </w:rPr>
              <w:t>5</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976" w:right="359" w:bottom="1440" w:gutter="0" w:footer="0" w:header="0"/>
        </w:sectPr>
      </w:pPr>
    </w:p>
    <w:bookmarkStart w:id="31" w:name="page32"/>
    <w:bookmarkEnd w:id="31"/>
    <w:p>
      <w:pPr>
        <w:jc w:val="center"/>
        <w:ind w:right="40"/>
        <w:spacing w:after="0"/>
        <w:rPr>
          <w:sz w:val="20"/>
          <w:szCs w:val="20"/>
          <w:color w:val="auto"/>
        </w:rPr>
      </w:pPr>
      <w:r>
        <w:rPr>
          <w:rFonts w:ascii="Arial" w:cs="Arial" w:eastAsia="Arial" w:hAnsi="Arial"/>
          <w:sz w:val="17"/>
          <w:szCs w:val="17"/>
          <w:b w:val="1"/>
          <w:bCs w:val="1"/>
          <w:color w:val="auto"/>
        </w:rPr>
        <w:t>OCCIDENTAL PETROLEUM CORPORATION</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 PRO FORMA STATEMENT OF COMBINED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CrownRock</w:t>
            </w: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Acquisition</w:t>
            </w:r>
          </w:p>
        </w:tc>
        <w:tc>
          <w:tcPr>
            <w:tcW w:w="400" w:type="dxa"/>
            <w:vAlign w:val="bottom"/>
          </w:tcPr>
          <w:p>
            <w:pPr>
              <w:spacing w:after="0"/>
              <w:rPr>
                <w:sz w:val="16"/>
                <w:szCs w:val="16"/>
                <w:color w:val="auto"/>
              </w:rPr>
            </w:pPr>
          </w:p>
        </w:tc>
        <w:tc>
          <w:tcPr>
            <w:tcW w:w="132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rPr>
              <w:t>Occidental</w:t>
            </w:r>
          </w:p>
        </w:tc>
        <w:tc>
          <w:tcPr>
            <w:tcW w:w="0" w:type="dxa"/>
            <w:vAlign w:val="bottom"/>
          </w:tcPr>
          <w:p>
            <w:pPr>
              <w:spacing w:after="0"/>
              <w:rPr>
                <w:sz w:val="1"/>
                <w:szCs w:val="1"/>
                <w:color w:val="auto"/>
              </w:rPr>
            </w:pPr>
          </w:p>
        </w:tc>
      </w:tr>
      <w:tr>
        <w:trPr>
          <w:trHeight w:val="81"/>
        </w:trPr>
        <w:tc>
          <w:tcPr>
            <w:tcW w:w="3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vMerge w:val="restart"/>
          </w:tcPr>
          <w:p>
            <w:pPr>
              <w:jc w:val="right"/>
              <w:ind w:right="359"/>
              <w:spacing w:after="0" w:line="162" w:lineRule="exact"/>
              <w:rPr>
                <w:sz w:val="20"/>
                <w:szCs w:val="20"/>
                <w:color w:val="auto"/>
              </w:rPr>
            </w:pPr>
            <w:r>
              <w:rPr>
                <w:rFonts w:ascii="Arial" w:cs="Arial" w:eastAsia="Arial" w:hAnsi="Arial"/>
                <w:sz w:val="16"/>
                <w:szCs w:val="16"/>
                <w:b w:val="1"/>
                <w:bCs w:val="1"/>
                <w:color w:val="auto"/>
              </w:rPr>
              <w:t>Occidental</w:t>
            </w:r>
          </w:p>
        </w:tc>
        <w:tc>
          <w:tcPr>
            <w:tcW w:w="140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Accounting and</w:t>
            </w:r>
          </w:p>
        </w:tc>
        <w:tc>
          <w:tcPr>
            <w:tcW w:w="40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00" w:type="dxa"/>
            <w:vAlign w:val="bottom"/>
            <w:vMerge w:val="restart"/>
          </w:tcPr>
          <w:p>
            <w:pPr>
              <w:jc w:val="center"/>
              <w:ind w:right="99"/>
              <w:spacing w:after="0" w:line="162" w:lineRule="exact"/>
              <w:rPr>
                <w:sz w:val="20"/>
                <w:szCs w:val="20"/>
                <w:color w:val="auto"/>
              </w:rPr>
            </w:pPr>
            <w:r>
              <w:rPr>
                <w:rFonts w:ascii="Arial" w:cs="Arial" w:eastAsia="Arial" w:hAnsi="Arial"/>
                <w:sz w:val="16"/>
                <w:szCs w:val="16"/>
                <w:b w:val="1"/>
                <w:bCs w:val="1"/>
                <w:color w:val="auto"/>
              </w:rPr>
              <w:t>Historical</w:t>
            </w:r>
          </w:p>
        </w:tc>
        <w:tc>
          <w:tcPr>
            <w:tcW w:w="1360" w:type="dxa"/>
            <w:vAlign w:val="bottom"/>
            <w:vMerge w:val="restart"/>
          </w:tcPr>
          <w:p>
            <w:pPr>
              <w:jc w:val="right"/>
              <w:ind w:right="79"/>
              <w:spacing w:after="0" w:line="162" w:lineRule="exact"/>
              <w:rPr>
                <w:sz w:val="20"/>
                <w:szCs w:val="20"/>
                <w:color w:val="auto"/>
              </w:rPr>
            </w:pPr>
            <w:r>
              <w:rPr>
                <w:rFonts w:ascii="Arial" w:cs="Arial" w:eastAsia="Arial" w:hAnsi="Arial"/>
                <w:sz w:val="16"/>
                <w:szCs w:val="16"/>
                <w:b w:val="1"/>
                <w:bCs w:val="1"/>
                <w:color w:val="auto"/>
              </w:rPr>
              <w:t>Debt Issuance</w:t>
            </w:r>
          </w:p>
        </w:tc>
        <w:tc>
          <w:tcPr>
            <w:tcW w:w="30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vMerge w:val="restart"/>
          </w:tcPr>
          <w:p>
            <w:pPr>
              <w:jc w:val="center"/>
              <w:ind w:right="59"/>
              <w:spacing w:after="0" w:line="162" w:lineRule="exact"/>
              <w:rPr>
                <w:sz w:val="20"/>
                <w:szCs w:val="20"/>
                <w:color w:val="auto"/>
              </w:rPr>
            </w:pPr>
            <w:r>
              <w:rPr>
                <w:rFonts w:ascii="Arial" w:cs="Arial" w:eastAsia="Arial" w:hAnsi="Arial"/>
                <w:sz w:val="16"/>
                <w:szCs w:val="16"/>
                <w:b w:val="1"/>
                <w:bCs w:val="1"/>
                <w:color w:val="auto"/>
              </w:rPr>
              <w:t>Combined Pro</w:t>
            </w:r>
          </w:p>
        </w:tc>
        <w:tc>
          <w:tcPr>
            <w:tcW w:w="0" w:type="dxa"/>
            <w:vAlign w:val="bottom"/>
          </w:tcPr>
          <w:p>
            <w:pPr>
              <w:spacing w:after="0"/>
              <w:rPr>
                <w:sz w:val="1"/>
                <w:szCs w:val="1"/>
                <w:color w:val="auto"/>
              </w:rPr>
            </w:pPr>
          </w:p>
        </w:tc>
      </w:tr>
      <w:tr>
        <w:trPr>
          <w:trHeight w:val="81"/>
        </w:trPr>
        <w:tc>
          <w:tcPr>
            <w:tcW w:w="3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vMerge w:val="restart"/>
          </w:tcPr>
          <w:p>
            <w:pPr>
              <w:jc w:val="right"/>
              <w:ind w:right="399"/>
              <w:spacing w:after="0" w:line="162" w:lineRule="exact"/>
              <w:rPr>
                <w:sz w:val="20"/>
                <w:szCs w:val="20"/>
                <w:color w:val="auto"/>
              </w:rPr>
            </w:pPr>
            <w:r>
              <w:rPr>
                <w:rFonts w:ascii="Arial" w:cs="Arial" w:eastAsia="Arial" w:hAnsi="Arial"/>
                <w:sz w:val="16"/>
                <w:szCs w:val="16"/>
                <w:b w:val="1"/>
                <w:bCs w:val="1"/>
                <w:color w:val="auto"/>
              </w:rPr>
              <w:t>Historical</w:t>
            </w:r>
          </w:p>
        </w:tc>
        <w:tc>
          <w:tcPr>
            <w:tcW w:w="14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Related</w:t>
            </w:r>
          </w:p>
        </w:tc>
        <w:tc>
          <w:tcPr>
            <w:tcW w:w="40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0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(Adjusted)</w:t>
            </w:r>
          </w:p>
        </w:tc>
        <w:tc>
          <w:tcPr>
            <w:tcW w:w="1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rPr>
              <w:t>Forma</w:t>
            </w: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Transactions</w:t>
            </w:r>
          </w:p>
        </w:tc>
        <w:tc>
          <w:tcPr>
            <w:tcW w:w="4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 except per-share amounts</w:t>
            </w: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34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20" w:type="dxa"/>
            <w:vAlign w:val="bottom"/>
          </w:tcPr>
          <w:p>
            <w:pPr>
              <w:ind w:left="20"/>
              <w:spacing w:after="0"/>
              <w:rPr>
                <w:sz w:val="20"/>
                <w:szCs w:val="20"/>
                <w:color w:val="auto"/>
              </w:rPr>
            </w:pPr>
            <w:r>
              <w:rPr>
                <w:rFonts w:ascii="Arial" w:cs="Arial" w:eastAsia="Arial" w:hAnsi="Arial"/>
                <w:sz w:val="16"/>
                <w:szCs w:val="16"/>
                <w:b w:val="1"/>
                <w:bCs w:val="1"/>
                <w:color w:val="auto"/>
              </w:rPr>
              <w:t>Revenues and other income</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20" w:type="dxa"/>
            <w:vAlign w:val="bottom"/>
          </w:tcPr>
          <w:p>
            <w:pPr>
              <w:ind w:left="180"/>
              <w:spacing w:after="0"/>
              <w:rPr>
                <w:sz w:val="20"/>
                <w:szCs w:val="20"/>
                <w:color w:val="auto"/>
              </w:rPr>
            </w:pPr>
            <w:r>
              <w:rPr>
                <w:rFonts w:ascii="Arial" w:cs="Arial" w:eastAsia="Arial" w:hAnsi="Arial"/>
                <w:sz w:val="16"/>
                <w:szCs w:val="16"/>
                <w:color w:val="auto"/>
              </w:rPr>
              <w:t>Net sales</w:t>
            </w:r>
          </w:p>
        </w:tc>
        <w:tc>
          <w:tcPr>
            <w:tcW w:w="220" w:type="dxa"/>
            <w:vAlign w:val="bottom"/>
          </w:tcPr>
          <w:p>
            <w:pPr>
              <w:spacing w:after="0"/>
              <w:rPr>
                <w:sz w:val="18"/>
                <w:szCs w:val="18"/>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12,792</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1,265</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14,057</w:t>
            </w: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6"/>
                <w:szCs w:val="16"/>
                <w:color w:val="auto"/>
              </w:rPr>
              <w:t>Interest, dividends and other income</w:t>
            </w:r>
          </w:p>
        </w:tc>
        <w:tc>
          <w:tcPr>
            <w:tcW w:w="2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70</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64"/>
        </w:trPr>
        <w:tc>
          <w:tcPr>
            <w:tcW w:w="3420" w:type="dxa"/>
            <w:vAlign w:val="bottom"/>
          </w:tcPr>
          <w:p>
            <w:pPr>
              <w:ind w:left="180"/>
              <w:spacing w:after="0" w:line="164" w:lineRule="exact"/>
              <w:rPr>
                <w:sz w:val="20"/>
                <w:szCs w:val="20"/>
                <w:color w:val="auto"/>
              </w:rPr>
            </w:pPr>
            <w:r>
              <w:rPr>
                <w:rFonts w:ascii="Arial" w:cs="Arial" w:eastAsia="Arial" w:hAnsi="Arial"/>
                <w:sz w:val="16"/>
                <w:szCs w:val="16"/>
                <w:color w:val="auto"/>
              </w:rPr>
              <w:t>Gains (losses) on sales of assets and other,</w:t>
            </w:r>
          </w:p>
        </w:tc>
        <w:tc>
          <w:tcPr>
            <w:tcW w:w="220" w:type="dxa"/>
            <w:vAlign w:val="bottom"/>
          </w:tcPr>
          <w:p>
            <w:pPr>
              <w:spacing w:after="0"/>
              <w:rPr>
                <w:sz w:val="14"/>
                <w:szCs w:val="14"/>
                <w:color w:val="auto"/>
              </w:rPr>
            </w:pPr>
          </w:p>
        </w:tc>
        <w:tc>
          <w:tcPr>
            <w:tcW w:w="1360" w:type="dxa"/>
            <w:vAlign w:val="bottom"/>
            <w:vMerge w:val="restart"/>
          </w:tcPr>
          <w:p>
            <w:pPr>
              <w:jc w:val="right"/>
              <w:ind w:right="119"/>
              <w:spacing w:after="0"/>
              <w:rPr>
                <w:sz w:val="20"/>
                <w:szCs w:val="20"/>
                <w:color w:val="auto"/>
              </w:rPr>
            </w:pPr>
            <w:r>
              <w:rPr>
                <w:rFonts w:ascii="Arial" w:cs="Arial" w:eastAsia="Arial" w:hAnsi="Arial"/>
                <w:sz w:val="16"/>
                <w:szCs w:val="16"/>
                <w:color w:val="auto"/>
              </w:rPr>
              <w:t>27</w:t>
            </w:r>
          </w:p>
        </w:tc>
        <w:tc>
          <w:tcPr>
            <w:tcW w:w="140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14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5"/>
        </w:trPr>
        <w:tc>
          <w:tcPr>
            <w:tcW w:w="3420" w:type="dxa"/>
            <w:vAlign w:val="bottom"/>
            <w:tcBorders>
              <w:bottom w:val="single" w:sz="8" w:color="auto"/>
            </w:tcBorders>
          </w:tcPr>
          <w:p>
            <w:pPr>
              <w:jc w:val="right"/>
              <w:ind w:right="2759"/>
              <w:spacing w:after="0"/>
              <w:rPr>
                <w:sz w:val="20"/>
                <w:szCs w:val="20"/>
                <w:color w:val="auto"/>
              </w:rPr>
            </w:pPr>
            <w:r>
              <w:rPr>
                <w:rFonts w:ascii="Arial" w:cs="Arial" w:eastAsia="Arial" w:hAnsi="Arial"/>
                <w:sz w:val="16"/>
                <w:szCs w:val="16"/>
                <w:color w:val="auto"/>
              </w:rPr>
              <w:t>net</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20" w:type="dxa"/>
            <w:vAlign w:val="bottom"/>
            <w:tcBorders>
              <w:bottom w:val="single" w:sz="8" w:color="auto"/>
            </w:tcBorders>
          </w:tcPr>
          <w:p>
            <w:pPr>
              <w:jc w:val="right"/>
              <w:ind w:right="2759"/>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12,889</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1,271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14,160</w:t>
            </w:r>
          </w:p>
        </w:tc>
        <w:tc>
          <w:tcPr>
            <w:tcW w:w="0" w:type="dxa"/>
            <w:vAlign w:val="bottom"/>
          </w:tcPr>
          <w:p>
            <w:pPr>
              <w:spacing w:after="0"/>
              <w:rPr>
                <w:sz w:val="1"/>
                <w:szCs w:val="1"/>
                <w:color w:val="auto"/>
              </w:rPr>
            </w:pPr>
          </w:p>
        </w:tc>
      </w:tr>
      <w:tr>
        <w:trPr>
          <w:trHeight w:val="210"/>
        </w:trPr>
        <w:tc>
          <w:tcPr>
            <w:tcW w:w="3420" w:type="dxa"/>
            <w:vAlign w:val="bottom"/>
          </w:tcPr>
          <w:p>
            <w:pPr>
              <w:ind w:left="20"/>
              <w:spacing w:after="0"/>
              <w:rPr>
                <w:sz w:val="20"/>
                <w:szCs w:val="20"/>
                <w:color w:val="auto"/>
              </w:rPr>
            </w:pPr>
            <w:r>
              <w:rPr>
                <w:rFonts w:ascii="Arial" w:cs="Arial" w:eastAsia="Arial" w:hAnsi="Arial"/>
                <w:sz w:val="16"/>
                <w:szCs w:val="16"/>
                <w:b w:val="1"/>
                <w:bCs w:val="1"/>
                <w:color w:val="auto"/>
              </w:rPr>
              <w:t>Costs and other deductions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20" w:type="dxa"/>
            <w:vAlign w:val="bottom"/>
          </w:tcPr>
          <w:p>
            <w:pPr>
              <w:ind w:left="180"/>
              <w:spacing w:after="0"/>
              <w:rPr>
                <w:sz w:val="20"/>
                <w:szCs w:val="20"/>
                <w:color w:val="auto"/>
              </w:rPr>
            </w:pPr>
            <w:r>
              <w:rPr>
                <w:rFonts w:ascii="Arial" w:cs="Arial" w:eastAsia="Arial" w:hAnsi="Arial"/>
                <w:sz w:val="16"/>
                <w:szCs w:val="16"/>
                <w:color w:val="auto"/>
              </w:rPr>
              <w:t>Oil and gas lease operating expense</w:t>
            </w:r>
          </w:p>
        </w:tc>
        <w:tc>
          <w:tcPr>
            <w:tcW w:w="2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2,340</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216</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2,556</w:t>
            </w: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6"/>
                <w:szCs w:val="16"/>
                <w:color w:val="auto"/>
              </w:rPr>
              <w:t>Transportation and gathering expense</w:t>
            </w:r>
          </w:p>
        </w:tc>
        <w:tc>
          <w:tcPr>
            <w:tcW w:w="2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758</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6"/>
                <w:szCs w:val="16"/>
                <w:color w:val="auto"/>
              </w:rPr>
              <w:t>Chemical and midstream cost of sales</w:t>
            </w:r>
          </w:p>
        </w:tc>
        <w:tc>
          <w:tcPr>
            <w:tcW w:w="2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1,563</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1,563</w:t>
            </w: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6"/>
                <w:szCs w:val="16"/>
                <w:color w:val="auto"/>
              </w:rPr>
              <w:t>Purchased commodities</w:t>
            </w:r>
          </w:p>
        </w:tc>
        <w:tc>
          <w:tcPr>
            <w:tcW w:w="2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175</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518</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6"/>
                <w:szCs w:val="16"/>
                <w:color w:val="auto"/>
              </w:rPr>
              <w:t>Other operating and non-operating expense</w:t>
            </w:r>
          </w:p>
        </w:tc>
        <w:tc>
          <w:tcPr>
            <w:tcW w:w="2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754</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6"/>
                <w:szCs w:val="16"/>
                <w:color w:val="auto"/>
              </w:rPr>
              <w:t>Taxes other than on income</w:t>
            </w:r>
          </w:p>
        </w:tc>
        <w:tc>
          <w:tcPr>
            <w:tcW w:w="2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500</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65</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6"/>
                <w:szCs w:val="16"/>
                <w:color w:val="auto"/>
              </w:rPr>
              <w:t>Depreciation, depletion and amortization</w:t>
            </w:r>
          </w:p>
        </w:tc>
        <w:tc>
          <w:tcPr>
            <w:tcW w:w="2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3,468</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325</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400" w:type="dxa"/>
            <w:vAlign w:val="bottom"/>
          </w:tcPr>
          <w:p>
            <w:pPr>
              <w:ind w:left="40"/>
              <w:spacing w:after="0"/>
              <w:rPr>
                <w:sz w:val="20"/>
                <w:szCs w:val="20"/>
                <w:color w:val="auto"/>
              </w:rPr>
            </w:pPr>
            <w:r>
              <w:rPr>
                <w:rFonts w:ascii="Arial" w:cs="Arial" w:eastAsia="Arial" w:hAnsi="Arial"/>
                <w:sz w:val="12"/>
                <w:szCs w:val="12"/>
                <w:color w:val="auto"/>
              </w:rPr>
              <w:t>(d)</w:t>
            </w:r>
          </w:p>
        </w:tc>
        <w:tc>
          <w:tcPr>
            <w:tcW w:w="1320" w:type="dxa"/>
            <w:vAlign w:val="bottom"/>
          </w:tcPr>
          <w:p>
            <w:pPr>
              <w:jc w:val="right"/>
              <w:spacing w:after="0"/>
              <w:rPr>
                <w:sz w:val="20"/>
                <w:szCs w:val="20"/>
                <w:color w:val="auto"/>
              </w:rPr>
            </w:pPr>
            <w:r>
              <w:rPr>
                <w:rFonts w:ascii="Arial" w:cs="Arial" w:eastAsia="Arial" w:hAnsi="Arial"/>
                <w:sz w:val="16"/>
                <w:szCs w:val="16"/>
                <w:color w:val="auto"/>
              </w:rPr>
              <w:t>3,903</w:t>
            </w: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6"/>
                <w:szCs w:val="16"/>
                <w:color w:val="auto"/>
              </w:rPr>
              <w:t>Acquisition-related costs</w:t>
            </w:r>
          </w:p>
        </w:tc>
        <w:tc>
          <w:tcPr>
            <w:tcW w:w="2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6"/>
                <w:szCs w:val="16"/>
                <w:color w:val="auto"/>
              </w:rPr>
              <w:t>Exploration expense</w:t>
            </w:r>
          </w:p>
        </w:tc>
        <w:tc>
          <w:tcPr>
            <w:tcW w:w="2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149</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7"/>
        </w:trPr>
        <w:tc>
          <w:tcPr>
            <w:tcW w:w="34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Interest and debt expense, net</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536</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(c)</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210"/>
        </w:trPr>
        <w:tc>
          <w:tcPr>
            <w:tcW w:w="3420" w:type="dxa"/>
            <w:vAlign w:val="bottom"/>
            <w:tcBorders>
              <w:bottom w:val="single" w:sz="8" w:color="auto"/>
            </w:tcBorders>
          </w:tcPr>
          <w:p>
            <w:pPr>
              <w:jc w:val="right"/>
              <w:ind w:right="2759"/>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10,787</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654</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11,833</w:t>
            </w:r>
          </w:p>
        </w:tc>
        <w:tc>
          <w:tcPr>
            <w:tcW w:w="0" w:type="dxa"/>
            <w:vAlign w:val="bottom"/>
          </w:tcPr>
          <w:p>
            <w:pPr>
              <w:spacing w:after="0"/>
              <w:rPr>
                <w:sz w:val="1"/>
                <w:szCs w:val="1"/>
                <w:color w:val="auto"/>
              </w:rPr>
            </w:pPr>
          </w:p>
        </w:tc>
      </w:tr>
      <w:tr>
        <w:trPr>
          <w:trHeight w:val="156"/>
        </w:trPr>
        <w:tc>
          <w:tcPr>
            <w:tcW w:w="3420" w:type="dxa"/>
            <w:vAlign w:val="bottom"/>
          </w:tcPr>
          <w:p>
            <w:pPr>
              <w:ind w:left="20"/>
              <w:spacing w:after="0" w:line="156" w:lineRule="exact"/>
              <w:rPr>
                <w:sz w:val="20"/>
                <w:szCs w:val="20"/>
                <w:color w:val="auto"/>
              </w:rPr>
            </w:pPr>
            <w:r>
              <w:rPr>
                <w:rFonts w:ascii="Arial" w:cs="Arial" w:eastAsia="Arial" w:hAnsi="Arial"/>
                <w:sz w:val="16"/>
                <w:szCs w:val="16"/>
                <w:b w:val="1"/>
                <w:bCs w:val="1"/>
                <w:color w:val="auto"/>
              </w:rPr>
              <w:t>Income (loss) before income taxes and</w:t>
            </w:r>
          </w:p>
        </w:tc>
        <w:tc>
          <w:tcPr>
            <w:tcW w:w="220" w:type="dxa"/>
            <w:vAlign w:val="bottom"/>
          </w:tcPr>
          <w:p>
            <w:pPr>
              <w:spacing w:after="0"/>
              <w:rPr>
                <w:sz w:val="13"/>
                <w:szCs w:val="13"/>
                <w:color w:val="auto"/>
              </w:rPr>
            </w:pPr>
          </w:p>
        </w:tc>
        <w:tc>
          <w:tcPr>
            <w:tcW w:w="1360" w:type="dxa"/>
            <w:vAlign w:val="bottom"/>
            <w:vMerge w:val="restart"/>
          </w:tcPr>
          <w:p>
            <w:pPr>
              <w:jc w:val="right"/>
              <w:ind w:right="119"/>
              <w:spacing w:after="0"/>
              <w:rPr>
                <w:sz w:val="20"/>
                <w:szCs w:val="20"/>
                <w:color w:val="auto"/>
              </w:rPr>
            </w:pPr>
            <w:r>
              <w:rPr>
                <w:rFonts w:ascii="Arial" w:cs="Arial" w:eastAsia="Arial" w:hAnsi="Arial"/>
                <w:sz w:val="16"/>
                <w:szCs w:val="16"/>
                <w:color w:val="auto"/>
              </w:rPr>
              <w:t>2,102</w:t>
            </w:r>
          </w:p>
        </w:tc>
        <w:tc>
          <w:tcPr>
            <w:tcW w:w="1400" w:type="dxa"/>
            <w:vAlign w:val="bottom"/>
            <w:vMerge w:val="restart"/>
          </w:tcPr>
          <w:p>
            <w:pPr>
              <w:jc w:val="right"/>
              <w:ind w:right="59"/>
              <w:spacing w:after="0"/>
              <w:rPr>
                <w:sz w:val="20"/>
                <w:szCs w:val="20"/>
                <w:color w:val="auto"/>
              </w:rPr>
            </w:pPr>
            <w:r>
              <w:rPr>
                <w:rFonts w:ascii="Arial" w:cs="Arial" w:eastAsia="Arial" w:hAnsi="Arial"/>
                <w:sz w:val="16"/>
                <w:szCs w:val="16"/>
                <w:color w:val="auto"/>
              </w:rPr>
              <w:t>617</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(306)</w:t>
            </w:r>
          </w:p>
        </w:tc>
        <w:tc>
          <w:tcPr>
            <w:tcW w:w="30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(86)</w:t>
            </w:r>
          </w:p>
        </w:tc>
        <w:tc>
          <w:tcPr>
            <w:tcW w:w="40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2,327</w:t>
            </w:r>
          </w:p>
        </w:tc>
        <w:tc>
          <w:tcPr>
            <w:tcW w:w="0" w:type="dxa"/>
            <w:vAlign w:val="bottom"/>
          </w:tcPr>
          <w:p>
            <w:pPr>
              <w:spacing w:after="0"/>
              <w:rPr>
                <w:sz w:val="1"/>
                <w:szCs w:val="1"/>
                <w:color w:val="auto"/>
              </w:rPr>
            </w:pPr>
          </w:p>
        </w:tc>
      </w:tr>
      <w:tr>
        <w:trPr>
          <w:trHeight w:val="215"/>
        </w:trPr>
        <w:tc>
          <w:tcPr>
            <w:tcW w:w="3420" w:type="dxa"/>
            <w:vAlign w:val="bottom"/>
          </w:tcPr>
          <w:p>
            <w:pPr>
              <w:ind w:left="180"/>
              <w:spacing w:after="0"/>
              <w:rPr>
                <w:sz w:val="20"/>
                <w:szCs w:val="20"/>
                <w:color w:val="auto"/>
              </w:rPr>
            </w:pPr>
            <w:r>
              <w:rPr>
                <w:rFonts w:ascii="Arial" w:cs="Arial" w:eastAsia="Arial" w:hAnsi="Arial"/>
                <w:sz w:val="16"/>
                <w:szCs w:val="16"/>
                <w:b w:val="1"/>
                <w:bCs w:val="1"/>
                <w:color w:val="auto"/>
              </w:rPr>
              <w:t>other items</w:t>
            </w: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6"/>
                <w:szCs w:val="16"/>
                <w:b w:val="1"/>
                <w:bCs w:val="1"/>
                <w:color w:val="auto"/>
              </w:rPr>
              <w:t>Other items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Income from equity investments and other</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543</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10"/>
        </w:trPr>
        <w:tc>
          <w:tcPr>
            <w:tcW w:w="3420" w:type="dxa"/>
            <w:vAlign w:val="bottom"/>
            <w:tcBorders>
              <w:bottom w:val="single" w:sz="8" w:color="auto"/>
            </w:tcBorders>
          </w:tcPr>
          <w:p>
            <w:pPr>
              <w:jc w:val="right"/>
              <w:ind w:right="2759"/>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543</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10"/>
        </w:trPr>
        <w:tc>
          <w:tcPr>
            <w:tcW w:w="342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2,645</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615</w:t>
            </w:r>
          </w:p>
        </w:tc>
        <w:tc>
          <w:tcPr>
            <w:tcW w:w="1360" w:type="dxa"/>
            <w:vAlign w:val="bottom"/>
          </w:tcPr>
          <w:p>
            <w:pPr>
              <w:jc w:val="right"/>
              <w:spacing w:after="0"/>
              <w:rPr>
                <w:sz w:val="20"/>
                <w:szCs w:val="20"/>
                <w:color w:val="auto"/>
              </w:rPr>
            </w:pPr>
            <w:r>
              <w:rPr>
                <w:rFonts w:ascii="Arial" w:cs="Arial" w:eastAsia="Arial" w:hAnsi="Arial"/>
                <w:sz w:val="16"/>
                <w:szCs w:val="16"/>
                <w:color w:val="auto"/>
              </w:rPr>
              <w:t>(306)</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(86)</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2,868</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Income tax expense</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(769)</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w:t>
            </w:r>
          </w:p>
        </w:tc>
        <w:tc>
          <w:tcPr>
            <w:tcW w:w="1860" w:type="dxa"/>
            <w:vAlign w:val="bottom"/>
            <w:tcBorders>
              <w:bottom w:val="single" w:sz="8" w:color="auto"/>
            </w:tcBorders>
            <w:gridSpan w:val="2"/>
          </w:tcPr>
          <w:p>
            <w:pPr>
              <w:ind w:left="1040"/>
              <w:spacing w:after="0"/>
              <w:rPr>
                <w:sz w:val="20"/>
                <w:szCs w:val="20"/>
                <w:color w:val="auto"/>
              </w:rPr>
            </w:pPr>
            <w:r>
              <w:rPr>
                <w:rFonts w:ascii="Arial" w:cs="Arial" w:eastAsia="Arial" w:hAnsi="Arial"/>
                <w:sz w:val="16"/>
                <w:szCs w:val="16"/>
                <w:color w:val="auto"/>
              </w:rPr>
              <w:t xml:space="preserve">(117) </w:t>
            </w:r>
            <w:r>
              <w:rPr>
                <w:rFonts w:ascii="Arial" w:cs="Arial" w:eastAsia="Arial" w:hAnsi="Arial"/>
                <w:sz w:val="11"/>
                <w:szCs w:val="11"/>
                <w:color w:val="auto"/>
              </w:rPr>
              <w:t>(e)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210"/>
        </w:trPr>
        <w:tc>
          <w:tcPr>
            <w:tcW w:w="3420" w:type="dxa"/>
            <w:vAlign w:val="bottom"/>
          </w:tcPr>
          <w:p>
            <w:pPr>
              <w:ind w:left="20"/>
              <w:spacing w:after="0"/>
              <w:rPr>
                <w:sz w:val="20"/>
                <w:szCs w:val="20"/>
                <w:color w:val="auto"/>
              </w:rPr>
            </w:pPr>
            <w:r>
              <w:rPr>
                <w:rFonts w:ascii="Arial" w:cs="Arial" w:eastAsia="Arial" w:hAnsi="Arial"/>
                <w:sz w:val="16"/>
                <w:szCs w:val="16"/>
                <w:b w:val="1"/>
                <w:bCs w:val="1"/>
                <w:color w:val="auto"/>
              </w:rPr>
              <w:t>Income (loss) from continuing operations</w:t>
            </w:r>
          </w:p>
        </w:tc>
        <w:tc>
          <w:tcPr>
            <w:tcW w:w="2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1,876</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615</w:t>
            </w:r>
          </w:p>
        </w:tc>
        <w:tc>
          <w:tcPr>
            <w:tcW w:w="1360" w:type="dxa"/>
            <w:vAlign w:val="bottom"/>
          </w:tcPr>
          <w:p>
            <w:pPr>
              <w:jc w:val="right"/>
              <w:spacing w:after="0"/>
              <w:rPr>
                <w:sz w:val="20"/>
                <w:szCs w:val="20"/>
                <w:color w:val="auto"/>
              </w:rPr>
            </w:pPr>
            <w:r>
              <w:rPr>
                <w:rFonts w:ascii="Arial" w:cs="Arial" w:eastAsia="Arial" w:hAnsi="Arial"/>
                <w:sz w:val="16"/>
                <w:szCs w:val="16"/>
                <w:color w:val="auto"/>
              </w:rPr>
              <w:t>(239)</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(203)</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2,049</w:t>
            </w:r>
          </w:p>
        </w:tc>
        <w:tc>
          <w:tcPr>
            <w:tcW w:w="0" w:type="dxa"/>
            <w:vAlign w:val="bottom"/>
          </w:tcPr>
          <w:p>
            <w:pPr>
              <w:spacing w:after="0"/>
              <w:rPr>
                <w:sz w:val="1"/>
                <w:szCs w:val="1"/>
                <w:color w:val="auto"/>
              </w:rPr>
            </w:pPr>
          </w:p>
        </w:tc>
      </w:tr>
      <w:tr>
        <w:trPr>
          <w:trHeight w:val="163"/>
        </w:trPr>
        <w:tc>
          <w:tcPr>
            <w:tcW w:w="3420" w:type="dxa"/>
            <w:vAlign w:val="bottom"/>
          </w:tcPr>
          <w:p>
            <w:pPr>
              <w:ind w:left="180"/>
              <w:spacing w:after="0" w:line="163" w:lineRule="exact"/>
              <w:rPr>
                <w:sz w:val="20"/>
                <w:szCs w:val="20"/>
                <w:color w:val="auto"/>
              </w:rPr>
            </w:pPr>
            <w:r>
              <w:rPr>
                <w:rFonts w:ascii="Arial" w:cs="Arial" w:eastAsia="Arial" w:hAnsi="Arial"/>
                <w:sz w:val="16"/>
                <w:szCs w:val="16"/>
                <w:color w:val="auto"/>
              </w:rPr>
              <w:t>Less: Net income attributable to</w:t>
            </w:r>
          </w:p>
        </w:tc>
        <w:tc>
          <w:tcPr>
            <w:tcW w:w="220" w:type="dxa"/>
            <w:vAlign w:val="bottom"/>
          </w:tcPr>
          <w:p>
            <w:pPr>
              <w:spacing w:after="0"/>
              <w:rPr>
                <w:sz w:val="14"/>
                <w:szCs w:val="14"/>
                <w:color w:val="auto"/>
              </w:rPr>
            </w:pPr>
          </w:p>
        </w:tc>
        <w:tc>
          <w:tcPr>
            <w:tcW w:w="1360" w:type="dxa"/>
            <w:vAlign w:val="bottom"/>
            <w:vMerge w:val="restart"/>
          </w:tcPr>
          <w:p>
            <w:pPr>
              <w:jc w:val="right"/>
              <w:ind w:right="59"/>
              <w:spacing w:after="0"/>
              <w:rPr>
                <w:sz w:val="20"/>
                <w:szCs w:val="20"/>
                <w:color w:val="auto"/>
              </w:rPr>
            </w:pPr>
            <w:r>
              <w:rPr>
                <w:rFonts w:ascii="Arial" w:cs="Arial" w:eastAsia="Arial" w:hAnsi="Arial"/>
                <w:sz w:val="16"/>
                <w:szCs w:val="16"/>
                <w:color w:val="auto"/>
              </w:rPr>
              <w:t>(8)</w:t>
            </w:r>
          </w:p>
        </w:tc>
        <w:tc>
          <w:tcPr>
            <w:tcW w:w="140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14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3420" w:type="dxa"/>
            <w:vAlign w:val="bottom"/>
          </w:tcPr>
          <w:p>
            <w:pPr>
              <w:ind w:left="360"/>
              <w:spacing w:after="0"/>
              <w:rPr>
                <w:sz w:val="20"/>
                <w:szCs w:val="20"/>
                <w:color w:val="auto"/>
              </w:rPr>
            </w:pPr>
            <w:r>
              <w:rPr>
                <w:rFonts w:ascii="Arial" w:cs="Arial" w:eastAsia="Arial" w:hAnsi="Arial"/>
                <w:sz w:val="16"/>
                <w:szCs w:val="16"/>
                <w:color w:val="auto"/>
              </w:rPr>
              <w:t>noncontrolling interests</w:t>
            </w: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Less: Preferred stock dividends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(340)</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156"/>
        </w:trPr>
        <w:tc>
          <w:tcPr>
            <w:tcW w:w="3420" w:type="dxa"/>
            <w:vAlign w:val="bottom"/>
          </w:tcPr>
          <w:p>
            <w:pPr>
              <w:ind w:left="20"/>
              <w:spacing w:after="0" w:line="157" w:lineRule="exact"/>
              <w:rPr>
                <w:sz w:val="20"/>
                <w:szCs w:val="20"/>
                <w:color w:val="auto"/>
              </w:rPr>
            </w:pPr>
            <w:r>
              <w:rPr>
                <w:rFonts w:ascii="Arial" w:cs="Arial" w:eastAsia="Arial" w:hAnsi="Arial"/>
                <w:sz w:val="16"/>
                <w:szCs w:val="16"/>
                <w:b w:val="1"/>
                <w:bCs w:val="1"/>
                <w:color w:val="auto"/>
              </w:rPr>
              <w:t>Income (loss) from continuing operations</w:t>
            </w:r>
          </w:p>
        </w:tc>
        <w:tc>
          <w:tcPr>
            <w:tcW w:w="220" w:type="dxa"/>
            <w:vAlign w:val="bottom"/>
          </w:tcPr>
          <w:p>
            <w:pPr>
              <w:spacing w:after="0"/>
              <w:rPr>
                <w:sz w:val="13"/>
                <w:szCs w:val="13"/>
                <w:color w:val="auto"/>
              </w:rPr>
            </w:pPr>
          </w:p>
        </w:tc>
        <w:tc>
          <w:tcPr>
            <w:tcW w:w="1360" w:type="dxa"/>
            <w:vAlign w:val="bottom"/>
            <w:vMerge w:val="restart"/>
          </w:tcPr>
          <w:p>
            <w:pPr>
              <w:jc w:val="right"/>
              <w:ind w:right="119"/>
              <w:spacing w:after="0"/>
              <w:rPr>
                <w:sz w:val="20"/>
                <w:szCs w:val="20"/>
                <w:color w:val="auto"/>
              </w:rPr>
            </w:pPr>
            <w:r>
              <w:rPr>
                <w:rFonts w:ascii="Arial" w:cs="Arial" w:eastAsia="Arial" w:hAnsi="Arial"/>
                <w:sz w:val="16"/>
                <w:szCs w:val="16"/>
                <w:color w:val="auto"/>
              </w:rPr>
              <w:t>1,528</w:t>
            </w:r>
          </w:p>
        </w:tc>
        <w:tc>
          <w:tcPr>
            <w:tcW w:w="1400" w:type="dxa"/>
            <w:vAlign w:val="bottom"/>
            <w:vMerge w:val="restart"/>
          </w:tcPr>
          <w:p>
            <w:pPr>
              <w:jc w:val="right"/>
              <w:ind w:right="59"/>
              <w:spacing w:after="0"/>
              <w:rPr>
                <w:sz w:val="20"/>
                <w:szCs w:val="20"/>
                <w:color w:val="auto"/>
              </w:rPr>
            </w:pPr>
            <w:r>
              <w:rPr>
                <w:rFonts w:ascii="Arial" w:cs="Arial" w:eastAsia="Arial" w:hAnsi="Arial"/>
                <w:sz w:val="16"/>
                <w:szCs w:val="16"/>
                <w:color w:val="auto"/>
              </w:rPr>
              <w:t>615</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(239)</w:t>
            </w:r>
          </w:p>
        </w:tc>
        <w:tc>
          <w:tcPr>
            <w:tcW w:w="30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(203)</w:t>
            </w:r>
          </w:p>
        </w:tc>
        <w:tc>
          <w:tcPr>
            <w:tcW w:w="40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1,701</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attributable to Common Stockholders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420" w:type="dxa"/>
            <w:vAlign w:val="bottom"/>
          </w:tcPr>
          <w:p>
            <w:pPr>
              <w:ind w:left="20"/>
              <w:spacing w:after="0" w:line="155" w:lineRule="exact"/>
              <w:rPr>
                <w:sz w:val="20"/>
                <w:szCs w:val="20"/>
                <w:color w:val="auto"/>
              </w:rPr>
            </w:pPr>
            <w:r>
              <w:rPr>
                <w:rFonts w:ascii="Arial" w:cs="Arial" w:eastAsia="Arial" w:hAnsi="Arial"/>
                <w:sz w:val="16"/>
                <w:szCs w:val="16"/>
                <w:color w:val="auto"/>
              </w:rPr>
              <w:t>Net income from continuing operations</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vMerge w:val="restart"/>
          </w:tcPr>
          <w:p>
            <w:pPr>
              <w:jc w:val="right"/>
              <w:ind w:right="119"/>
              <w:spacing w:after="0"/>
              <w:rPr>
                <w:sz w:val="20"/>
                <w:szCs w:val="20"/>
                <w:color w:val="auto"/>
              </w:rPr>
            </w:pPr>
            <w:r>
              <w:rPr>
                <w:rFonts w:ascii="Arial" w:cs="Arial" w:eastAsia="Arial" w:hAnsi="Arial"/>
                <w:sz w:val="16"/>
                <w:szCs w:val="16"/>
                <w:color w:val="auto"/>
              </w:rPr>
              <w:t>1.71</w:t>
            </w:r>
          </w:p>
        </w:tc>
        <w:tc>
          <w:tcPr>
            <w:tcW w:w="1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0" w:type="dxa"/>
            <w:vAlign w:val="bottom"/>
            <w:vMerge w:val="restart"/>
          </w:tcPr>
          <w:p>
            <w:pPr>
              <w:ind w:left="260"/>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15"/>
        </w:trPr>
        <w:tc>
          <w:tcPr>
            <w:tcW w:w="3420" w:type="dxa"/>
            <w:vAlign w:val="bottom"/>
          </w:tcPr>
          <w:p>
            <w:pPr>
              <w:ind w:left="180"/>
              <w:spacing w:after="0"/>
              <w:rPr>
                <w:sz w:val="20"/>
                <w:szCs w:val="20"/>
                <w:color w:val="auto"/>
              </w:rPr>
            </w:pPr>
            <w:r>
              <w:rPr>
                <w:rFonts w:ascii="Arial" w:cs="Arial" w:eastAsia="Arial" w:hAnsi="Arial"/>
                <w:sz w:val="16"/>
                <w:szCs w:val="16"/>
                <w:color w:val="auto"/>
              </w:rPr>
              <w:t>attributable to common stockholders—basic</w:t>
            </w:r>
          </w:p>
        </w:tc>
        <w:tc>
          <w:tcPr>
            <w:tcW w:w="22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20" w:type="dxa"/>
            <w:vAlign w:val="bottom"/>
          </w:tcPr>
          <w:p>
            <w:pPr>
              <w:ind w:left="20"/>
              <w:spacing w:after="0" w:line="164" w:lineRule="exact"/>
              <w:rPr>
                <w:sz w:val="20"/>
                <w:szCs w:val="20"/>
                <w:color w:val="auto"/>
              </w:rPr>
            </w:pPr>
            <w:r>
              <w:rPr>
                <w:rFonts w:ascii="Arial" w:cs="Arial" w:eastAsia="Arial" w:hAnsi="Arial"/>
                <w:sz w:val="16"/>
                <w:szCs w:val="16"/>
                <w:color w:val="auto"/>
              </w:rPr>
              <w:t>Net income from continuing operations</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tcPr>
          <w:p>
            <w:pPr>
              <w:ind w:left="180"/>
              <w:spacing w:after="0" w:line="162" w:lineRule="exact"/>
              <w:rPr>
                <w:sz w:val="20"/>
                <w:szCs w:val="20"/>
                <w:color w:val="auto"/>
              </w:rPr>
            </w:pPr>
            <w:r>
              <w:rPr>
                <w:rFonts w:ascii="Arial" w:cs="Arial" w:eastAsia="Arial" w:hAnsi="Arial"/>
                <w:sz w:val="16"/>
                <w:szCs w:val="16"/>
                <w:color w:val="auto"/>
              </w:rPr>
              <w:t>attributable to common stockholders—</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vMerge w:val="restart"/>
          </w:tcPr>
          <w:p>
            <w:pPr>
              <w:jc w:val="right"/>
              <w:ind w:right="119"/>
              <w:spacing w:after="0"/>
              <w:rPr>
                <w:sz w:val="20"/>
                <w:szCs w:val="20"/>
                <w:color w:val="auto"/>
              </w:rPr>
            </w:pPr>
            <w:r>
              <w:rPr>
                <w:rFonts w:ascii="Arial" w:cs="Arial" w:eastAsia="Arial" w:hAnsi="Arial"/>
                <w:sz w:val="16"/>
                <w:szCs w:val="16"/>
                <w:color w:val="auto"/>
              </w:rPr>
              <w:t>1.59</w:t>
            </w: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vMerge w:val="restart"/>
          </w:tcPr>
          <w:p>
            <w:pPr>
              <w:ind w:left="260"/>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5"/>
        </w:trPr>
        <w:tc>
          <w:tcPr>
            <w:tcW w:w="3420" w:type="dxa"/>
            <w:vAlign w:val="bottom"/>
          </w:tcPr>
          <w:p>
            <w:pPr>
              <w:ind w:left="180"/>
              <w:spacing w:after="0"/>
              <w:rPr>
                <w:sz w:val="20"/>
                <w:szCs w:val="20"/>
                <w:color w:val="auto"/>
              </w:rPr>
            </w:pPr>
            <w:r>
              <w:rPr>
                <w:rFonts w:ascii="Arial" w:cs="Arial" w:eastAsia="Arial" w:hAnsi="Arial"/>
                <w:sz w:val="16"/>
                <w:szCs w:val="16"/>
                <w:color w:val="auto"/>
              </w:rPr>
              <w:t>diluted</w:t>
            </w:r>
          </w:p>
        </w:tc>
        <w:tc>
          <w:tcPr>
            <w:tcW w:w="22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420" w:type="dxa"/>
            <w:vAlign w:val="bottom"/>
          </w:tcPr>
          <w:p>
            <w:pPr>
              <w:ind w:left="20"/>
              <w:spacing w:after="0"/>
              <w:rPr>
                <w:sz w:val="20"/>
                <w:szCs w:val="20"/>
                <w:color w:val="auto"/>
              </w:rPr>
            </w:pPr>
            <w:r>
              <w:rPr>
                <w:rFonts w:ascii="Arial" w:cs="Arial" w:eastAsia="Arial" w:hAnsi="Arial"/>
                <w:sz w:val="16"/>
                <w:szCs w:val="16"/>
                <w:color w:val="auto"/>
              </w:rPr>
              <w:t>Weighted-average number of basic shares</w:t>
            </w:r>
          </w:p>
        </w:tc>
        <w:tc>
          <w:tcPr>
            <w:tcW w:w="220" w:type="dxa"/>
            <w:vAlign w:val="bottom"/>
          </w:tcPr>
          <w:p>
            <w:pPr>
              <w:spacing w:after="0"/>
              <w:rPr>
                <w:sz w:val="23"/>
                <w:szCs w:val="23"/>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889.2</w:t>
            </w:r>
          </w:p>
        </w:tc>
        <w:tc>
          <w:tcPr>
            <w:tcW w:w="1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29.6</w:t>
            </w:r>
          </w:p>
        </w:tc>
        <w:tc>
          <w:tcPr>
            <w:tcW w:w="400" w:type="dxa"/>
            <w:vAlign w:val="bottom"/>
          </w:tcPr>
          <w:p>
            <w:pPr>
              <w:ind w:left="60"/>
              <w:spacing w:after="0"/>
              <w:rPr>
                <w:sz w:val="20"/>
                <w:szCs w:val="20"/>
                <w:color w:val="auto"/>
              </w:rPr>
            </w:pPr>
            <w:r>
              <w:rPr>
                <w:rFonts w:ascii="Arial" w:cs="Arial" w:eastAsia="Arial" w:hAnsi="Arial"/>
                <w:sz w:val="12"/>
                <w:szCs w:val="12"/>
                <w:color w:val="auto"/>
              </w:rPr>
              <w:t>(i)</w:t>
            </w:r>
          </w:p>
        </w:tc>
        <w:tc>
          <w:tcPr>
            <w:tcW w:w="1320" w:type="dxa"/>
            <w:vAlign w:val="bottom"/>
          </w:tcPr>
          <w:p>
            <w:pPr>
              <w:jc w:val="right"/>
              <w:spacing w:after="0"/>
              <w:rPr>
                <w:sz w:val="20"/>
                <w:szCs w:val="20"/>
                <w:color w:val="auto"/>
              </w:rPr>
            </w:pPr>
            <w:r>
              <w:rPr>
                <w:rFonts w:ascii="Arial" w:cs="Arial" w:eastAsia="Arial" w:hAnsi="Arial"/>
                <w:sz w:val="16"/>
                <w:szCs w:val="16"/>
                <w:color w:val="auto"/>
              </w:rPr>
              <w:t>918.8</w:t>
            </w: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6"/>
                <w:szCs w:val="16"/>
                <w:color w:val="auto"/>
              </w:rPr>
              <w:t>Diluted weighted-average common shares</w:t>
            </w:r>
          </w:p>
        </w:tc>
        <w:tc>
          <w:tcPr>
            <w:tcW w:w="220" w:type="dxa"/>
            <w:vAlign w:val="bottom"/>
          </w:tcPr>
          <w:p>
            <w:pPr>
              <w:spacing w:after="0"/>
              <w:rPr>
                <w:sz w:val="18"/>
                <w:szCs w:val="18"/>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954.1</w:t>
            </w: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29.6</w:t>
            </w:r>
          </w:p>
        </w:tc>
        <w:tc>
          <w:tcPr>
            <w:tcW w:w="400" w:type="dxa"/>
            <w:vAlign w:val="bottom"/>
          </w:tcPr>
          <w:p>
            <w:pPr>
              <w:ind w:left="60"/>
              <w:spacing w:after="0"/>
              <w:rPr>
                <w:sz w:val="20"/>
                <w:szCs w:val="20"/>
                <w:color w:val="auto"/>
              </w:rPr>
            </w:pPr>
            <w:r>
              <w:rPr>
                <w:rFonts w:ascii="Arial" w:cs="Arial" w:eastAsia="Arial" w:hAnsi="Arial"/>
                <w:sz w:val="12"/>
                <w:szCs w:val="12"/>
                <w:color w:val="auto"/>
              </w:rPr>
              <w:t>(i)</w:t>
            </w:r>
          </w:p>
        </w:tc>
        <w:tc>
          <w:tcPr>
            <w:tcW w:w="1320" w:type="dxa"/>
            <w:vAlign w:val="bottom"/>
          </w:tcPr>
          <w:p>
            <w:pPr>
              <w:jc w:val="right"/>
              <w:spacing w:after="0"/>
              <w:rPr>
                <w:sz w:val="20"/>
                <w:szCs w:val="20"/>
                <w:color w:val="auto"/>
              </w:rPr>
            </w:pPr>
            <w:r>
              <w:rPr>
                <w:rFonts w:ascii="Arial" w:cs="Arial" w:eastAsia="Arial" w:hAnsi="Arial"/>
                <w:sz w:val="16"/>
                <w:szCs w:val="16"/>
                <w:color w:val="auto"/>
              </w:rPr>
              <w:t>983.7</w:t>
            </w: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pro forma condensed combined financial statements.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981" w:right="339" w:bottom="1440" w:gutter="0" w:footer="0" w:header="0"/>
        </w:sectPr>
      </w:pPr>
    </w:p>
    <w:bookmarkStart w:id="32" w:name="page33"/>
    <w:bookmarkEnd w:id="32"/>
    <w:p>
      <w:pPr>
        <w:jc w:val="center"/>
        <w:ind w:right="40"/>
        <w:spacing w:after="0"/>
        <w:rPr>
          <w:sz w:val="20"/>
          <w:szCs w:val="20"/>
          <w:color w:val="auto"/>
        </w:rPr>
      </w:pPr>
      <w:r>
        <w:rPr>
          <w:rFonts w:ascii="Arial" w:cs="Arial" w:eastAsia="Arial" w:hAnsi="Arial"/>
          <w:sz w:val="17"/>
          <w:szCs w:val="17"/>
          <w:b w:val="1"/>
          <w:bCs w:val="1"/>
          <w:color w:val="auto"/>
        </w:rPr>
        <w:t>OCCIDENTAL PETROLEUM CORPORATION</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 PRO FORMA STATEMENT OF COMBINED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8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CrownRock</w:t>
            </w: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Acquisition</w:t>
            </w:r>
          </w:p>
        </w:tc>
        <w:tc>
          <w:tcPr>
            <w:tcW w:w="400" w:type="dxa"/>
            <w:vAlign w:val="bottom"/>
          </w:tcPr>
          <w:p>
            <w:pPr>
              <w:spacing w:after="0"/>
              <w:rPr>
                <w:sz w:val="16"/>
                <w:szCs w:val="16"/>
                <w:color w:val="auto"/>
              </w:rPr>
            </w:pPr>
          </w:p>
        </w:tc>
        <w:tc>
          <w:tcPr>
            <w:tcW w:w="132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rPr>
              <w:t>Occidental</w:t>
            </w:r>
          </w:p>
        </w:tc>
        <w:tc>
          <w:tcPr>
            <w:tcW w:w="0" w:type="dxa"/>
            <w:vAlign w:val="bottom"/>
          </w:tcPr>
          <w:p>
            <w:pPr>
              <w:spacing w:after="0"/>
              <w:rPr>
                <w:sz w:val="1"/>
                <w:szCs w:val="1"/>
                <w:color w:val="auto"/>
              </w:rPr>
            </w:pPr>
          </w:p>
        </w:tc>
      </w:tr>
      <w:tr>
        <w:trPr>
          <w:trHeight w:val="81"/>
        </w:trPr>
        <w:tc>
          <w:tcPr>
            <w:tcW w:w="3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vMerge w:val="restart"/>
          </w:tcPr>
          <w:p>
            <w:pPr>
              <w:jc w:val="right"/>
              <w:ind w:right="359"/>
              <w:spacing w:after="0" w:line="162" w:lineRule="exact"/>
              <w:rPr>
                <w:sz w:val="20"/>
                <w:szCs w:val="20"/>
                <w:color w:val="auto"/>
              </w:rPr>
            </w:pPr>
            <w:r>
              <w:rPr>
                <w:rFonts w:ascii="Arial" w:cs="Arial" w:eastAsia="Arial" w:hAnsi="Arial"/>
                <w:sz w:val="16"/>
                <w:szCs w:val="16"/>
                <w:b w:val="1"/>
                <w:bCs w:val="1"/>
                <w:color w:val="auto"/>
              </w:rPr>
              <w:t>Occidental</w:t>
            </w:r>
          </w:p>
        </w:tc>
        <w:tc>
          <w:tcPr>
            <w:tcW w:w="138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8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Accounting and</w:t>
            </w:r>
          </w:p>
        </w:tc>
        <w:tc>
          <w:tcPr>
            <w:tcW w:w="40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380" w:type="dxa"/>
            <w:vAlign w:val="bottom"/>
            <w:vMerge w:val="restart"/>
          </w:tcPr>
          <w:p>
            <w:pPr>
              <w:jc w:val="center"/>
              <w:ind w:right="79"/>
              <w:spacing w:after="0" w:line="162" w:lineRule="exact"/>
              <w:rPr>
                <w:sz w:val="20"/>
                <w:szCs w:val="20"/>
                <w:color w:val="auto"/>
              </w:rPr>
            </w:pPr>
            <w:r>
              <w:rPr>
                <w:rFonts w:ascii="Arial" w:cs="Arial" w:eastAsia="Arial" w:hAnsi="Arial"/>
                <w:sz w:val="16"/>
                <w:szCs w:val="16"/>
                <w:b w:val="1"/>
                <w:bCs w:val="1"/>
                <w:color w:val="auto"/>
              </w:rPr>
              <w:t>Historical</w:t>
            </w:r>
          </w:p>
        </w:tc>
        <w:tc>
          <w:tcPr>
            <w:tcW w:w="1380" w:type="dxa"/>
            <w:vAlign w:val="bottom"/>
            <w:vMerge w:val="restart"/>
          </w:tcPr>
          <w:p>
            <w:pPr>
              <w:jc w:val="right"/>
              <w:ind w:right="79"/>
              <w:spacing w:after="0" w:line="162" w:lineRule="exact"/>
              <w:rPr>
                <w:sz w:val="20"/>
                <w:szCs w:val="20"/>
                <w:color w:val="auto"/>
              </w:rPr>
            </w:pPr>
            <w:r>
              <w:rPr>
                <w:rFonts w:ascii="Arial" w:cs="Arial" w:eastAsia="Arial" w:hAnsi="Arial"/>
                <w:sz w:val="16"/>
                <w:szCs w:val="16"/>
                <w:b w:val="1"/>
                <w:bCs w:val="1"/>
                <w:color w:val="auto"/>
              </w:rPr>
              <w:t>Debt Issuance</w:t>
            </w:r>
          </w:p>
        </w:tc>
        <w:tc>
          <w:tcPr>
            <w:tcW w:w="28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vMerge w:val="restart"/>
          </w:tcPr>
          <w:p>
            <w:pPr>
              <w:jc w:val="center"/>
              <w:ind w:right="59"/>
              <w:spacing w:after="0" w:line="162" w:lineRule="exact"/>
              <w:rPr>
                <w:sz w:val="20"/>
                <w:szCs w:val="20"/>
                <w:color w:val="auto"/>
              </w:rPr>
            </w:pPr>
            <w:r>
              <w:rPr>
                <w:rFonts w:ascii="Arial" w:cs="Arial" w:eastAsia="Arial" w:hAnsi="Arial"/>
                <w:sz w:val="16"/>
                <w:szCs w:val="16"/>
                <w:b w:val="1"/>
                <w:bCs w:val="1"/>
                <w:color w:val="auto"/>
              </w:rPr>
              <w:t>Combined Pro</w:t>
            </w:r>
          </w:p>
        </w:tc>
        <w:tc>
          <w:tcPr>
            <w:tcW w:w="0" w:type="dxa"/>
            <w:vAlign w:val="bottom"/>
          </w:tcPr>
          <w:p>
            <w:pPr>
              <w:spacing w:after="0"/>
              <w:rPr>
                <w:sz w:val="1"/>
                <w:szCs w:val="1"/>
                <w:color w:val="auto"/>
              </w:rPr>
            </w:pPr>
          </w:p>
        </w:tc>
      </w:tr>
      <w:tr>
        <w:trPr>
          <w:trHeight w:val="81"/>
        </w:trPr>
        <w:tc>
          <w:tcPr>
            <w:tcW w:w="3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vMerge w:val="restart"/>
          </w:tcPr>
          <w:p>
            <w:pPr>
              <w:jc w:val="right"/>
              <w:ind w:right="399"/>
              <w:spacing w:after="0" w:line="162" w:lineRule="exact"/>
              <w:rPr>
                <w:sz w:val="20"/>
                <w:szCs w:val="20"/>
                <w:color w:val="auto"/>
              </w:rPr>
            </w:pPr>
            <w:r>
              <w:rPr>
                <w:rFonts w:ascii="Arial" w:cs="Arial" w:eastAsia="Arial" w:hAnsi="Arial"/>
                <w:sz w:val="16"/>
                <w:szCs w:val="16"/>
                <w:b w:val="1"/>
                <w:bCs w:val="1"/>
                <w:color w:val="auto"/>
              </w:rPr>
              <w:t>Historical</w:t>
            </w:r>
          </w:p>
        </w:tc>
        <w:tc>
          <w:tcPr>
            <w:tcW w:w="13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48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Related</w:t>
            </w:r>
          </w:p>
        </w:tc>
        <w:tc>
          <w:tcPr>
            <w:tcW w:w="40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3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(Adjusted)</w:t>
            </w:r>
          </w:p>
        </w:tc>
        <w:tc>
          <w:tcPr>
            <w:tcW w:w="1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rPr>
              <w:t>Forma</w:t>
            </w: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Transactions</w:t>
            </w:r>
          </w:p>
        </w:tc>
        <w:tc>
          <w:tcPr>
            <w:tcW w:w="4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 except per-share amounts</w:t>
            </w: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34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20" w:type="dxa"/>
            <w:vAlign w:val="bottom"/>
          </w:tcPr>
          <w:p>
            <w:pPr>
              <w:ind w:left="20"/>
              <w:spacing w:after="0"/>
              <w:rPr>
                <w:sz w:val="20"/>
                <w:szCs w:val="20"/>
                <w:color w:val="auto"/>
              </w:rPr>
            </w:pPr>
            <w:r>
              <w:rPr>
                <w:rFonts w:ascii="Arial" w:cs="Arial" w:eastAsia="Arial" w:hAnsi="Arial"/>
                <w:sz w:val="16"/>
                <w:szCs w:val="16"/>
                <w:b w:val="1"/>
                <w:bCs w:val="1"/>
                <w:color w:val="auto"/>
              </w:rPr>
              <w:t>Revenues and other income</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20" w:type="dxa"/>
            <w:vAlign w:val="bottom"/>
          </w:tcPr>
          <w:p>
            <w:pPr>
              <w:ind w:left="180"/>
              <w:spacing w:after="0"/>
              <w:rPr>
                <w:sz w:val="20"/>
                <w:szCs w:val="20"/>
                <w:color w:val="auto"/>
              </w:rPr>
            </w:pPr>
            <w:r>
              <w:rPr>
                <w:rFonts w:ascii="Arial" w:cs="Arial" w:eastAsia="Arial" w:hAnsi="Arial"/>
                <w:sz w:val="16"/>
                <w:szCs w:val="16"/>
                <w:color w:val="auto"/>
              </w:rPr>
              <w:t>Net sales</w:t>
            </w:r>
          </w:p>
        </w:tc>
        <w:tc>
          <w:tcPr>
            <w:tcW w:w="2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28,257</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2,521</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ind w:left="60"/>
              <w:spacing w:after="0"/>
              <w:rPr>
                <w:sz w:val="20"/>
                <w:szCs w:val="20"/>
                <w:color w:val="auto"/>
              </w:rPr>
            </w:pPr>
            <w:r>
              <w:rPr>
                <w:rFonts w:ascii="Arial" w:cs="Arial" w:eastAsia="Arial" w:hAnsi="Arial"/>
                <w:sz w:val="12"/>
                <w:szCs w:val="12"/>
                <w:color w:val="auto"/>
              </w:rPr>
              <w:t>(f)</w:t>
            </w:r>
          </w:p>
        </w:tc>
        <w:tc>
          <w:tcPr>
            <w:tcW w:w="1320" w:type="dxa"/>
            <w:vAlign w:val="bottom"/>
          </w:tcPr>
          <w:p>
            <w:pPr>
              <w:jc w:val="right"/>
              <w:spacing w:after="0"/>
              <w:rPr>
                <w:sz w:val="20"/>
                <w:szCs w:val="20"/>
                <w:color w:val="auto"/>
              </w:rPr>
            </w:pPr>
            <w:r>
              <w:rPr>
                <w:rFonts w:ascii="Arial" w:cs="Arial" w:eastAsia="Arial" w:hAnsi="Arial"/>
                <w:sz w:val="16"/>
                <w:szCs w:val="16"/>
                <w:color w:val="auto"/>
              </w:rPr>
              <w:t>30,777</w:t>
            </w: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6"/>
                <w:szCs w:val="16"/>
                <w:color w:val="auto"/>
              </w:rPr>
              <w:t>Interest, dividends and other income</w:t>
            </w:r>
          </w:p>
        </w:tc>
        <w:tc>
          <w:tcPr>
            <w:tcW w:w="2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139</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ind w:left="60"/>
              <w:spacing w:after="0"/>
              <w:rPr>
                <w:sz w:val="20"/>
                <w:szCs w:val="20"/>
                <w:color w:val="auto"/>
              </w:rPr>
            </w:pPr>
            <w:r>
              <w:rPr>
                <w:rFonts w:ascii="Arial" w:cs="Arial" w:eastAsia="Arial" w:hAnsi="Arial"/>
                <w:sz w:val="12"/>
                <w:szCs w:val="12"/>
                <w:color w:val="auto"/>
              </w:rPr>
              <w:t>(f)</w:t>
            </w:r>
          </w:p>
        </w:tc>
        <w:tc>
          <w:tcPr>
            <w:tcW w:w="1320" w:type="dxa"/>
            <w:vAlign w:val="bottom"/>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164"/>
        </w:trPr>
        <w:tc>
          <w:tcPr>
            <w:tcW w:w="3420" w:type="dxa"/>
            <w:vAlign w:val="bottom"/>
          </w:tcPr>
          <w:p>
            <w:pPr>
              <w:ind w:left="180"/>
              <w:spacing w:after="0" w:line="164" w:lineRule="exact"/>
              <w:rPr>
                <w:sz w:val="20"/>
                <w:szCs w:val="20"/>
                <w:color w:val="auto"/>
              </w:rPr>
            </w:pPr>
            <w:r>
              <w:rPr>
                <w:rFonts w:ascii="Arial" w:cs="Arial" w:eastAsia="Arial" w:hAnsi="Arial"/>
                <w:sz w:val="16"/>
                <w:szCs w:val="16"/>
                <w:color w:val="auto"/>
              </w:rPr>
              <w:t>Gains (losses) on sales of assets and other,</w:t>
            </w:r>
          </w:p>
        </w:tc>
        <w:tc>
          <w:tcPr>
            <w:tcW w:w="220" w:type="dxa"/>
            <w:vAlign w:val="bottom"/>
          </w:tcPr>
          <w:p>
            <w:pPr>
              <w:spacing w:after="0"/>
              <w:rPr>
                <w:sz w:val="14"/>
                <w:szCs w:val="14"/>
                <w:color w:val="auto"/>
              </w:rPr>
            </w:pPr>
          </w:p>
        </w:tc>
        <w:tc>
          <w:tcPr>
            <w:tcW w:w="1360" w:type="dxa"/>
            <w:vAlign w:val="bottom"/>
            <w:vMerge w:val="restart"/>
          </w:tcPr>
          <w:p>
            <w:pPr>
              <w:jc w:val="right"/>
              <w:ind w:right="119"/>
              <w:spacing w:after="0"/>
              <w:rPr>
                <w:sz w:val="20"/>
                <w:szCs w:val="20"/>
                <w:color w:val="auto"/>
              </w:rPr>
            </w:pPr>
            <w:r>
              <w:rPr>
                <w:rFonts w:ascii="Arial" w:cs="Arial" w:eastAsia="Arial" w:hAnsi="Arial"/>
                <w:sz w:val="16"/>
                <w:szCs w:val="16"/>
                <w:color w:val="auto"/>
              </w:rPr>
              <w:t>522</w:t>
            </w:r>
          </w:p>
        </w:tc>
        <w:tc>
          <w:tcPr>
            <w:tcW w:w="1380" w:type="dxa"/>
            <w:vAlign w:val="bottom"/>
            <w:vMerge w:val="restart"/>
          </w:tcPr>
          <w:p>
            <w:pPr>
              <w:jc w:val="right"/>
              <w:ind w:right="39"/>
              <w:spacing w:after="0"/>
              <w:rPr>
                <w:sz w:val="20"/>
                <w:szCs w:val="20"/>
                <w:color w:val="auto"/>
              </w:rPr>
            </w:pPr>
            <w:r>
              <w:rPr>
                <w:rFonts w:ascii="Arial" w:cs="Arial" w:eastAsia="Arial" w:hAnsi="Arial"/>
                <w:sz w:val="16"/>
                <w:szCs w:val="16"/>
                <w:color w:val="auto"/>
              </w:rPr>
              <w:t>2</w:t>
            </w: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4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5"/>
        </w:trPr>
        <w:tc>
          <w:tcPr>
            <w:tcW w:w="3420" w:type="dxa"/>
            <w:vAlign w:val="bottom"/>
            <w:tcBorders>
              <w:bottom w:val="single" w:sz="8" w:color="auto"/>
            </w:tcBorders>
          </w:tcPr>
          <w:p>
            <w:pPr>
              <w:jc w:val="right"/>
              <w:ind w:right="2759"/>
              <w:spacing w:after="0"/>
              <w:rPr>
                <w:sz w:val="20"/>
                <w:szCs w:val="20"/>
                <w:color w:val="auto"/>
              </w:rPr>
            </w:pPr>
            <w:r>
              <w:rPr>
                <w:rFonts w:ascii="Arial" w:cs="Arial" w:eastAsia="Arial" w:hAnsi="Arial"/>
                <w:sz w:val="16"/>
                <w:szCs w:val="16"/>
                <w:color w:val="auto"/>
              </w:rPr>
              <w:t>net</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(f)</w:t>
            </w: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20" w:type="dxa"/>
            <w:vAlign w:val="bottom"/>
            <w:tcBorders>
              <w:bottom w:val="single" w:sz="8" w:color="auto"/>
            </w:tcBorders>
          </w:tcPr>
          <w:p>
            <w:pPr>
              <w:jc w:val="right"/>
              <w:ind w:right="2759"/>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28,918</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2,528</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31,420</w:t>
            </w:r>
          </w:p>
        </w:tc>
        <w:tc>
          <w:tcPr>
            <w:tcW w:w="0" w:type="dxa"/>
            <w:vAlign w:val="bottom"/>
          </w:tcPr>
          <w:p>
            <w:pPr>
              <w:spacing w:after="0"/>
              <w:rPr>
                <w:sz w:val="1"/>
                <w:szCs w:val="1"/>
                <w:color w:val="auto"/>
              </w:rPr>
            </w:pPr>
          </w:p>
        </w:tc>
      </w:tr>
      <w:tr>
        <w:trPr>
          <w:trHeight w:val="210"/>
        </w:trPr>
        <w:tc>
          <w:tcPr>
            <w:tcW w:w="3420" w:type="dxa"/>
            <w:vAlign w:val="bottom"/>
          </w:tcPr>
          <w:p>
            <w:pPr>
              <w:ind w:left="20"/>
              <w:spacing w:after="0"/>
              <w:rPr>
                <w:sz w:val="20"/>
                <w:szCs w:val="20"/>
                <w:color w:val="auto"/>
              </w:rPr>
            </w:pPr>
            <w:r>
              <w:rPr>
                <w:rFonts w:ascii="Arial" w:cs="Arial" w:eastAsia="Arial" w:hAnsi="Arial"/>
                <w:sz w:val="16"/>
                <w:szCs w:val="16"/>
                <w:b w:val="1"/>
                <w:bCs w:val="1"/>
                <w:color w:val="auto"/>
              </w:rPr>
              <w:t>Costs and other deductions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20" w:type="dxa"/>
            <w:vAlign w:val="bottom"/>
          </w:tcPr>
          <w:p>
            <w:pPr>
              <w:ind w:left="180"/>
              <w:spacing w:after="0"/>
              <w:rPr>
                <w:sz w:val="20"/>
                <w:szCs w:val="20"/>
                <w:color w:val="auto"/>
              </w:rPr>
            </w:pPr>
            <w:r>
              <w:rPr>
                <w:rFonts w:ascii="Arial" w:cs="Arial" w:eastAsia="Arial" w:hAnsi="Arial"/>
                <w:sz w:val="16"/>
                <w:szCs w:val="16"/>
                <w:color w:val="auto"/>
              </w:rPr>
              <w:t>Oil and gas lease operating expense</w:t>
            </w:r>
          </w:p>
        </w:tc>
        <w:tc>
          <w:tcPr>
            <w:tcW w:w="2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4,677</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386</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w:t>
            </w:r>
          </w:p>
        </w:tc>
        <w:tc>
          <w:tcPr>
            <w:tcW w:w="400" w:type="dxa"/>
            <w:vAlign w:val="bottom"/>
          </w:tcPr>
          <w:p>
            <w:pPr>
              <w:ind w:left="60"/>
              <w:spacing w:after="0"/>
              <w:rPr>
                <w:sz w:val="20"/>
                <w:szCs w:val="20"/>
                <w:color w:val="auto"/>
              </w:rPr>
            </w:pPr>
            <w:r>
              <w:rPr>
                <w:rFonts w:ascii="Arial" w:cs="Arial" w:eastAsia="Arial" w:hAnsi="Arial"/>
                <w:sz w:val="12"/>
                <w:szCs w:val="12"/>
                <w:color w:val="auto"/>
              </w:rPr>
              <w:t>(f)</w:t>
            </w:r>
          </w:p>
        </w:tc>
        <w:tc>
          <w:tcPr>
            <w:tcW w:w="1320" w:type="dxa"/>
            <w:vAlign w:val="bottom"/>
          </w:tcPr>
          <w:p>
            <w:pPr>
              <w:jc w:val="right"/>
              <w:spacing w:after="0"/>
              <w:rPr>
                <w:sz w:val="20"/>
                <w:szCs w:val="20"/>
                <w:color w:val="auto"/>
              </w:rPr>
            </w:pPr>
            <w:r>
              <w:rPr>
                <w:rFonts w:ascii="Arial" w:cs="Arial" w:eastAsia="Arial" w:hAnsi="Arial"/>
                <w:sz w:val="16"/>
                <w:szCs w:val="16"/>
                <w:color w:val="auto"/>
              </w:rPr>
              <w:t>5,061</w:t>
            </w: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6"/>
                <w:szCs w:val="16"/>
                <w:color w:val="auto"/>
              </w:rPr>
              <w:t>Transportation and gathering expense</w:t>
            </w:r>
          </w:p>
        </w:tc>
        <w:tc>
          <w:tcPr>
            <w:tcW w:w="2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1,481</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1,481</w:t>
            </w: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6"/>
                <w:szCs w:val="16"/>
                <w:color w:val="auto"/>
              </w:rPr>
              <w:t>Chemical and midstream cost of sales</w:t>
            </w:r>
          </w:p>
        </w:tc>
        <w:tc>
          <w:tcPr>
            <w:tcW w:w="2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3,116</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3,116</w:t>
            </w: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6"/>
                <w:szCs w:val="16"/>
                <w:color w:val="auto"/>
              </w:rPr>
              <w:t>Purchased commodities</w:t>
            </w:r>
          </w:p>
        </w:tc>
        <w:tc>
          <w:tcPr>
            <w:tcW w:w="2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2,009</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2,009</w:t>
            </w: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1,083</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ind w:left="60"/>
              <w:spacing w:after="0"/>
              <w:rPr>
                <w:sz w:val="20"/>
                <w:szCs w:val="20"/>
                <w:color w:val="auto"/>
              </w:rPr>
            </w:pPr>
            <w:r>
              <w:rPr>
                <w:rFonts w:ascii="Arial" w:cs="Arial" w:eastAsia="Arial" w:hAnsi="Arial"/>
                <w:sz w:val="12"/>
                <w:szCs w:val="12"/>
                <w:color w:val="auto"/>
              </w:rPr>
              <w:t>(f)</w:t>
            </w:r>
          </w:p>
        </w:tc>
        <w:tc>
          <w:tcPr>
            <w:tcW w:w="1320" w:type="dxa"/>
            <w:vAlign w:val="bottom"/>
          </w:tcPr>
          <w:p>
            <w:pPr>
              <w:jc w:val="right"/>
              <w:spacing w:after="0"/>
              <w:rPr>
                <w:sz w:val="20"/>
                <w:szCs w:val="20"/>
                <w:color w:val="auto"/>
              </w:rPr>
            </w:pPr>
            <w:r>
              <w:rPr>
                <w:rFonts w:ascii="Arial" w:cs="Arial" w:eastAsia="Arial" w:hAnsi="Arial"/>
                <w:sz w:val="16"/>
                <w:szCs w:val="16"/>
                <w:color w:val="auto"/>
              </w:rPr>
              <w:t>1,106</w:t>
            </w: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6"/>
                <w:szCs w:val="16"/>
                <w:color w:val="auto"/>
              </w:rPr>
              <w:t>Other operating and non-operating expense</w:t>
            </w:r>
          </w:p>
        </w:tc>
        <w:tc>
          <w:tcPr>
            <w:tcW w:w="2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1,084</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1,084</w:t>
            </w: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6"/>
                <w:szCs w:val="16"/>
                <w:color w:val="auto"/>
              </w:rPr>
              <w:t>Taxes other than on income</w:t>
            </w:r>
          </w:p>
        </w:tc>
        <w:tc>
          <w:tcPr>
            <w:tcW w:w="2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1,087</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139</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1,226</w:t>
            </w:r>
          </w:p>
        </w:tc>
        <w:tc>
          <w:tcPr>
            <w:tcW w:w="0" w:type="dxa"/>
            <w:vAlign w:val="bottom"/>
          </w:tcPr>
          <w:p>
            <w:pPr>
              <w:spacing w:after="0"/>
              <w:rPr>
                <w:sz w:val="1"/>
                <w:szCs w:val="1"/>
                <w:color w:val="auto"/>
              </w:rPr>
            </w:pPr>
          </w:p>
        </w:tc>
      </w:tr>
      <w:tr>
        <w:trPr>
          <w:trHeight w:val="285"/>
        </w:trPr>
        <w:tc>
          <w:tcPr>
            <w:tcW w:w="3420" w:type="dxa"/>
            <w:vAlign w:val="bottom"/>
          </w:tcPr>
          <w:p>
            <w:pPr>
              <w:ind w:left="180"/>
              <w:spacing w:after="0"/>
              <w:rPr>
                <w:sz w:val="20"/>
                <w:szCs w:val="20"/>
                <w:color w:val="auto"/>
              </w:rPr>
            </w:pPr>
            <w:r>
              <w:rPr>
                <w:rFonts w:ascii="Arial" w:cs="Arial" w:eastAsia="Arial" w:hAnsi="Arial"/>
                <w:sz w:val="16"/>
                <w:szCs w:val="16"/>
                <w:color w:val="auto"/>
              </w:rPr>
              <w:t>Depreciation, depletion and amortization</w:t>
            </w:r>
          </w:p>
        </w:tc>
        <w:tc>
          <w:tcPr>
            <w:tcW w:w="220" w:type="dxa"/>
            <w:vAlign w:val="bottom"/>
          </w:tcPr>
          <w:p>
            <w:pPr>
              <w:spacing w:after="0"/>
              <w:rPr>
                <w:sz w:val="24"/>
                <w:szCs w:val="24"/>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6,865</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635</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400" w:type="dxa"/>
            <w:vAlign w:val="bottom"/>
          </w:tcPr>
          <w:p>
            <w:pPr>
              <w:ind w:left="40"/>
              <w:spacing w:after="0"/>
              <w:rPr>
                <w:sz w:val="20"/>
                <w:szCs w:val="20"/>
                <w:color w:val="auto"/>
              </w:rPr>
            </w:pPr>
            <w:r>
              <w:rPr>
                <w:rFonts w:ascii="Arial" w:cs="Arial" w:eastAsia="Arial" w:hAnsi="Arial"/>
                <w:sz w:val="12"/>
                <w:szCs w:val="12"/>
                <w:color w:val="auto"/>
              </w:rPr>
              <w:t>(d)</w:t>
            </w:r>
            <w:r>
              <w:rPr>
                <w:rFonts w:ascii="Arial" w:cs="Arial" w:eastAsia="Arial" w:hAnsi="Arial"/>
                <w:sz w:val="23"/>
                <w:szCs w:val="23"/>
                <w:color w:val="auto"/>
                <w:vertAlign w:val="subscript"/>
              </w:rPr>
              <w:t>(f)</w:t>
            </w:r>
          </w:p>
        </w:tc>
        <w:tc>
          <w:tcPr>
            <w:tcW w:w="1320" w:type="dxa"/>
            <w:vAlign w:val="bottom"/>
          </w:tcPr>
          <w:p>
            <w:pPr>
              <w:jc w:val="right"/>
              <w:spacing w:after="0"/>
              <w:rPr>
                <w:sz w:val="20"/>
                <w:szCs w:val="20"/>
                <w:color w:val="auto"/>
              </w:rPr>
            </w:pPr>
            <w:r>
              <w:rPr>
                <w:rFonts w:ascii="Arial" w:cs="Arial" w:eastAsia="Arial" w:hAnsi="Arial"/>
                <w:sz w:val="16"/>
                <w:szCs w:val="16"/>
                <w:color w:val="auto"/>
              </w:rPr>
              <w:t>7,687</w:t>
            </w:r>
          </w:p>
        </w:tc>
        <w:tc>
          <w:tcPr>
            <w:tcW w:w="0" w:type="dxa"/>
            <w:vAlign w:val="bottom"/>
          </w:tcPr>
          <w:p>
            <w:pPr>
              <w:spacing w:after="0"/>
              <w:rPr>
                <w:sz w:val="1"/>
                <w:szCs w:val="1"/>
                <w:color w:val="auto"/>
              </w:rPr>
            </w:pPr>
          </w:p>
        </w:tc>
      </w:tr>
      <w:tr>
        <w:trPr>
          <w:trHeight w:val="215"/>
        </w:trPr>
        <w:tc>
          <w:tcPr>
            <w:tcW w:w="3420" w:type="dxa"/>
            <w:vAlign w:val="bottom"/>
          </w:tcPr>
          <w:p>
            <w:pPr>
              <w:ind w:left="180"/>
              <w:spacing w:after="0"/>
              <w:rPr>
                <w:sz w:val="20"/>
                <w:szCs w:val="20"/>
                <w:color w:val="auto"/>
              </w:rPr>
            </w:pPr>
            <w:r>
              <w:rPr>
                <w:rFonts w:ascii="Arial" w:cs="Arial" w:eastAsia="Arial" w:hAnsi="Arial"/>
                <w:sz w:val="16"/>
                <w:szCs w:val="16"/>
                <w:color w:val="auto"/>
              </w:rPr>
              <w:t>Asset impairments and other charges</w:t>
            </w:r>
          </w:p>
        </w:tc>
        <w:tc>
          <w:tcPr>
            <w:tcW w:w="2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209</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6"/>
                <w:szCs w:val="16"/>
                <w:color w:val="auto"/>
              </w:rPr>
              <w:t>Acquisition-related costs</w:t>
            </w:r>
          </w:p>
        </w:tc>
        <w:tc>
          <w:tcPr>
            <w:tcW w:w="2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6"/>
                <w:szCs w:val="16"/>
                <w:color w:val="auto"/>
              </w:rPr>
              <w:t>Exploration expense</w:t>
            </w:r>
          </w:p>
        </w:tc>
        <w:tc>
          <w:tcPr>
            <w:tcW w:w="2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441</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w:t>
            </w:r>
          </w:p>
        </w:tc>
        <w:tc>
          <w:tcPr>
            <w:tcW w:w="400" w:type="dxa"/>
            <w:vAlign w:val="bottom"/>
          </w:tcPr>
          <w:p>
            <w:pPr>
              <w:ind w:left="60"/>
              <w:spacing w:after="0"/>
              <w:rPr>
                <w:sz w:val="20"/>
                <w:szCs w:val="20"/>
                <w:color w:val="auto"/>
              </w:rPr>
            </w:pPr>
            <w:r>
              <w:rPr>
                <w:rFonts w:ascii="Arial" w:cs="Arial" w:eastAsia="Arial" w:hAnsi="Arial"/>
                <w:sz w:val="12"/>
                <w:szCs w:val="12"/>
                <w:color w:val="auto"/>
              </w:rPr>
              <w:t>(f)</w:t>
            </w:r>
          </w:p>
        </w:tc>
        <w:tc>
          <w:tcPr>
            <w:tcW w:w="1320" w:type="dxa"/>
            <w:vAlign w:val="bottom"/>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17"/>
        </w:trPr>
        <w:tc>
          <w:tcPr>
            <w:tcW w:w="34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Interest and debt expense, net</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945</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(c)</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(c)</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1,591</w:t>
            </w:r>
          </w:p>
        </w:tc>
        <w:tc>
          <w:tcPr>
            <w:tcW w:w="0" w:type="dxa"/>
            <w:vAlign w:val="bottom"/>
          </w:tcPr>
          <w:p>
            <w:pPr>
              <w:spacing w:after="0"/>
              <w:rPr>
                <w:sz w:val="1"/>
                <w:szCs w:val="1"/>
                <w:color w:val="auto"/>
              </w:rPr>
            </w:pPr>
          </w:p>
        </w:tc>
      </w:tr>
      <w:tr>
        <w:trPr>
          <w:trHeight w:val="210"/>
        </w:trPr>
        <w:tc>
          <w:tcPr>
            <w:tcW w:w="3420" w:type="dxa"/>
            <w:vAlign w:val="bottom"/>
            <w:tcBorders>
              <w:bottom w:val="single" w:sz="8" w:color="auto"/>
            </w:tcBorders>
          </w:tcPr>
          <w:p>
            <w:pPr>
              <w:jc w:val="right"/>
              <w:ind w:right="2759"/>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23,023</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1,272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25,038</w:t>
            </w:r>
          </w:p>
        </w:tc>
        <w:tc>
          <w:tcPr>
            <w:tcW w:w="0" w:type="dxa"/>
            <w:vAlign w:val="bottom"/>
          </w:tcPr>
          <w:p>
            <w:pPr>
              <w:spacing w:after="0"/>
              <w:rPr>
                <w:sz w:val="1"/>
                <w:szCs w:val="1"/>
                <w:color w:val="auto"/>
              </w:rPr>
            </w:pPr>
          </w:p>
        </w:tc>
      </w:tr>
      <w:tr>
        <w:trPr>
          <w:trHeight w:val="156"/>
        </w:trPr>
        <w:tc>
          <w:tcPr>
            <w:tcW w:w="3420" w:type="dxa"/>
            <w:vAlign w:val="bottom"/>
          </w:tcPr>
          <w:p>
            <w:pPr>
              <w:ind w:left="20"/>
              <w:spacing w:after="0" w:line="156" w:lineRule="exact"/>
              <w:rPr>
                <w:sz w:val="20"/>
                <w:szCs w:val="20"/>
                <w:color w:val="auto"/>
              </w:rPr>
            </w:pPr>
            <w:r>
              <w:rPr>
                <w:rFonts w:ascii="Arial" w:cs="Arial" w:eastAsia="Arial" w:hAnsi="Arial"/>
                <w:sz w:val="16"/>
                <w:szCs w:val="16"/>
                <w:b w:val="1"/>
                <w:bCs w:val="1"/>
                <w:color w:val="auto"/>
              </w:rPr>
              <w:t>Income (loss) before income taxes and</w:t>
            </w:r>
          </w:p>
        </w:tc>
        <w:tc>
          <w:tcPr>
            <w:tcW w:w="220" w:type="dxa"/>
            <w:vAlign w:val="bottom"/>
          </w:tcPr>
          <w:p>
            <w:pPr>
              <w:spacing w:after="0"/>
              <w:rPr>
                <w:sz w:val="13"/>
                <w:szCs w:val="13"/>
                <w:color w:val="auto"/>
              </w:rPr>
            </w:pPr>
          </w:p>
        </w:tc>
        <w:tc>
          <w:tcPr>
            <w:tcW w:w="1360" w:type="dxa"/>
            <w:vAlign w:val="bottom"/>
            <w:vMerge w:val="restart"/>
          </w:tcPr>
          <w:p>
            <w:pPr>
              <w:jc w:val="right"/>
              <w:ind w:right="119"/>
              <w:spacing w:after="0"/>
              <w:rPr>
                <w:sz w:val="20"/>
                <w:szCs w:val="20"/>
                <w:color w:val="auto"/>
              </w:rPr>
            </w:pPr>
            <w:r>
              <w:rPr>
                <w:rFonts w:ascii="Arial" w:cs="Arial" w:eastAsia="Arial" w:hAnsi="Arial"/>
                <w:sz w:val="16"/>
                <w:szCs w:val="16"/>
                <w:color w:val="auto"/>
              </w:rPr>
              <w:t>5,895</w:t>
            </w:r>
          </w:p>
        </w:tc>
        <w:tc>
          <w:tcPr>
            <w:tcW w:w="1380" w:type="dxa"/>
            <w:vAlign w:val="bottom"/>
            <w:vMerge w:val="restart"/>
          </w:tcPr>
          <w:p>
            <w:pPr>
              <w:jc w:val="right"/>
              <w:ind w:right="39"/>
              <w:spacing w:after="0"/>
              <w:rPr>
                <w:sz w:val="20"/>
                <w:szCs w:val="20"/>
                <w:color w:val="auto"/>
              </w:rPr>
            </w:pPr>
            <w:r>
              <w:rPr>
                <w:rFonts w:ascii="Arial" w:cs="Arial" w:eastAsia="Arial" w:hAnsi="Arial"/>
                <w:sz w:val="16"/>
                <w:szCs w:val="16"/>
                <w:color w:val="auto"/>
              </w:rPr>
              <w:t>1,256</w:t>
            </w: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(613)</w:t>
            </w:r>
          </w:p>
        </w:tc>
        <w:tc>
          <w:tcPr>
            <w:tcW w:w="28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(156)</w:t>
            </w:r>
          </w:p>
        </w:tc>
        <w:tc>
          <w:tcPr>
            <w:tcW w:w="40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6,382</w:t>
            </w:r>
          </w:p>
        </w:tc>
        <w:tc>
          <w:tcPr>
            <w:tcW w:w="0" w:type="dxa"/>
            <w:vAlign w:val="bottom"/>
          </w:tcPr>
          <w:p>
            <w:pPr>
              <w:spacing w:after="0"/>
              <w:rPr>
                <w:sz w:val="1"/>
                <w:szCs w:val="1"/>
                <w:color w:val="auto"/>
              </w:rPr>
            </w:pPr>
          </w:p>
        </w:tc>
      </w:tr>
      <w:tr>
        <w:trPr>
          <w:trHeight w:val="215"/>
        </w:trPr>
        <w:tc>
          <w:tcPr>
            <w:tcW w:w="3420" w:type="dxa"/>
            <w:vAlign w:val="bottom"/>
          </w:tcPr>
          <w:p>
            <w:pPr>
              <w:ind w:left="180"/>
              <w:spacing w:after="0"/>
              <w:rPr>
                <w:sz w:val="20"/>
                <w:szCs w:val="20"/>
                <w:color w:val="auto"/>
              </w:rPr>
            </w:pPr>
            <w:r>
              <w:rPr>
                <w:rFonts w:ascii="Arial" w:cs="Arial" w:eastAsia="Arial" w:hAnsi="Arial"/>
                <w:sz w:val="16"/>
                <w:szCs w:val="16"/>
                <w:b w:val="1"/>
                <w:bCs w:val="1"/>
                <w:color w:val="auto"/>
              </w:rPr>
              <w:t>other items</w:t>
            </w: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6"/>
                <w:szCs w:val="16"/>
                <w:b w:val="1"/>
                <w:bCs w:val="1"/>
                <w:color w:val="auto"/>
              </w:rPr>
              <w:t>Other items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Income from equity investments and other</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534</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10"/>
        </w:trPr>
        <w:tc>
          <w:tcPr>
            <w:tcW w:w="3420" w:type="dxa"/>
            <w:vAlign w:val="bottom"/>
            <w:tcBorders>
              <w:bottom w:val="single" w:sz="8" w:color="auto"/>
            </w:tcBorders>
          </w:tcPr>
          <w:p>
            <w:pPr>
              <w:jc w:val="right"/>
              <w:ind w:right="2759"/>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534</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156"/>
        </w:trPr>
        <w:tc>
          <w:tcPr>
            <w:tcW w:w="3420" w:type="dxa"/>
            <w:vAlign w:val="bottom"/>
          </w:tcPr>
          <w:p>
            <w:pPr>
              <w:ind w:left="20"/>
              <w:spacing w:after="0" w:line="156" w:lineRule="exact"/>
              <w:rPr>
                <w:sz w:val="20"/>
                <w:szCs w:val="20"/>
                <w:color w:val="auto"/>
              </w:rPr>
            </w:pPr>
            <w:r>
              <w:rPr>
                <w:rFonts w:ascii="Arial" w:cs="Arial" w:eastAsia="Arial" w:hAnsi="Arial"/>
                <w:sz w:val="16"/>
                <w:szCs w:val="16"/>
                <w:b w:val="1"/>
                <w:bCs w:val="1"/>
                <w:color w:val="auto"/>
              </w:rPr>
              <w:t>Income (loss) from continuing operations</w:t>
            </w:r>
          </w:p>
        </w:tc>
        <w:tc>
          <w:tcPr>
            <w:tcW w:w="220" w:type="dxa"/>
            <w:vAlign w:val="bottom"/>
          </w:tcPr>
          <w:p>
            <w:pPr>
              <w:spacing w:after="0"/>
              <w:rPr>
                <w:sz w:val="13"/>
                <w:szCs w:val="13"/>
                <w:color w:val="auto"/>
              </w:rPr>
            </w:pPr>
          </w:p>
        </w:tc>
        <w:tc>
          <w:tcPr>
            <w:tcW w:w="1360" w:type="dxa"/>
            <w:vAlign w:val="bottom"/>
            <w:vMerge w:val="restart"/>
          </w:tcPr>
          <w:p>
            <w:pPr>
              <w:jc w:val="right"/>
              <w:ind w:right="119"/>
              <w:spacing w:after="0"/>
              <w:rPr>
                <w:sz w:val="20"/>
                <w:szCs w:val="20"/>
                <w:color w:val="auto"/>
              </w:rPr>
            </w:pPr>
            <w:r>
              <w:rPr>
                <w:rFonts w:ascii="Arial" w:cs="Arial" w:eastAsia="Arial" w:hAnsi="Arial"/>
                <w:sz w:val="16"/>
                <w:szCs w:val="16"/>
                <w:color w:val="auto"/>
              </w:rPr>
              <w:t>6,429</w:t>
            </w:r>
          </w:p>
        </w:tc>
        <w:tc>
          <w:tcPr>
            <w:tcW w:w="1380" w:type="dxa"/>
            <w:vAlign w:val="bottom"/>
            <w:vMerge w:val="restart"/>
          </w:tcPr>
          <w:p>
            <w:pPr>
              <w:jc w:val="right"/>
              <w:ind w:right="39"/>
              <w:spacing w:after="0"/>
              <w:rPr>
                <w:sz w:val="20"/>
                <w:szCs w:val="20"/>
                <w:color w:val="auto"/>
              </w:rPr>
            </w:pPr>
            <w:r>
              <w:rPr>
                <w:rFonts w:ascii="Arial" w:cs="Arial" w:eastAsia="Arial" w:hAnsi="Arial"/>
                <w:sz w:val="16"/>
                <w:szCs w:val="16"/>
                <w:color w:val="auto"/>
              </w:rPr>
              <w:t>1,279</w:t>
            </w: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(613)</w:t>
            </w:r>
          </w:p>
        </w:tc>
        <w:tc>
          <w:tcPr>
            <w:tcW w:w="28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(156)</w:t>
            </w:r>
          </w:p>
        </w:tc>
        <w:tc>
          <w:tcPr>
            <w:tcW w:w="40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6,939</w:t>
            </w:r>
          </w:p>
        </w:tc>
        <w:tc>
          <w:tcPr>
            <w:tcW w:w="0" w:type="dxa"/>
            <w:vAlign w:val="bottom"/>
          </w:tcPr>
          <w:p>
            <w:pPr>
              <w:spacing w:after="0"/>
              <w:rPr>
                <w:sz w:val="1"/>
                <w:szCs w:val="1"/>
                <w:color w:val="auto"/>
              </w:rPr>
            </w:pPr>
          </w:p>
        </w:tc>
      </w:tr>
      <w:tr>
        <w:trPr>
          <w:trHeight w:val="215"/>
        </w:trPr>
        <w:tc>
          <w:tcPr>
            <w:tcW w:w="3420" w:type="dxa"/>
            <w:vAlign w:val="bottom"/>
          </w:tcPr>
          <w:p>
            <w:pPr>
              <w:ind w:left="180"/>
              <w:spacing w:after="0"/>
              <w:rPr>
                <w:sz w:val="20"/>
                <w:szCs w:val="20"/>
                <w:color w:val="auto"/>
              </w:rPr>
            </w:pPr>
            <w:r>
              <w:rPr>
                <w:rFonts w:ascii="Arial" w:cs="Arial" w:eastAsia="Arial" w:hAnsi="Arial"/>
                <w:sz w:val="16"/>
                <w:szCs w:val="16"/>
                <w:b w:val="1"/>
                <w:bCs w:val="1"/>
                <w:color w:val="auto"/>
              </w:rPr>
              <w:t>before income taxes</w:t>
            </w: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Income tax expense</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(1,733)</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w:t>
            </w:r>
          </w:p>
        </w:tc>
        <w:tc>
          <w:tcPr>
            <w:tcW w:w="0" w:type="dxa"/>
            <w:vAlign w:val="bottom"/>
          </w:tcPr>
          <w:p>
            <w:pPr>
              <w:spacing w:after="0"/>
              <w:rPr>
                <w:sz w:val="1"/>
                <w:szCs w:val="1"/>
                <w:color w:val="auto"/>
              </w:rPr>
            </w:pPr>
          </w:p>
        </w:tc>
      </w:tr>
      <w:tr>
        <w:trPr>
          <w:trHeight w:val="210"/>
        </w:trPr>
        <w:tc>
          <w:tcPr>
            <w:tcW w:w="3420" w:type="dxa"/>
            <w:vAlign w:val="bottom"/>
          </w:tcPr>
          <w:p>
            <w:pPr>
              <w:ind w:left="20"/>
              <w:spacing w:after="0"/>
              <w:rPr>
                <w:sz w:val="20"/>
                <w:szCs w:val="20"/>
                <w:color w:val="auto"/>
              </w:rPr>
            </w:pPr>
            <w:r>
              <w:rPr>
                <w:rFonts w:ascii="Arial" w:cs="Arial" w:eastAsia="Arial" w:hAnsi="Arial"/>
                <w:sz w:val="16"/>
                <w:szCs w:val="16"/>
                <w:b w:val="1"/>
                <w:bCs w:val="1"/>
                <w:color w:val="auto"/>
              </w:rPr>
              <w:t>Income (loss) from continuing operations</w:t>
            </w:r>
          </w:p>
        </w:tc>
        <w:tc>
          <w:tcPr>
            <w:tcW w:w="2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4,696</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1,279</w:t>
            </w:r>
          </w:p>
        </w:tc>
        <w:tc>
          <w:tcPr>
            <w:tcW w:w="1380" w:type="dxa"/>
            <w:vAlign w:val="bottom"/>
          </w:tcPr>
          <w:p>
            <w:pPr>
              <w:jc w:val="right"/>
              <w:spacing w:after="0"/>
              <w:rPr>
                <w:sz w:val="20"/>
                <w:szCs w:val="20"/>
                <w:color w:val="auto"/>
              </w:rPr>
            </w:pPr>
            <w:r>
              <w:rPr>
                <w:rFonts w:ascii="Arial" w:cs="Arial" w:eastAsia="Arial" w:hAnsi="Arial"/>
                <w:sz w:val="16"/>
                <w:szCs w:val="16"/>
                <w:color w:val="auto"/>
              </w:rPr>
              <w:t>(478)</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(403)</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5,094</w:t>
            </w:r>
          </w:p>
        </w:tc>
        <w:tc>
          <w:tcPr>
            <w:tcW w:w="0" w:type="dxa"/>
            <w:vAlign w:val="bottom"/>
          </w:tcPr>
          <w:p>
            <w:pPr>
              <w:spacing w:after="0"/>
              <w:rPr>
                <w:sz w:val="1"/>
                <w:szCs w:val="1"/>
                <w:color w:val="auto"/>
              </w:rPr>
            </w:pPr>
          </w:p>
        </w:tc>
      </w:tr>
      <w:tr>
        <w:trPr>
          <w:trHeight w:val="163"/>
        </w:trPr>
        <w:tc>
          <w:tcPr>
            <w:tcW w:w="3420" w:type="dxa"/>
            <w:vAlign w:val="bottom"/>
          </w:tcPr>
          <w:p>
            <w:pPr>
              <w:ind w:left="180"/>
              <w:spacing w:after="0" w:line="163" w:lineRule="exact"/>
              <w:rPr>
                <w:sz w:val="20"/>
                <w:szCs w:val="20"/>
                <w:color w:val="auto"/>
              </w:rPr>
            </w:pPr>
            <w:r>
              <w:rPr>
                <w:rFonts w:ascii="Arial" w:cs="Arial" w:eastAsia="Arial" w:hAnsi="Arial"/>
                <w:sz w:val="16"/>
                <w:szCs w:val="16"/>
                <w:color w:val="auto"/>
              </w:rPr>
              <w:t>Less: Preferred stock dividends and</w:t>
            </w:r>
          </w:p>
        </w:tc>
        <w:tc>
          <w:tcPr>
            <w:tcW w:w="220" w:type="dxa"/>
            <w:vAlign w:val="bottom"/>
          </w:tcPr>
          <w:p>
            <w:pPr>
              <w:spacing w:after="0"/>
              <w:rPr>
                <w:sz w:val="14"/>
                <w:szCs w:val="14"/>
                <w:color w:val="auto"/>
              </w:rPr>
            </w:pPr>
          </w:p>
        </w:tc>
        <w:tc>
          <w:tcPr>
            <w:tcW w:w="1360" w:type="dxa"/>
            <w:vAlign w:val="bottom"/>
            <w:vMerge w:val="restart"/>
          </w:tcPr>
          <w:p>
            <w:pPr>
              <w:jc w:val="right"/>
              <w:ind w:right="59"/>
              <w:spacing w:after="0"/>
              <w:rPr>
                <w:sz w:val="20"/>
                <w:szCs w:val="20"/>
                <w:color w:val="auto"/>
              </w:rPr>
            </w:pPr>
            <w:r>
              <w:rPr>
                <w:rFonts w:ascii="Arial" w:cs="Arial" w:eastAsia="Arial" w:hAnsi="Arial"/>
                <w:sz w:val="16"/>
                <w:szCs w:val="16"/>
                <w:color w:val="auto"/>
              </w:rPr>
              <w:t>(923)</w:t>
            </w:r>
          </w:p>
        </w:tc>
        <w:tc>
          <w:tcPr>
            <w:tcW w:w="13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4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215"/>
        </w:trPr>
        <w:tc>
          <w:tcPr>
            <w:tcW w:w="34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redemption premiums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420" w:type="dxa"/>
            <w:vAlign w:val="bottom"/>
          </w:tcPr>
          <w:p>
            <w:pPr>
              <w:ind w:left="20"/>
              <w:spacing w:after="0" w:line="156" w:lineRule="exact"/>
              <w:rPr>
                <w:sz w:val="20"/>
                <w:szCs w:val="20"/>
                <w:color w:val="auto"/>
              </w:rPr>
            </w:pPr>
            <w:r>
              <w:rPr>
                <w:rFonts w:ascii="Arial" w:cs="Arial" w:eastAsia="Arial" w:hAnsi="Arial"/>
                <w:sz w:val="16"/>
                <w:szCs w:val="16"/>
                <w:b w:val="1"/>
                <w:bCs w:val="1"/>
                <w:color w:val="auto"/>
              </w:rPr>
              <w:t>Income (loss) from continuing operations</w:t>
            </w:r>
          </w:p>
        </w:tc>
        <w:tc>
          <w:tcPr>
            <w:tcW w:w="220" w:type="dxa"/>
            <w:vAlign w:val="bottom"/>
          </w:tcPr>
          <w:p>
            <w:pPr>
              <w:spacing w:after="0"/>
              <w:rPr>
                <w:sz w:val="13"/>
                <w:szCs w:val="13"/>
                <w:color w:val="auto"/>
              </w:rPr>
            </w:pPr>
          </w:p>
        </w:tc>
        <w:tc>
          <w:tcPr>
            <w:tcW w:w="1360" w:type="dxa"/>
            <w:vAlign w:val="bottom"/>
            <w:vMerge w:val="restart"/>
          </w:tcPr>
          <w:p>
            <w:pPr>
              <w:jc w:val="right"/>
              <w:ind w:right="119"/>
              <w:spacing w:after="0"/>
              <w:rPr>
                <w:sz w:val="20"/>
                <w:szCs w:val="20"/>
                <w:color w:val="auto"/>
              </w:rPr>
            </w:pPr>
            <w:r>
              <w:rPr>
                <w:rFonts w:ascii="Arial" w:cs="Arial" w:eastAsia="Arial" w:hAnsi="Arial"/>
                <w:sz w:val="16"/>
                <w:szCs w:val="16"/>
                <w:color w:val="auto"/>
              </w:rPr>
              <w:t>3,773</w:t>
            </w:r>
          </w:p>
        </w:tc>
        <w:tc>
          <w:tcPr>
            <w:tcW w:w="1380" w:type="dxa"/>
            <w:vAlign w:val="bottom"/>
            <w:vMerge w:val="restart"/>
          </w:tcPr>
          <w:p>
            <w:pPr>
              <w:jc w:val="right"/>
              <w:ind w:right="39"/>
              <w:spacing w:after="0"/>
              <w:rPr>
                <w:sz w:val="20"/>
                <w:szCs w:val="20"/>
                <w:color w:val="auto"/>
              </w:rPr>
            </w:pPr>
            <w:r>
              <w:rPr>
                <w:rFonts w:ascii="Arial" w:cs="Arial" w:eastAsia="Arial" w:hAnsi="Arial"/>
                <w:sz w:val="16"/>
                <w:szCs w:val="16"/>
                <w:color w:val="auto"/>
              </w:rPr>
              <w:t>1,279</w:t>
            </w: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(478)</w:t>
            </w:r>
          </w:p>
        </w:tc>
        <w:tc>
          <w:tcPr>
            <w:tcW w:w="28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(403)</w:t>
            </w:r>
          </w:p>
        </w:tc>
        <w:tc>
          <w:tcPr>
            <w:tcW w:w="40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4,171</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attributable to Common Stockholders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420" w:type="dxa"/>
            <w:vAlign w:val="bottom"/>
          </w:tcPr>
          <w:p>
            <w:pPr>
              <w:ind w:left="20"/>
              <w:spacing w:after="0" w:line="155" w:lineRule="exact"/>
              <w:rPr>
                <w:sz w:val="20"/>
                <w:szCs w:val="20"/>
                <w:color w:val="auto"/>
              </w:rPr>
            </w:pPr>
            <w:r>
              <w:rPr>
                <w:rFonts w:ascii="Arial" w:cs="Arial" w:eastAsia="Arial" w:hAnsi="Arial"/>
                <w:sz w:val="16"/>
                <w:szCs w:val="16"/>
                <w:color w:val="auto"/>
              </w:rPr>
              <w:t>Net income attributable to common</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vMerge w:val="restart"/>
          </w:tcPr>
          <w:p>
            <w:pPr>
              <w:jc w:val="right"/>
              <w:ind w:right="119"/>
              <w:spacing w:after="0"/>
              <w:rPr>
                <w:sz w:val="20"/>
                <w:szCs w:val="20"/>
                <w:color w:val="auto"/>
              </w:rPr>
            </w:pPr>
            <w:r>
              <w:rPr>
                <w:rFonts w:ascii="Arial" w:cs="Arial" w:eastAsia="Arial" w:hAnsi="Arial"/>
                <w:sz w:val="16"/>
                <w:szCs w:val="16"/>
                <w:color w:val="auto"/>
              </w:rPr>
              <w:t>4.22</w:t>
            </w:r>
          </w:p>
        </w:tc>
        <w:tc>
          <w:tcPr>
            <w:tcW w:w="1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0" w:type="dxa"/>
            <w:vAlign w:val="bottom"/>
            <w:vMerge w:val="restart"/>
          </w:tcPr>
          <w:p>
            <w:pPr>
              <w:ind w:left="260"/>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15"/>
        </w:trPr>
        <w:tc>
          <w:tcPr>
            <w:tcW w:w="3420" w:type="dxa"/>
            <w:vAlign w:val="bottom"/>
          </w:tcPr>
          <w:p>
            <w:pPr>
              <w:ind w:left="180"/>
              <w:spacing w:after="0"/>
              <w:rPr>
                <w:sz w:val="20"/>
                <w:szCs w:val="20"/>
                <w:color w:val="auto"/>
              </w:rPr>
            </w:pPr>
            <w:r>
              <w:rPr>
                <w:rFonts w:ascii="Arial" w:cs="Arial" w:eastAsia="Arial" w:hAnsi="Arial"/>
                <w:sz w:val="16"/>
                <w:szCs w:val="16"/>
                <w:color w:val="auto"/>
              </w:rPr>
              <w:t>stockholders—basic</w:t>
            </w:r>
          </w:p>
        </w:tc>
        <w:tc>
          <w:tcPr>
            <w:tcW w:w="22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20" w:type="dxa"/>
            <w:vAlign w:val="bottom"/>
          </w:tcPr>
          <w:p>
            <w:pPr>
              <w:ind w:left="20"/>
              <w:spacing w:after="0" w:line="164" w:lineRule="exact"/>
              <w:rPr>
                <w:sz w:val="20"/>
                <w:szCs w:val="20"/>
                <w:color w:val="auto"/>
              </w:rPr>
            </w:pPr>
            <w:r>
              <w:rPr>
                <w:rFonts w:ascii="Arial" w:cs="Arial" w:eastAsia="Arial" w:hAnsi="Arial"/>
                <w:sz w:val="16"/>
                <w:szCs w:val="16"/>
                <w:color w:val="auto"/>
              </w:rPr>
              <w:t>Net income attributable to common</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vMerge w:val="restart"/>
          </w:tcPr>
          <w:p>
            <w:pPr>
              <w:jc w:val="right"/>
              <w:ind w:right="119"/>
              <w:spacing w:after="0"/>
              <w:rPr>
                <w:sz w:val="20"/>
                <w:szCs w:val="20"/>
                <w:color w:val="auto"/>
              </w:rPr>
            </w:pPr>
            <w:r>
              <w:rPr>
                <w:rFonts w:ascii="Arial" w:cs="Arial" w:eastAsia="Arial" w:hAnsi="Arial"/>
                <w:sz w:val="16"/>
                <w:szCs w:val="16"/>
                <w:color w:val="auto"/>
              </w:rPr>
              <w:t>3.90</w:t>
            </w: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vMerge w:val="restart"/>
          </w:tcPr>
          <w:p>
            <w:pPr>
              <w:ind w:left="260"/>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15"/>
        </w:trPr>
        <w:tc>
          <w:tcPr>
            <w:tcW w:w="3420" w:type="dxa"/>
            <w:vAlign w:val="bottom"/>
          </w:tcPr>
          <w:p>
            <w:pPr>
              <w:ind w:left="180"/>
              <w:spacing w:after="0"/>
              <w:rPr>
                <w:sz w:val="20"/>
                <w:szCs w:val="20"/>
                <w:color w:val="auto"/>
              </w:rPr>
            </w:pPr>
            <w:r>
              <w:rPr>
                <w:rFonts w:ascii="Arial" w:cs="Arial" w:eastAsia="Arial" w:hAnsi="Arial"/>
                <w:sz w:val="16"/>
                <w:szCs w:val="16"/>
                <w:color w:val="auto"/>
              </w:rPr>
              <w:t>stockholders—diluted</w:t>
            </w:r>
          </w:p>
        </w:tc>
        <w:tc>
          <w:tcPr>
            <w:tcW w:w="22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420" w:type="dxa"/>
            <w:vAlign w:val="bottom"/>
          </w:tcPr>
          <w:p>
            <w:pPr>
              <w:ind w:left="20"/>
              <w:spacing w:after="0"/>
              <w:rPr>
                <w:sz w:val="20"/>
                <w:szCs w:val="20"/>
                <w:color w:val="auto"/>
              </w:rPr>
            </w:pPr>
            <w:r>
              <w:rPr>
                <w:rFonts w:ascii="Arial" w:cs="Arial" w:eastAsia="Arial" w:hAnsi="Arial"/>
                <w:sz w:val="16"/>
                <w:szCs w:val="16"/>
                <w:color w:val="auto"/>
              </w:rPr>
              <w:t>Weighted-average number of basic shares</w:t>
            </w:r>
          </w:p>
        </w:tc>
        <w:tc>
          <w:tcPr>
            <w:tcW w:w="220" w:type="dxa"/>
            <w:vAlign w:val="bottom"/>
          </w:tcPr>
          <w:p>
            <w:pPr>
              <w:spacing w:after="0"/>
              <w:rPr>
                <w:sz w:val="23"/>
                <w:szCs w:val="23"/>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889.2</w:t>
            </w:r>
          </w:p>
        </w:tc>
        <w:tc>
          <w:tcPr>
            <w:tcW w:w="13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29.6</w:t>
            </w:r>
          </w:p>
        </w:tc>
        <w:tc>
          <w:tcPr>
            <w:tcW w:w="400" w:type="dxa"/>
            <w:vAlign w:val="bottom"/>
          </w:tcPr>
          <w:p>
            <w:pPr>
              <w:ind w:left="60"/>
              <w:spacing w:after="0"/>
              <w:rPr>
                <w:sz w:val="20"/>
                <w:szCs w:val="20"/>
                <w:color w:val="auto"/>
              </w:rPr>
            </w:pPr>
            <w:r>
              <w:rPr>
                <w:rFonts w:ascii="Arial" w:cs="Arial" w:eastAsia="Arial" w:hAnsi="Arial"/>
                <w:sz w:val="12"/>
                <w:szCs w:val="12"/>
                <w:color w:val="auto"/>
              </w:rPr>
              <w:t>(i)</w:t>
            </w:r>
          </w:p>
        </w:tc>
        <w:tc>
          <w:tcPr>
            <w:tcW w:w="1320" w:type="dxa"/>
            <w:vAlign w:val="bottom"/>
          </w:tcPr>
          <w:p>
            <w:pPr>
              <w:jc w:val="right"/>
              <w:spacing w:after="0"/>
              <w:rPr>
                <w:sz w:val="20"/>
                <w:szCs w:val="20"/>
                <w:color w:val="auto"/>
              </w:rPr>
            </w:pPr>
            <w:r>
              <w:rPr>
                <w:rFonts w:ascii="Arial" w:cs="Arial" w:eastAsia="Arial" w:hAnsi="Arial"/>
                <w:sz w:val="16"/>
                <w:szCs w:val="16"/>
                <w:color w:val="auto"/>
              </w:rPr>
              <w:t>918.8</w:t>
            </w: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6"/>
                <w:szCs w:val="16"/>
                <w:color w:val="auto"/>
              </w:rPr>
              <w:t>Diluted weighted-average common shares</w:t>
            </w:r>
          </w:p>
        </w:tc>
        <w:tc>
          <w:tcPr>
            <w:tcW w:w="220" w:type="dxa"/>
            <w:vAlign w:val="bottom"/>
          </w:tcPr>
          <w:p>
            <w:pPr>
              <w:spacing w:after="0"/>
              <w:rPr>
                <w:sz w:val="18"/>
                <w:szCs w:val="18"/>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960.9</w:t>
            </w: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29.6</w:t>
            </w:r>
          </w:p>
        </w:tc>
        <w:tc>
          <w:tcPr>
            <w:tcW w:w="400" w:type="dxa"/>
            <w:vAlign w:val="bottom"/>
          </w:tcPr>
          <w:p>
            <w:pPr>
              <w:ind w:left="60"/>
              <w:spacing w:after="0"/>
              <w:rPr>
                <w:sz w:val="20"/>
                <w:szCs w:val="20"/>
                <w:color w:val="auto"/>
              </w:rPr>
            </w:pPr>
            <w:r>
              <w:rPr>
                <w:rFonts w:ascii="Arial" w:cs="Arial" w:eastAsia="Arial" w:hAnsi="Arial"/>
                <w:sz w:val="12"/>
                <w:szCs w:val="12"/>
                <w:color w:val="auto"/>
              </w:rPr>
              <w:t>(i)</w:t>
            </w:r>
          </w:p>
        </w:tc>
        <w:tc>
          <w:tcPr>
            <w:tcW w:w="1320" w:type="dxa"/>
            <w:vAlign w:val="bottom"/>
          </w:tcPr>
          <w:p>
            <w:pPr>
              <w:jc w:val="right"/>
              <w:spacing w:after="0"/>
              <w:rPr>
                <w:sz w:val="20"/>
                <w:szCs w:val="20"/>
                <w:color w:val="auto"/>
              </w:rPr>
            </w:pPr>
            <w:r>
              <w:rPr>
                <w:rFonts w:ascii="Arial" w:cs="Arial" w:eastAsia="Arial" w:hAnsi="Arial"/>
                <w:sz w:val="16"/>
                <w:szCs w:val="16"/>
                <w:color w:val="auto"/>
              </w:rPr>
              <w:t>990.5</w:t>
            </w: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pro forma condensed combined financial statements.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98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7"/>
          <w:szCs w:val="17"/>
          <w:b w:val="1"/>
          <w:bCs w:val="1"/>
          <w:color w:val="auto"/>
        </w:rPr>
        <w:t>NOTES TO PRO FORMA CONDENSED COMBINED FINANCIAL STATEMENTS</w:t>
      </w:r>
    </w:p>
    <w:p>
      <w:pPr>
        <w:spacing w:after="0" w:line="129"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Reflects sources of/(uses of) cash upon the completion of the acquisition as follows:</w:t>
      </w:r>
    </w:p>
    <w:p>
      <w:pPr>
        <w:spacing w:after="0" w:line="318" w:lineRule="exact"/>
        <w:rPr>
          <w:sz w:val="20"/>
          <w:szCs w:val="20"/>
          <w:color w:val="auto"/>
        </w:rPr>
      </w:pPr>
    </w:p>
    <w:tbl>
      <w:tblPr>
        <w:tblLayout w:type="fixed"/>
        <w:tblInd w:w="340" w:type="dxa"/>
        <w:tblCellMar>
          <w:top w:w="0" w:type="dxa"/>
          <w:left w:w="0" w:type="dxa"/>
          <w:bottom w:w="0" w:type="dxa"/>
          <w:right w:w="0" w:type="dxa"/>
        </w:tblCellMar>
      </w:tblPr>
      <w:tr>
        <w:trPr>
          <w:trHeight w:val="236"/>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As of June 30, 2024</w:t>
            </w:r>
          </w:p>
        </w:tc>
      </w:tr>
      <w:tr>
        <w:trPr>
          <w:trHeight w:val="216"/>
        </w:trPr>
        <w:tc>
          <w:tcPr>
            <w:tcW w:w="8340" w:type="dxa"/>
            <w:vAlign w:val="bottom"/>
          </w:tcPr>
          <w:p>
            <w:pPr>
              <w:ind w:left="20"/>
              <w:spacing w:after="0"/>
              <w:rPr>
                <w:sz w:val="20"/>
                <w:szCs w:val="20"/>
                <w:color w:val="auto"/>
              </w:rPr>
            </w:pPr>
            <w:r>
              <w:rPr>
                <w:rFonts w:ascii="Arial" w:cs="Arial" w:eastAsia="Arial" w:hAnsi="Arial"/>
                <w:sz w:val="17"/>
                <w:szCs w:val="17"/>
                <w:color w:val="auto"/>
              </w:rPr>
              <w:t>Issuance of indebtedness</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980" w:type="dxa"/>
            <w:vAlign w:val="bottom"/>
          </w:tcPr>
          <w:p>
            <w:pPr>
              <w:jc w:val="right"/>
              <w:spacing w:after="0"/>
              <w:rPr>
                <w:sz w:val="20"/>
                <w:szCs w:val="20"/>
                <w:color w:val="auto"/>
              </w:rPr>
            </w:pPr>
            <w:r>
              <w:rPr>
                <w:rFonts w:ascii="Arial" w:cs="Arial" w:eastAsia="Arial" w:hAnsi="Arial"/>
                <w:sz w:val="17"/>
                <w:szCs w:val="17"/>
                <w:color w:val="auto"/>
              </w:rPr>
              <w:t>9,700</w:t>
            </w:r>
          </w:p>
        </w:tc>
      </w:tr>
      <w:tr>
        <w:trPr>
          <w:trHeight w:val="232"/>
        </w:trPr>
        <w:tc>
          <w:tcPr>
            <w:tcW w:w="8340" w:type="dxa"/>
            <w:vAlign w:val="bottom"/>
          </w:tcPr>
          <w:p>
            <w:pPr>
              <w:ind w:left="20"/>
              <w:spacing w:after="0"/>
              <w:rPr>
                <w:sz w:val="20"/>
                <w:szCs w:val="20"/>
                <w:color w:val="auto"/>
              </w:rPr>
            </w:pPr>
            <w:r>
              <w:rPr>
                <w:rFonts w:ascii="Arial" w:cs="Arial" w:eastAsia="Arial" w:hAnsi="Arial"/>
                <w:sz w:val="17"/>
                <w:szCs w:val="17"/>
                <w:color w:val="auto"/>
              </w:rPr>
              <w:t>Issuance costs</w:t>
            </w: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r>
      <w:tr>
        <w:trPr>
          <w:trHeight w:val="235"/>
        </w:trPr>
        <w:tc>
          <w:tcPr>
            <w:tcW w:w="8340" w:type="dxa"/>
            <w:vAlign w:val="bottom"/>
          </w:tcPr>
          <w:p>
            <w:pPr>
              <w:ind w:left="180"/>
              <w:spacing w:after="0"/>
              <w:rPr>
                <w:sz w:val="20"/>
                <w:szCs w:val="20"/>
                <w:color w:val="auto"/>
              </w:rPr>
            </w:pPr>
            <w:r>
              <w:rPr>
                <w:rFonts w:ascii="Arial" w:cs="Arial" w:eastAsia="Arial" w:hAnsi="Arial"/>
                <w:sz w:val="17"/>
                <w:szCs w:val="17"/>
                <w:color w:val="auto"/>
              </w:rPr>
              <w:t>Net cash from issuance of indebtedness</w:t>
            </w:r>
          </w:p>
        </w:tc>
        <w:tc>
          <w:tcPr>
            <w:tcW w:w="22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1980" w:type="dxa"/>
            <w:vAlign w:val="bottom"/>
          </w:tcPr>
          <w:p>
            <w:pPr>
              <w:jc w:val="right"/>
              <w:spacing w:after="0"/>
              <w:rPr>
                <w:sz w:val="20"/>
                <w:szCs w:val="20"/>
                <w:color w:val="auto"/>
              </w:rPr>
            </w:pPr>
            <w:r>
              <w:rPr>
                <w:rFonts w:ascii="Arial" w:cs="Arial" w:eastAsia="Arial" w:hAnsi="Arial"/>
                <w:sz w:val="17"/>
                <w:szCs w:val="17"/>
                <w:b w:val="1"/>
                <w:bCs w:val="1"/>
                <w:color w:val="auto"/>
              </w:rPr>
              <w:t>9,646</w:t>
            </w:r>
          </w:p>
        </w:tc>
      </w:tr>
      <w:tr>
        <w:trPr>
          <w:trHeight w:val="427"/>
        </w:trPr>
        <w:tc>
          <w:tcPr>
            <w:tcW w:w="8340" w:type="dxa"/>
            <w:vAlign w:val="bottom"/>
          </w:tcPr>
          <w:p>
            <w:pPr>
              <w:ind w:left="20"/>
              <w:spacing w:after="0"/>
              <w:rPr>
                <w:sz w:val="20"/>
                <w:szCs w:val="20"/>
                <w:color w:val="auto"/>
              </w:rPr>
            </w:pPr>
            <w:r>
              <w:rPr>
                <w:rFonts w:ascii="Arial" w:cs="Arial" w:eastAsia="Arial" w:hAnsi="Arial"/>
                <w:sz w:val="17"/>
                <w:szCs w:val="17"/>
                <w:color w:val="auto"/>
              </w:rPr>
              <w:t>Cash portion of preliminary purchase price</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980" w:type="dxa"/>
            <w:vAlign w:val="bottom"/>
          </w:tcPr>
          <w:p>
            <w:pPr>
              <w:jc w:val="right"/>
              <w:spacing w:after="0"/>
              <w:rPr>
                <w:sz w:val="20"/>
                <w:szCs w:val="20"/>
                <w:color w:val="auto"/>
              </w:rPr>
            </w:pPr>
            <w:r>
              <w:rPr>
                <w:rFonts w:ascii="Arial" w:cs="Arial" w:eastAsia="Arial" w:hAnsi="Arial"/>
                <w:sz w:val="17"/>
                <w:szCs w:val="17"/>
                <w:color w:val="auto"/>
              </w:rPr>
              <w:t>9,100</w:t>
            </w:r>
          </w:p>
        </w:tc>
      </w:tr>
      <w:tr>
        <w:trPr>
          <w:trHeight w:val="230"/>
        </w:trPr>
        <w:tc>
          <w:tcPr>
            <w:tcW w:w="8340" w:type="dxa"/>
            <w:vAlign w:val="bottom"/>
          </w:tcPr>
          <w:p>
            <w:pPr>
              <w:ind w:left="20"/>
              <w:spacing w:after="0"/>
              <w:rPr>
                <w:sz w:val="20"/>
                <w:szCs w:val="20"/>
                <w:color w:val="auto"/>
              </w:rPr>
            </w:pPr>
            <w:r>
              <w:rPr>
                <w:rFonts w:ascii="Arial" w:cs="Arial" w:eastAsia="Arial" w:hAnsi="Arial"/>
                <w:sz w:val="17"/>
                <w:szCs w:val="17"/>
                <w:color w:val="auto"/>
              </w:rPr>
              <w:t>Net working capital and other purchase price adjustments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257</w:t>
            </w:r>
          </w:p>
        </w:tc>
      </w:tr>
      <w:tr>
        <w:trPr>
          <w:trHeight w:val="236"/>
        </w:trPr>
        <w:tc>
          <w:tcPr>
            <w:tcW w:w="8340" w:type="dxa"/>
            <w:vAlign w:val="bottom"/>
          </w:tcPr>
          <w:p>
            <w:pPr>
              <w:ind w:left="20"/>
              <w:spacing w:after="0"/>
              <w:rPr>
                <w:sz w:val="20"/>
                <w:szCs w:val="20"/>
                <w:color w:val="auto"/>
              </w:rPr>
            </w:pPr>
            <w:r>
              <w:rPr>
                <w:rFonts w:ascii="Arial" w:cs="Arial" w:eastAsia="Arial" w:hAnsi="Arial"/>
                <w:sz w:val="17"/>
                <w:szCs w:val="17"/>
                <w:color w:val="auto"/>
              </w:rPr>
              <w:t>Pre-closing dividends declared by Occidental</w:t>
            </w: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r>
      <w:tr>
        <w:trPr>
          <w:trHeight w:val="235"/>
        </w:trPr>
        <w:tc>
          <w:tcPr>
            <w:tcW w:w="8340" w:type="dxa"/>
            <w:vAlign w:val="bottom"/>
          </w:tcPr>
          <w:p>
            <w:pPr>
              <w:ind w:left="180"/>
              <w:spacing w:after="0"/>
              <w:rPr>
                <w:sz w:val="20"/>
                <w:szCs w:val="20"/>
                <w:color w:val="auto"/>
              </w:rPr>
            </w:pPr>
            <w:r>
              <w:rPr>
                <w:rFonts w:ascii="Arial" w:cs="Arial" w:eastAsia="Arial" w:hAnsi="Arial"/>
                <w:sz w:val="17"/>
                <w:szCs w:val="17"/>
                <w:color w:val="auto"/>
              </w:rPr>
              <w:t>Total cash purchase price</w:t>
            </w:r>
          </w:p>
        </w:tc>
        <w:tc>
          <w:tcPr>
            <w:tcW w:w="22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1980" w:type="dxa"/>
            <w:vAlign w:val="bottom"/>
          </w:tcPr>
          <w:p>
            <w:pPr>
              <w:jc w:val="right"/>
              <w:spacing w:after="0"/>
              <w:rPr>
                <w:sz w:val="20"/>
                <w:szCs w:val="20"/>
                <w:color w:val="auto"/>
              </w:rPr>
            </w:pPr>
            <w:r>
              <w:rPr>
                <w:rFonts w:ascii="Arial" w:cs="Arial" w:eastAsia="Arial" w:hAnsi="Arial"/>
                <w:sz w:val="17"/>
                <w:szCs w:val="17"/>
                <w:b w:val="1"/>
                <w:bCs w:val="1"/>
                <w:color w:val="auto"/>
              </w:rPr>
              <w:t>9,370</w:t>
            </w:r>
          </w:p>
        </w:tc>
      </w:tr>
      <w:tr>
        <w:trPr>
          <w:trHeight w:val="432"/>
        </w:trPr>
        <w:tc>
          <w:tcPr>
            <w:tcW w:w="8340" w:type="dxa"/>
            <w:vAlign w:val="bottom"/>
          </w:tcPr>
          <w:p>
            <w:pPr>
              <w:ind w:left="20"/>
              <w:spacing w:after="0"/>
              <w:rPr>
                <w:sz w:val="20"/>
                <w:szCs w:val="20"/>
                <w:color w:val="auto"/>
              </w:rPr>
            </w:pPr>
            <w:r>
              <w:rPr>
                <w:rFonts w:ascii="Arial" w:cs="Arial" w:eastAsia="Arial" w:hAnsi="Arial"/>
                <w:sz w:val="17"/>
                <w:szCs w:val="17"/>
                <w:color w:val="auto"/>
              </w:rPr>
              <w:t>Acquisition-related transaction costs</w:t>
            </w:r>
            <w:r>
              <w:rPr>
                <w:rFonts w:ascii="Arial" w:cs="Arial" w:eastAsia="Arial" w:hAnsi="Arial"/>
                <w:sz w:val="22"/>
                <w:szCs w:val="22"/>
                <w:color w:val="auto"/>
                <w:vertAlign w:val="superscript"/>
              </w:rPr>
              <w:t>1</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98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25"/>
        </w:trPr>
        <w:tc>
          <w:tcPr>
            <w:tcW w:w="8340" w:type="dxa"/>
            <w:vAlign w:val="bottom"/>
          </w:tcPr>
          <w:p>
            <w:pPr>
              <w:ind w:left="20"/>
              <w:spacing w:after="0"/>
              <w:rPr>
                <w:sz w:val="20"/>
                <w:szCs w:val="20"/>
                <w:color w:val="auto"/>
              </w:rPr>
            </w:pPr>
            <w:r>
              <w:rPr>
                <w:rFonts w:ascii="Arial" w:cs="Arial" w:eastAsia="Arial" w:hAnsi="Arial"/>
                <w:sz w:val="17"/>
                <w:szCs w:val="17"/>
                <w:color w:val="auto"/>
              </w:rPr>
              <w:t>Redemption of CrownRock 2025 notes</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980" w:type="dxa"/>
            <w:vAlign w:val="bottom"/>
          </w:tcPr>
          <w:p>
            <w:pPr>
              <w:jc w:val="right"/>
              <w:spacing w:after="0"/>
              <w:rPr>
                <w:sz w:val="20"/>
                <w:szCs w:val="20"/>
                <w:color w:val="auto"/>
              </w:rPr>
            </w:pPr>
            <w:r>
              <w:rPr>
                <w:rFonts w:ascii="Arial" w:cs="Arial" w:eastAsia="Arial" w:hAnsi="Arial"/>
                <w:sz w:val="17"/>
                <w:szCs w:val="17"/>
                <w:color w:val="auto"/>
              </w:rPr>
              <w:t>(868)</w:t>
            </w:r>
          </w:p>
        </w:tc>
      </w:tr>
    </w:tbl>
    <w:p>
      <w:pPr>
        <w:spacing w:after="0" w:line="112" w:lineRule="exact"/>
        <w:rPr>
          <w:sz w:val="20"/>
          <w:szCs w:val="20"/>
          <w:color w:val="auto"/>
        </w:rPr>
      </w:pPr>
    </w:p>
    <w:p>
      <w:pPr>
        <w:ind w:left="580" w:hanging="167"/>
        <w:spacing w:after="0" w:line="219" w:lineRule="auto"/>
        <w:tabs>
          <w:tab w:leader="none" w:pos="527" w:val="left"/>
        </w:tabs>
        <w:numPr>
          <w:ilvl w:val="1"/>
          <w:numId w:val="20"/>
        </w:numPr>
        <w:rPr>
          <w:rFonts w:ascii="Arial" w:cs="Arial" w:eastAsia="Arial" w:hAnsi="Arial"/>
          <w:sz w:val="22"/>
          <w:szCs w:val="22"/>
          <w:color w:val="auto"/>
          <w:vertAlign w:val="superscript"/>
        </w:rPr>
      </w:pPr>
      <w:r>
        <w:rPr>
          <w:rFonts w:ascii="Arial" w:cs="Arial" w:eastAsia="Arial" w:hAnsi="Arial"/>
          <w:sz w:val="14"/>
          <w:szCs w:val="14"/>
          <w:color w:val="auto"/>
        </w:rPr>
        <w:t>Represents an estimate of acquisition-related transaction costs, including fees related to advisory, legal, investment banking and other professional services, all of which are directly attributable to the acquisition. These are non-recurring charges and have been excluded from the unaudited pro forma statements of operations.</w:t>
      </w:r>
    </w:p>
    <w:p>
      <w:pPr>
        <w:spacing w:after="0" w:line="216" w:lineRule="exact"/>
        <w:rPr>
          <w:rFonts w:ascii="Arial" w:cs="Arial" w:eastAsia="Arial" w:hAnsi="Arial"/>
          <w:sz w:val="22"/>
          <w:szCs w:val="22"/>
          <w:color w:val="auto"/>
          <w:vertAlign w:val="superscript"/>
        </w:rPr>
      </w:pPr>
    </w:p>
    <w:p>
      <w:pPr>
        <w:ind w:left="340" w:hanging="332"/>
        <w:spacing w:after="0" w:line="284" w:lineRule="auto"/>
        <w:tabs>
          <w:tab w:leader="none" w:pos="411"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Reflects the fair value adjustments to CrownRock’s assets and liabilities, including property, plant, and equipment and debt. See "Purchase Price and Allocation" above.</w:t>
      </w:r>
    </w:p>
    <w:p>
      <w:pPr>
        <w:spacing w:after="0" w:line="185" w:lineRule="exact"/>
        <w:rPr>
          <w:rFonts w:ascii="Arial" w:cs="Arial" w:eastAsia="Arial" w:hAnsi="Arial"/>
          <w:sz w:val="17"/>
          <w:szCs w:val="17"/>
          <w:color w:val="auto"/>
        </w:rPr>
      </w:pPr>
    </w:p>
    <w:p>
      <w:pPr>
        <w:jc w:val="both"/>
        <w:ind w:left="340" w:hanging="332"/>
        <w:spacing w:after="0" w:line="266" w:lineRule="auto"/>
        <w:tabs>
          <w:tab w:leader="none" w:pos="401"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pro forma adjustments to current and long-term debt, which includes the incurrence of $9.7 billion aggregate principal amount of new indebtedness, with a weighted average annual interest rate of 6.22%, yielding net proceeds of $2.0 billion and $7.6 billion in current and long-term debt, respectively. Proceeds are net of $54 million in debt issuance costs. Interest rates are based on underlying U.S. Treasury rates adjusted for Occidental's anticipated credit spreads across a range of maturities.</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3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restart"/>
          </w:tcPr>
          <w:p>
            <w:pPr>
              <w:jc w:val="right"/>
              <w:ind w:right="95"/>
              <w:spacing w:after="0"/>
              <w:rPr>
                <w:sz w:val="20"/>
                <w:szCs w:val="20"/>
                <w:color w:val="auto"/>
              </w:rPr>
            </w:pPr>
            <w:r>
              <w:rPr>
                <w:rFonts w:ascii="Arial" w:cs="Arial" w:eastAsia="Arial" w:hAnsi="Arial"/>
                <w:sz w:val="17"/>
                <w:szCs w:val="17"/>
                <w:b w:val="1"/>
                <w:bCs w:val="1"/>
                <w:color w:val="auto"/>
              </w:rPr>
              <w:t>Principal</w:t>
            </w:r>
          </w:p>
        </w:tc>
        <w:tc>
          <w:tcPr>
            <w:tcW w:w="3540" w:type="dxa"/>
            <w:vAlign w:val="bottom"/>
            <w:gridSpan w:val="2"/>
          </w:tcPr>
          <w:p>
            <w:pPr>
              <w:jc w:val="right"/>
              <w:spacing w:after="0"/>
              <w:rPr>
                <w:sz w:val="20"/>
                <w:szCs w:val="20"/>
                <w:color w:val="auto"/>
              </w:rPr>
            </w:pPr>
            <w:r>
              <w:rPr>
                <w:rFonts w:ascii="Arial" w:cs="Arial" w:eastAsia="Arial" w:hAnsi="Arial"/>
                <w:sz w:val="17"/>
                <w:szCs w:val="17"/>
                <w:b w:val="1"/>
                <w:bCs w:val="1"/>
                <w:color w:val="auto"/>
              </w:rPr>
              <w:t>Estimated interest expense for</w:t>
            </w:r>
          </w:p>
        </w:tc>
        <w:tc>
          <w:tcPr>
            <w:tcW w:w="140" w:type="dxa"/>
            <w:vAlign w:val="bottom"/>
          </w:tcPr>
          <w:p>
            <w:pPr>
              <w:spacing w:after="0"/>
              <w:rPr>
                <w:sz w:val="16"/>
                <w:szCs w:val="16"/>
                <w:color w:val="auto"/>
              </w:rPr>
            </w:pPr>
          </w:p>
        </w:tc>
        <w:tc>
          <w:tcPr>
            <w:tcW w:w="2380" w:type="dxa"/>
            <w:vAlign w:val="bottom"/>
          </w:tcPr>
          <w:p>
            <w:pPr>
              <w:jc w:val="center"/>
              <w:ind w:right="35"/>
              <w:spacing w:after="0"/>
              <w:rPr>
                <w:sz w:val="20"/>
                <w:szCs w:val="20"/>
                <w:color w:val="auto"/>
              </w:rPr>
            </w:pPr>
            <w:r>
              <w:rPr>
                <w:rFonts w:ascii="Arial" w:cs="Arial" w:eastAsia="Arial" w:hAnsi="Arial"/>
                <w:sz w:val="17"/>
                <w:szCs w:val="17"/>
                <w:b w:val="1"/>
                <w:bCs w:val="1"/>
                <w:color w:val="auto"/>
              </w:rPr>
              <w:t>Estimated interest expense</w:t>
            </w:r>
          </w:p>
        </w:tc>
        <w:tc>
          <w:tcPr>
            <w:tcW w:w="0" w:type="dxa"/>
            <w:vAlign w:val="bottom"/>
          </w:tcPr>
          <w:p>
            <w:pPr>
              <w:spacing w:after="0"/>
              <w:rPr>
                <w:sz w:val="1"/>
                <w:szCs w:val="1"/>
                <w:color w:val="auto"/>
              </w:rPr>
            </w:pPr>
          </w:p>
        </w:tc>
      </w:tr>
      <w:tr>
        <w:trPr>
          <w:trHeight w:val="175"/>
        </w:trPr>
        <w:tc>
          <w:tcPr>
            <w:tcW w:w="330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in millions, except for interest rates</w:t>
            </w: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540" w:type="dxa"/>
            <w:vAlign w:val="bottom"/>
            <w:gridSpan w:val="2"/>
          </w:tcPr>
          <w:p>
            <w:pPr>
              <w:jc w:val="right"/>
              <w:spacing w:after="0" w:line="176" w:lineRule="exact"/>
              <w:rPr>
                <w:sz w:val="20"/>
                <w:szCs w:val="20"/>
                <w:color w:val="auto"/>
              </w:rPr>
            </w:pPr>
            <w:r>
              <w:rPr>
                <w:rFonts w:ascii="Arial" w:cs="Arial" w:eastAsia="Arial" w:hAnsi="Arial"/>
                <w:sz w:val="17"/>
                <w:szCs w:val="17"/>
                <w:b w:val="1"/>
                <w:bCs w:val="1"/>
                <w:color w:val="auto"/>
              </w:rPr>
              <w:t>Interest   the six months ended June 30,</w:t>
            </w:r>
          </w:p>
        </w:tc>
        <w:tc>
          <w:tcPr>
            <w:tcW w:w="2520" w:type="dxa"/>
            <w:vAlign w:val="bottom"/>
            <w:gridSpan w:val="2"/>
          </w:tcPr>
          <w:p>
            <w:pPr>
              <w:jc w:val="center"/>
              <w:spacing w:after="0" w:line="176" w:lineRule="exact"/>
              <w:rPr>
                <w:sz w:val="20"/>
                <w:szCs w:val="20"/>
                <w:color w:val="auto"/>
              </w:rPr>
            </w:pPr>
            <w:r>
              <w:rPr>
                <w:rFonts w:ascii="Arial" w:cs="Arial" w:eastAsia="Arial" w:hAnsi="Arial"/>
                <w:sz w:val="17"/>
                <w:szCs w:val="17"/>
                <w:b w:val="1"/>
                <w:bCs w:val="1"/>
                <w:color w:val="auto"/>
              </w:rPr>
              <w:t>for the year ended December</w:t>
            </w:r>
          </w:p>
        </w:tc>
        <w:tc>
          <w:tcPr>
            <w:tcW w:w="0" w:type="dxa"/>
            <w:vAlign w:val="bottom"/>
          </w:tcPr>
          <w:p>
            <w:pPr>
              <w:spacing w:after="0"/>
              <w:rPr>
                <w:sz w:val="1"/>
                <w:szCs w:val="1"/>
                <w:color w:val="auto"/>
              </w:rPr>
            </w:pPr>
          </w:p>
        </w:tc>
      </w:tr>
      <w:tr>
        <w:trPr>
          <w:trHeight w:val="230"/>
        </w:trPr>
        <w:tc>
          <w:tcPr>
            <w:tcW w:w="33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Amount</w:t>
            </w:r>
          </w:p>
        </w:tc>
        <w:tc>
          <w:tcPr>
            <w:tcW w:w="1560" w:type="dxa"/>
            <w:vAlign w:val="bottom"/>
            <w:tcBorders>
              <w:bottom w:val="single" w:sz="8" w:color="auto"/>
            </w:tcBorders>
          </w:tcPr>
          <w:p>
            <w:pPr>
              <w:jc w:val="right"/>
              <w:ind w:right="755"/>
              <w:spacing w:after="0" w:line="229" w:lineRule="exact"/>
              <w:rPr>
                <w:sz w:val="20"/>
                <w:szCs w:val="20"/>
                <w:color w:val="auto"/>
              </w:rPr>
            </w:pPr>
            <w:r>
              <w:rPr>
                <w:rFonts w:ascii="Arial" w:cs="Arial" w:eastAsia="Arial" w:hAnsi="Arial"/>
                <w:sz w:val="17"/>
                <w:szCs w:val="17"/>
                <w:b w:val="1"/>
                <w:bCs w:val="1"/>
                <w:color w:val="auto"/>
              </w:rPr>
              <w:t xml:space="preserve">Rate </w:t>
            </w:r>
            <w:r>
              <w:rPr>
                <w:rFonts w:ascii="Arial" w:cs="Arial" w:eastAsia="Arial" w:hAnsi="Arial"/>
                <w:sz w:val="22"/>
                <w:szCs w:val="22"/>
                <w:b w:val="1"/>
                <w:bCs w:val="1"/>
                <w:color w:val="auto"/>
                <w:vertAlign w:val="superscript"/>
              </w:rPr>
              <w:t>(1)</w:t>
            </w:r>
          </w:p>
        </w:tc>
        <w:tc>
          <w:tcPr>
            <w:tcW w:w="1980" w:type="dxa"/>
            <w:vAlign w:val="bottom"/>
            <w:tcBorders>
              <w:bottom w:val="single" w:sz="8" w:color="auto"/>
            </w:tcBorders>
          </w:tcPr>
          <w:p>
            <w:pPr>
              <w:jc w:val="right"/>
              <w:ind w:right="1015"/>
              <w:spacing w:after="0"/>
              <w:rPr>
                <w:sz w:val="20"/>
                <w:szCs w:val="20"/>
                <w:color w:val="auto"/>
              </w:rPr>
            </w:pPr>
            <w:r>
              <w:rPr>
                <w:rFonts w:ascii="Arial" w:cs="Arial" w:eastAsia="Arial" w:hAnsi="Arial"/>
                <w:sz w:val="17"/>
                <w:szCs w:val="17"/>
                <w:b w:val="1"/>
                <w:bCs w:val="1"/>
                <w:color w:val="auto"/>
              </w:rPr>
              <w:t>2024</w:t>
            </w:r>
          </w:p>
        </w:tc>
        <w:tc>
          <w:tcPr>
            <w:tcW w:w="1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b w:val="1"/>
                <w:bCs w:val="1"/>
                <w:color w:val="auto"/>
                <w:w w:val="99"/>
              </w:rPr>
              <w:t>31, 2023</w:t>
            </w:r>
          </w:p>
        </w:tc>
        <w:tc>
          <w:tcPr>
            <w:tcW w:w="0" w:type="dxa"/>
            <w:vAlign w:val="bottom"/>
          </w:tcPr>
          <w:p>
            <w:pPr>
              <w:spacing w:after="0"/>
              <w:rPr>
                <w:sz w:val="1"/>
                <w:szCs w:val="1"/>
                <w:color w:val="auto"/>
              </w:rPr>
            </w:pPr>
          </w:p>
        </w:tc>
      </w:tr>
      <w:tr>
        <w:trPr>
          <w:trHeight w:val="214"/>
        </w:trPr>
        <w:tc>
          <w:tcPr>
            <w:tcW w:w="3300" w:type="dxa"/>
            <w:vAlign w:val="bottom"/>
          </w:tcPr>
          <w:p>
            <w:pPr>
              <w:ind w:left="20"/>
              <w:spacing w:after="0"/>
              <w:rPr>
                <w:sz w:val="20"/>
                <w:szCs w:val="20"/>
                <w:color w:val="auto"/>
              </w:rPr>
            </w:pPr>
            <w:r>
              <w:rPr>
                <w:rFonts w:ascii="Arial" w:cs="Arial" w:eastAsia="Arial" w:hAnsi="Arial"/>
                <w:sz w:val="17"/>
                <w:szCs w:val="17"/>
                <w:color w:val="auto"/>
              </w:rPr>
              <w:t>Notes</w:t>
            </w:r>
          </w:p>
        </w:tc>
        <w:tc>
          <w:tcPr>
            <w:tcW w:w="26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5,000</w:t>
            </w:r>
          </w:p>
        </w:tc>
        <w:tc>
          <w:tcPr>
            <w:tcW w:w="1560" w:type="dxa"/>
            <w:vAlign w:val="bottom"/>
          </w:tcPr>
          <w:p>
            <w:pPr>
              <w:jc w:val="right"/>
              <w:ind w:right="415"/>
              <w:spacing w:after="0"/>
              <w:rPr>
                <w:sz w:val="20"/>
                <w:szCs w:val="20"/>
                <w:color w:val="auto"/>
              </w:rPr>
            </w:pPr>
            <w:r>
              <w:rPr>
                <w:rFonts w:ascii="Arial" w:cs="Arial" w:eastAsia="Arial" w:hAnsi="Arial"/>
                <w:sz w:val="17"/>
                <w:szCs w:val="17"/>
                <w:color w:val="auto"/>
              </w:rPr>
              <w:t>5.47 % $</w:t>
            </w:r>
          </w:p>
        </w:tc>
        <w:tc>
          <w:tcPr>
            <w:tcW w:w="1980" w:type="dxa"/>
            <w:vAlign w:val="bottom"/>
          </w:tcPr>
          <w:p>
            <w:pPr>
              <w:jc w:val="right"/>
              <w:spacing w:after="0"/>
              <w:rPr>
                <w:sz w:val="20"/>
                <w:szCs w:val="20"/>
                <w:color w:val="auto"/>
              </w:rPr>
            </w:pPr>
            <w:r>
              <w:rPr>
                <w:rFonts w:ascii="Arial" w:cs="Arial" w:eastAsia="Arial" w:hAnsi="Arial"/>
                <w:sz w:val="17"/>
                <w:szCs w:val="17"/>
                <w:color w:val="auto"/>
              </w:rPr>
              <w:t>137</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380" w:type="dxa"/>
            <w:vAlign w:val="bottom"/>
          </w:tcPr>
          <w:p>
            <w:pPr>
              <w:jc w:val="right"/>
              <w:spacing w:after="0"/>
              <w:rPr>
                <w:sz w:val="20"/>
                <w:szCs w:val="20"/>
                <w:color w:val="auto"/>
              </w:rPr>
            </w:pPr>
            <w:r>
              <w:rPr>
                <w:rFonts w:ascii="Arial" w:cs="Arial" w:eastAsia="Arial" w:hAnsi="Arial"/>
                <w:sz w:val="17"/>
                <w:szCs w:val="17"/>
                <w:color w:val="auto"/>
              </w:rPr>
              <w:t>273</w:t>
            </w:r>
          </w:p>
        </w:tc>
        <w:tc>
          <w:tcPr>
            <w:tcW w:w="0" w:type="dxa"/>
            <w:vAlign w:val="bottom"/>
          </w:tcPr>
          <w:p>
            <w:pPr>
              <w:spacing w:after="0"/>
              <w:rPr>
                <w:sz w:val="1"/>
                <w:szCs w:val="1"/>
                <w:color w:val="auto"/>
              </w:rPr>
            </w:pPr>
          </w:p>
        </w:tc>
      </w:tr>
      <w:tr>
        <w:trPr>
          <w:trHeight w:val="225"/>
        </w:trPr>
        <w:tc>
          <w:tcPr>
            <w:tcW w:w="3300" w:type="dxa"/>
            <w:vAlign w:val="bottom"/>
          </w:tcPr>
          <w:p>
            <w:pPr>
              <w:ind w:left="20"/>
              <w:spacing w:after="0"/>
              <w:rPr>
                <w:sz w:val="20"/>
                <w:szCs w:val="20"/>
                <w:color w:val="auto"/>
              </w:rPr>
            </w:pPr>
            <w:r>
              <w:rPr>
                <w:rFonts w:ascii="Arial" w:cs="Arial" w:eastAsia="Arial" w:hAnsi="Arial"/>
                <w:sz w:val="17"/>
                <w:szCs w:val="17"/>
                <w:color w:val="auto"/>
              </w:rPr>
              <w:t>Term loan (364 day)</w:t>
            </w:r>
          </w:p>
        </w:tc>
        <w:tc>
          <w:tcPr>
            <w:tcW w:w="26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2,000</w:t>
            </w:r>
          </w:p>
        </w:tc>
        <w:tc>
          <w:tcPr>
            <w:tcW w:w="1560" w:type="dxa"/>
            <w:vAlign w:val="bottom"/>
          </w:tcPr>
          <w:p>
            <w:pPr>
              <w:jc w:val="right"/>
              <w:ind w:right="555"/>
              <w:spacing w:after="0"/>
              <w:rPr>
                <w:sz w:val="20"/>
                <w:szCs w:val="20"/>
                <w:color w:val="auto"/>
              </w:rPr>
            </w:pPr>
            <w:r>
              <w:rPr>
                <w:rFonts w:ascii="Arial" w:cs="Arial" w:eastAsia="Arial" w:hAnsi="Arial"/>
                <w:sz w:val="17"/>
                <w:szCs w:val="17"/>
                <w:color w:val="auto"/>
              </w:rPr>
              <w:t>6.94 %</w:t>
            </w:r>
          </w:p>
        </w:tc>
        <w:tc>
          <w:tcPr>
            <w:tcW w:w="1980" w:type="dxa"/>
            <w:vAlign w:val="bottom"/>
          </w:tcPr>
          <w:p>
            <w:pPr>
              <w:jc w:val="right"/>
              <w:spacing w:after="0"/>
              <w:rPr>
                <w:sz w:val="20"/>
                <w:szCs w:val="20"/>
                <w:color w:val="auto"/>
              </w:rPr>
            </w:pPr>
            <w:r>
              <w:rPr>
                <w:rFonts w:ascii="Arial" w:cs="Arial" w:eastAsia="Arial" w:hAnsi="Arial"/>
                <w:sz w:val="17"/>
                <w:szCs w:val="17"/>
                <w:color w:val="auto"/>
              </w:rPr>
              <w:t>69</w:t>
            </w:r>
          </w:p>
        </w:tc>
        <w:tc>
          <w:tcPr>
            <w:tcW w:w="1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Term loan (2 year)</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2,700</w:t>
            </w: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rPr>
              <w:t>7.07 %</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w:t>
            </w: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25"/>
        </w:trPr>
        <w:tc>
          <w:tcPr>
            <w:tcW w:w="3300" w:type="dxa"/>
            <w:vAlign w:val="bottom"/>
          </w:tcPr>
          <w:p>
            <w:pPr>
              <w:ind w:left="20"/>
              <w:spacing w:after="0"/>
              <w:rPr>
                <w:sz w:val="20"/>
                <w:szCs w:val="20"/>
                <w:color w:val="auto"/>
              </w:rPr>
            </w:pPr>
            <w:r>
              <w:rPr>
                <w:rFonts w:ascii="Arial" w:cs="Arial" w:eastAsia="Arial" w:hAnsi="Arial"/>
                <w:sz w:val="17"/>
                <w:szCs w:val="17"/>
                <w:color w:val="auto"/>
              </w:rPr>
              <w:t>Total debt assumed issued</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9,700</w:t>
            </w:r>
          </w:p>
        </w:tc>
        <w:tc>
          <w:tcPr>
            <w:tcW w:w="1560" w:type="dxa"/>
            <w:vAlign w:val="bottom"/>
          </w:tcPr>
          <w:p>
            <w:pPr>
              <w:jc w:val="right"/>
              <w:ind w:right="415"/>
              <w:spacing w:after="0"/>
              <w:rPr>
                <w:sz w:val="20"/>
                <w:szCs w:val="20"/>
                <w:color w:val="auto"/>
              </w:rPr>
            </w:pPr>
            <w:r>
              <w:rPr>
                <w:rFonts w:ascii="Arial" w:cs="Arial" w:eastAsia="Arial" w:hAnsi="Arial"/>
                <w:sz w:val="17"/>
                <w:szCs w:val="17"/>
                <w:color w:val="auto"/>
              </w:rPr>
              <w:t>6.22 % $</w:t>
            </w:r>
          </w:p>
        </w:tc>
        <w:tc>
          <w:tcPr>
            <w:tcW w:w="1980" w:type="dxa"/>
            <w:vAlign w:val="bottom"/>
          </w:tcPr>
          <w:p>
            <w:pPr>
              <w:jc w:val="right"/>
              <w:spacing w:after="0"/>
              <w:rPr>
                <w:sz w:val="20"/>
                <w:szCs w:val="20"/>
                <w:color w:val="auto"/>
              </w:rPr>
            </w:pPr>
            <w:r>
              <w:rPr>
                <w:rFonts w:ascii="Arial" w:cs="Arial" w:eastAsia="Arial" w:hAnsi="Arial"/>
                <w:sz w:val="17"/>
                <w:szCs w:val="17"/>
                <w:color w:val="auto"/>
              </w:rPr>
              <w:t>301</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380" w:type="dxa"/>
            <w:vAlign w:val="bottom"/>
          </w:tcPr>
          <w:p>
            <w:pPr>
              <w:jc w:val="right"/>
              <w:spacing w:after="0"/>
              <w:rPr>
                <w:sz w:val="20"/>
                <w:szCs w:val="20"/>
                <w:color w:val="auto"/>
              </w:rPr>
            </w:pPr>
            <w:r>
              <w:rPr>
                <w:rFonts w:ascii="Arial" w:cs="Arial" w:eastAsia="Arial" w:hAnsi="Arial"/>
                <w:sz w:val="17"/>
                <w:szCs w:val="17"/>
                <w:color w:val="auto"/>
              </w:rPr>
              <w:t>603</w:t>
            </w:r>
          </w:p>
        </w:tc>
        <w:tc>
          <w:tcPr>
            <w:tcW w:w="0" w:type="dxa"/>
            <w:vAlign w:val="bottom"/>
          </w:tcPr>
          <w:p>
            <w:pPr>
              <w:spacing w:after="0"/>
              <w:rPr>
                <w:sz w:val="1"/>
                <w:szCs w:val="1"/>
                <w:color w:val="auto"/>
              </w:rPr>
            </w:pPr>
          </w:p>
        </w:tc>
      </w:tr>
      <w:tr>
        <w:trPr>
          <w:trHeight w:val="275"/>
        </w:trPr>
        <w:tc>
          <w:tcPr>
            <w:tcW w:w="3300" w:type="dxa"/>
            <w:vAlign w:val="bottom"/>
          </w:tcPr>
          <w:p>
            <w:pPr>
              <w:ind w:left="20"/>
              <w:spacing w:after="0"/>
              <w:rPr>
                <w:sz w:val="20"/>
                <w:szCs w:val="20"/>
                <w:color w:val="auto"/>
              </w:rPr>
            </w:pPr>
            <w:r>
              <w:rPr>
                <w:rFonts w:ascii="Arial" w:cs="Arial" w:eastAsia="Arial" w:hAnsi="Arial"/>
                <w:sz w:val="17"/>
                <w:szCs w:val="17"/>
                <w:color w:val="auto"/>
              </w:rPr>
              <w:t>Amortization of term loan debt issuance</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80" w:type="dxa"/>
            <w:vAlign w:val="bottom"/>
            <w:vMerge w:val="restart"/>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23"/>
                <w:szCs w:val="23"/>
                <w:color w:val="auto"/>
              </w:rPr>
            </w:pPr>
          </w:p>
        </w:tc>
        <w:tc>
          <w:tcPr>
            <w:tcW w:w="2380" w:type="dxa"/>
            <w:vAlign w:val="bottom"/>
            <w:vMerge w:val="restart"/>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1"/>
        </w:trPr>
        <w:tc>
          <w:tcPr>
            <w:tcW w:w="3300" w:type="dxa"/>
            <w:vAlign w:val="bottom"/>
          </w:tcPr>
          <w:p>
            <w:pPr>
              <w:ind w:left="180"/>
              <w:spacing w:after="0"/>
              <w:rPr>
                <w:sz w:val="20"/>
                <w:szCs w:val="20"/>
                <w:color w:val="auto"/>
              </w:rPr>
            </w:pPr>
            <w:r>
              <w:rPr>
                <w:rFonts w:ascii="Arial" w:cs="Arial" w:eastAsia="Arial" w:hAnsi="Arial"/>
                <w:sz w:val="17"/>
                <w:szCs w:val="17"/>
                <w:color w:val="auto"/>
              </w:rPr>
              <w:t>costs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Amortization of notes debt issuance costs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5"/>
        </w:trPr>
        <w:tc>
          <w:tcPr>
            <w:tcW w:w="3300" w:type="dxa"/>
            <w:vAlign w:val="bottom"/>
          </w:tcPr>
          <w:p>
            <w:pPr>
              <w:ind w:left="20"/>
              <w:spacing w:after="0"/>
              <w:rPr>
                <w:sz w:val="20"/>
                <w:szCs w:val="20"/>
                <w:color w:val="auto"/>
              </w:rPr>
            </w:pPr>
            <w:r>
              <w:rPr>
                <w:rFonts w:ascii="Arial" w:cs="Arial" w:eastAsia="Arial" w:hAnsi="Arial"/>
                <w:sz w:val="17"/>
                <w:szCs w:val="17"/>
                <w:color w:val="auto"/>
              </w:rPr>
              <w:t>Total interest expense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60" w:type="dxa"/>
            <w:vAlign w:val="bottom"/>
          </w:tcPr>
          <w:p>
            <w:pPr>
              <w:jc w:val="right"/>
              <w:ind w:right="415"/>
              <w:spacing w:after="0"/>
              <w:rPr>
                <w:sz w:val="20"/>
                <w:szCs w:val="20"/>
                <w:color w:val="auto"/>
              </w:rPr>
            </w:pPr>
            <w:r>
              <w:rPr>
                <w:rFonts w:ascii="Arial" w:cs="Arial" w:eastAsia="Arial" w:hAnsi="Arial"/>
                <w:sz w:val="17"/>
                <w:szCs w:val="17"/>
                <w:color w:val="auto"/>
              </w:rPr>
              <w:t>$</w:t>
            </w:r>
          </w:p>
        </w:tc>
        <w:tc>
          <w:tcPr>
            <w:tcW w:w="1980" w:type="dxa"/>
            <w:vAlign w:val="bottom"/>
          </w:tcPr>
          <w:p>
            <w:pPr>
              <w:jc w:val="right"/>
              <w:spacing w:after="0"/>
              <w:rPr>
                <w:sz w:val="20"/>
                <w:szCs w:val="20"/>
                <w:color w:val="auto"/>
              </w:rPr>
            </w:pPr>
            <w:r>
              <w:rPr>
                <w:rFonts w:ascii="Arial" w:cs="Arial" w:eastAsia="Arial" w:hAnsi="Arial"/>
                <w:sz w:val="17"/>
                <w:szCs w:val="17"/>
                <w:color w:val="auto"/>
              </w:rPr>
              <w:t>306</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380" w:type="dxa"/>
            <w:vAlign w:val="bottom"/>
          </w:tcPr>
          <w:p>
            <w:pPr>
              <w:jc w:val="right"/>
              <w:spacing w:after="0"/>
              <w:rPr>
                <w:sz w:val="20"/>
                <w:szCs w:val="20"/>
                <w:color w:val="auto"/>
              </w:rPr>
            </w:pPr>
            <w:r>
              <w:rPr>
                <w:rFonts w:ascii="Arial" w:cs="Arial" w:eastAsia="Arial" w:hAnsi="Arial"/>
                <w:sz w:val="17"/>
                <w:szCs w:val="17"/>
                <w:color w:val="auto"/>
              </w:rPr>
              <w:t>613</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500" w:right="220" w:hanging="168"/>
        <w:spacing w:after="0" w:line="227" w:lineRule="auto"/>
        <w:tabs>
          <w:tab w:leader="none" w:pos="447"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The interest rates for the term loans are the July 30, 2024 SOFR of 5.342% plus the applicable margin as specified in the respective debt agreements. The rate for the notes is the pro-forma weighted average interest rate as issued.</w:t>
      </w:r>
    </w:p>
    <w:p>
      <w:pPr>
        <w:spacing w:after="0" w:line="203" w:lineRule="exact"/>
        <w:rPr>
          <w:sz w:val="20"/>
          <w:szCs w:val="20"/>
          <w:color w:val="auto"/>
        </w:rPr>
      </w:pPr>
    </w:p>
    <w:p>
      <w:pPr>
        <w:jc w:val="both"/>
        <w:ind w:left="340"/>
        <w:spacing w:after="0" w:line="274" w:lineRule="auto"/>
        <w:rPr>
          <w:sz w:val="20"/>
          <w:szCs w:val="20"/>
          <w:color w:val="auto"/>
        </w:rPr>
      </w:pPr>
      <w:r>
        <w:rPr>
          <w:rFonts w:ascii="Arial" w:cs="Arial" w:eastAsia="Arial" w:hAnsi="Arial"/>
          <w:sz w:val="17"/>
          <w:szCs w:val="17"/>
          <w:color w:val="auto"/>
        </w:rPr>
        <w:t>Occidental has elected to redeem approximately $868 million of the $1.2 billion of assumed debt of CrownRock after the closing of the acquisition, which is reflected above in Note (a). The redemption of the CrownRock 2025 notes results in a decrease in CrownRock’s interest expense of $24 million and $49 million for the six months ended June 30, 2024 and the year ended December 31, 2023, respectively.</w:t>
      </w:r>
    </w:p>
    <w:p>
      <w:pPr>
        <w:spacing w:after="0" w:line="195" w:lineRule="exact"/>
        <w:rPr>
          <w:sz w:val="20"/>
          <w:szCs w:val="20"/>
          <w:color w:val="auto"/>
        </w:rPr>
      </w:pPr>
    </w:p>
    <w:p>
      <w:pPr>
        <w:jc w:val="both"/>
        <w:ind w:left="340" w:right="20"/>
        <w:spacing w:after="0" w:line="284" w:lineRule="auto"/>
        <w:rPr>
          <w:sz w:val="20"/>
          <w:szCs w:val="20"/>
          <w:color w:val="auto"/>
        </w:rPr>
      </w:pPr>
      <w:r>
        <w:rPr>
          <w:rFonts w:ascii="Arial" w:cs="Arial" w:eastAsia="Arial" w:hAnsi="Arial"/>
          <w:sz w:val="17"/>
          <w:szCs w:val="17"/>
          <w:color w:val="auto"/>
        </w:rPr>
        <w:t>A 1/8 of a percent change in the interest rate of the $4.7 billion in term loans would increase or decrease the interest expense by $3 million for the six months ended June 30, 2024 and $6 million for the year ended December 31, 2023.</w:t>
      </w:r>
    </w:p>
    <w:p>
      <w:pPr>
        <w:spacing w:after="0" w:line="185" w:lineRule="exact"/>
        <w:rPr>
          <w:sz w:val="20"/>
          <w:szCs w:val="20"/>
          <w:color w:val="auto"/>
        </w:rPr>
      </w:pPr>
    </w:p>
    <w:p>
      <w:pPr>
        <w:jc w:val="both"/>
        <w:ind w:left="340" w:hanging="332"/>
        <w:spacing w:after="0" w:line="274" w:lineRule="auto"/>
        <w:tabs>
          <w:tab w:leader="none" w:pos="458"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Reflects adjustments to historical depreciation, depletion and amortization ("DD&amp;A") expense related to the step up of property, plant and equipment to estimated fair value. Pro forma DD&amp;A expense related to the assets acquired through the acquisition is $110 million for the six months ended June 30, 2024 and $189 million for the year ended December 31, 2023.</w:t>
      </w:r>
    </w:p>
    <w:p>
      <w:pPr>
        <w:spacing w:after="0" w:line="194" w:lineRule="exact"/>
        <w:rPr>
          <w:rFonts w:ascii="Arial" w:cs="Arial" w:eastAsia="Arial" w:hAnsi="Arial"/>
          <w:sz w:val="17"/>
          <w:szCs w:val="17"/>
          <w:color w:val="auto"/>
        </w:rPr>
      </w:pPr>
    </w:p>
    <w:p>
      <w:pPr>
        <w:ind w:left="340" w:right="20" w:hanging="332"/>
        <w:spacing w:after="0" w:line="284" w:lineRule="auto"/>
        <w:tabs>
          <w:tab w:leader="none" w:pos="3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Reflects the income tax effects of the pro forma adjustments included in the pro forma statements of operations for the six months ended June 30, 2024 and for the year ended December 31, 2023, including an adjustment for income taxes for</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981" w:right="339" w:bottom="1440" w:gutter="0" w:footer="0" w:header="0"/>
          <w:type w:val="continuous"/>
        </w:sectPr>
      </w:pPr>
    </w:p>
    <w:bookmarkStart w:id="34" w:name="page35"/>
    <w:bookmarkEnd w:id="34"/>
    <w:p>
      <w:pPr>
        <w:ind w:left="340"/>
        <w:spacing w:after="0" w:line="284" w:lineRule="auto"/>
        <w:rPr>
          <w:sz w:val="20"/>
          <w:szCs w:val="20"/>
          <w:color w:val="auto"/>
        </w:rPr>
      </w:pPr>
      <w:r>
        <w:rPr>
          <w:rFonts w:ascii="Arial" w:cs="Arial" w:eastAsia="Arial" w:hAnsi="Arial"/>
          <w:sz w:val="17"/>
          <w:szCs w:val="17"/>
          <w:color w:val="auto"/>
        </w:rPr>
        <w:t>historical CrownRock that would have been recorded as a result of the acquisition. The effective tax rate of the combined company could be significantly different from what is presented in these pro forma financial statements for a variety of reasons, including post-merger activities.</w:t>
      </w:r>
    </w:p>
    <w:p>
      <w:pPr>
        <w:spacing w:after="0" w:line="307" w:lineRule="exact"/>
        <w:rPr>
          <w:sz w:val="20"/>
          <w:szCs w:val="20"/>
          <w:color w:val="auto"/>
        </w:rPr>
      </w:pPr>
    </w:p>
    <w:p>
      <w:pPr>
        <w:jc w:val="both"/>
        <w:ind w:left="340" w:hanging="332"/>
        <w:spacing w:after="0" w:line="260" w:lineRule="auto"/>
        <w:tabs>
          <w:tab w:leader="none" w:pos="478"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Reflects adjustments to eliminate CrownRock’s historical revenue and expense related to certain subsidiaries retained by CrownQuest Operating, LLC (“CrownQuest”), the parent company of CrownRock, per the purchase agreement. Revenue and expenses related to such subsidiaries totaled $26 million and $10 million, respectively, for the year ended December 31, 2023. These subsidiaries were distributed to CrownQuest as of January 31, 2024. Revenue and expenses related to these subsidiaries for the month of January are immaterial.</w:t>
      </w:r>
    </w:p>
    <w:p>
      <w:pPr>
        <w:spacing w:after="0" w:line="205" w:lineRule="exact"/>
        <w:rPr>
          <w:rFonts w:ascii="Arial" w:cs="Arial" w:eastAsia="Arial" w:hAnsi="Arial"/>
          <w:sz w:val="17"/>
          <w:szCs w:val="17"/>
          <w:color w:val="auto"/>
        </w:rPr>
      </w:pPr>
    </w:p>
    <w:p>
      <w:pPr>
        <w:ind w:left="340" w:hanging="332"/>
        <w:spacing w:after="0" w:line="284" w:lineRule="auto"/>
        <w:tabs>
          <w:tab w:leader="none" w:pos="417"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Reflects elimination of CrownRock Partners’ Capital and issuance of 29.6 million shares of Occidental common stock, totaling approximately $1.8 billion in common stock based on the August 1, 2024 share price of $59.38:</w:t>
      </w:r>
    </w:p>
    <w:p>
      <w:pPr>
        <w:spacing w:after="0" w:line="4" w:lineRule="exact"/>
        <w:rPr>
          <w:sz w:val="20"/>
          <w:szCs w:val="20"/>
          <w:color w:val="auto"/>
        </w:rPr>
      </w:pPr>
    </w:p>
    <w:tbl>
      <w:tblPr>
        <w:tblLayout w:type="fixed"/>
        <w:tblInd w:w="340" w:type="dxa"/>
        <w:tblCellMar>
          <w:top w:w="0" w:type="dxa"/>
          <w:left w:w="0" w:type="dxa"/>
          <w:bottom w:w="0" w:type="dxa"/>
          <w:right w:w="0" w:type="dxa"/>
        </w:tblCellMar>
      </w:tblPr>
      <w:tr>
        <w:trPr>
          <w:trHeight w:val="217"/>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As of June 30, 2024</w:t>
            </w:r>
          </w:p>
        </w:tc>
      </w:tr>
      <w:tr>
        <w:trPr>
          <w:trHeight w:val="209"/>
        </w:trPr>
        <w:tc>
          <w:tcPr>
            <w:tcW w:w="8620" w:type="dxa"/>
            <w:vAlign w:val="bottom"/>
          </w:tcPr>
          <w:p>
            <w:pPr>
              <w:ind w:left="20"/>
              <w:spacing w:after="0"/>
              <w:rPr>
                <w:sz w:val="20"/>
                <w:szCs w:val="20"/>
                <w:color w:val="auto"/>
              </w:rPr>
            </w:pPr>
            <w:r>
              <w:rPr>
                <w:rFonts w:ascii="Arial" w:cs="Arial" w:eastAsia="Arial" w:hAnsi="Arial"/>
                <w:sz w:val="16"/>
                <w:szCs w:val="16"/>
                <w:b w:val="1"/>
                <w:bCs w:val="1"/>
                <w:color w:val="auto"/>
              </w:rPr>
              <w:t>Stock portion of purchase price:</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5"/>
        </w:trPr>
        <w:tc>
          <w:tcPr>
            <w:tcW w:w="8620" w:type="dxa"/>
            <w:vAlign w:val="bottom"/>
          </w:tcPr>
          <w:p>
            <w:pPr>
              <w:ind w:left="20"/>
              <w:spacing w:after="0"/>
              <w:rPr>
                <w:sz w:val="20"/>
                <w:szCs w:val="20"/>
                <w:color w:val="auto"/>
              </w:rPr>
            </w:pPr>
            <w:r>
              <w:rPr>
                <w:rFonts w:ascii="Arial" w:cs="Arial" w:eastAsia="Arial" w:hAnsi="Arial"/>
                <w:sz w:val="16"/>
                <w:szCs w:val="16"/>
                <w:color w:val="auto"/>
              </w:rPr>
              <w:t>Common stock, $0.20 per share par value, issued in the acquisition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43"/>
        </w:trPr>
        <w:tc>
          <w:tcPr>
            <w:tcW w:w="8620" w:type="dxa"/>
            <w:vAlign w:val="bottom"/>
          </w:tcPr>
          <w:p>
            <w:pPr>
              <w:ind w:left="20"/>
              <w:spacing w:after="0"/>
              <w:rPr>
                <w:sz w:val="20"/>
                <w:szCs w:val="20"/>
                <w:color w:val="auto"/>
              </w:rPr>
            </w:pPr>
            <w:r>
              <w:rPr>
                <w:rFonts w:ascii="Arial" w:cs="Arial" w:eastAsia="Arial" w:hAnsi="Arial"/>
                <w:sz w:val="16"/>
                <w:szCs w:val="16"/>
                <w:color w:val="auto"/>
              </w:rPr>
              <w:t>Pro forma adjustment to paid-in capital in excess of par value for common stock issued in the acquisition</w:t>
            </w: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1,749</w:t>
            </w:r>
          </w:p>
        </w:tc>
      </w:tr>
      <w:tr>
        <w:trPr>
          <w:trHeight w:val="210"/>
        </w:trPr>
        <w:tc>
          <w:tcPr>
            <w:tcW w:w="8620" w:type="dxa"/>
            <w:vAlign w:val="bottom"/>
          </w:tcPr>
          <w:p>
            <w:pPr>
              <w:ind w:left="20"/>
              <w:spacing w:after="0"/>
              <w:rPr>
                <w:sz w:val="20"/>
                <w:szCs w:val="20"/>
                <w:color w:val="auto"/>
              </w:rPr>
            </w:pPr>
            <w:r>
              <w:rPr>
                <w:rFonts w:ascii="Arial" w:cs="Arial" w:eastAsia="Arial" w:hAnsi="Arial"/>
                <w:sz w:val="16"/>
                <w:szCs w:val="16"/>
                <w:color w:val="auto"/>
              </w:rPr>
              <w:t>Stock portion of purchase price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1,755</w:t>
            </w:r>
          </w:p>
        </w:tc>
      </w:tr>
      <w:tr>
        <w:trPr>
          <w:trHeight w:val="487"/>
        </w:trPr>
        <w:tc>
          <w:tcPr>
            <w:tcW w:w="8620" w:type="dxa"/>
            <w:vAlign w:val="bottom"/>
          </w:tcPr>
          <w:p>
            <w:pPr>
              <w:ind w:left="20"/>
              <w:spacing w:after="0"/>
              <w:rPr>
                <w:sz w:val="20"/>
                <w:szCs w:val="20"/>
                <w:color w:val="auto"/>
              </w:rPr>
            </w:pPr>
            <w:r>
              <w:rPr>
                <w:rFonts w:ascii="Arial" w:cs="Arial" w:eastAsia="Arial" w:hAnsi="Arial"/>
                <w:sz w:val="16"/>
                <w:szCs w:val="16"/>
                <w:b w:val="1"/>
                <w:bCs w:val="1"/>
                <w:color w:val="auto"/>
              </w:rPr>
              <w:t>Acquisition adjustment to paid-in capital in excess of par value for common stock:</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42"/>
        </w:trPr>
        <w:tc>
          <w:tcPr>
            <w:tcW w:w="8620" w:type="dxa"/>
            <w:vAlign w:val="bottom"/>
          </w:tcPr>
          <w:p>
            <w:pPr>
              <w:ind w:left="20"/>
              <w:spacing w:after="0"/>
              <w:rPr>
                <w:sz w:val="20"/>
                <w:szCs w:val="20"/>
                <w:color w:val="auto"/>
              </w:rPr>
            </w:pPr>
            <w:r>
              <w:rPr>
                <w:rFonts w:ascii="Arial" w:cs="Arial" w:eastAsia="Arial" w:hAnsi="Arial"/>
                <w:sz w:val="16"/>
                <w:szCs w:val="16"/>
                <w:color w:val="auto"/>
              </w:rPr>
              <w:t>Pro forma adjustment to paid-in capital in excess of par value for common stock issued in the acquisition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1,749</w:t>
            </w:r>
          </w:p>
        </w:tc>
      </w:tr>
      <w:tr>
        <w:trPr>
          <w:trHeight w:val="216"/>
        </w:trPr>
        <w:tc>
          <w:tcPr>
            <w:tcW w:w="8620" w:type="dxa"/>
            <w:vAlign w:val="bottom"/>
          </w:tcPr>
          <w:p>
            <w:pPr>
              <w:ind w:left="20"/>
              <w:spacing w:after="0"/>
              <w:rPr>
                <w:sz w:val="20"/>
                <w:szCs w:val="20"/>
                <w:color w:val="auto"/>
              </w:rPr>
            </w:pPr>
            <w:r>
              <w:rPr>
                <w:rFonts w:ascii="Arial" w:cs="Arial" w:eastAsia="Arial" w:hAnsi="Arial"/>
                <w:sz w:val="16"/>
                <w:szCs w:val="16"/>
                <w:color w:val="auto"/>
              </w:rPr>
              <w:t>Elimination of CrownRock Partners’ Capital</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(3,440)</w:t>
            </w:r>
          </w:p>
        </w:tc>
      </w:tr>
      <w:tr>
        <w:trPr>
          <w:trHeight w:val="210"/>
        </w:trPr>
        <w:tc>
          <w:tcPr>
            <w:tcW w:w="8620" w:type="dxa"/>
            <w:vAlign w:val="bottom"/>
          </w:tcPr>
          <w:p>
            <w:pPr>
              <w:ind w:left="20"/>
              <w:spacing w:after="0"/>
              <w:rPr>
                <w:sz w:val="20"/>
                <w:szCs w:val="20"/>
                <w:color w:val="auto"/>
              </w:rPr>
            </w:pPr>
            <w:r>
              <w:rPr>
                <w:rFonts w:ascii="Arial" w:cs="Arial" w:eastAsia="Arial" w:hAnsi="Arial"/>
                <w:sz w:val="16"/>
                <w:szCs w:val="16"/>
                <w:color w:val="auto"/>
              </w:rPr>
              <w:t>Acquisition adjustment to paid-in capital in excess of par value for common stock</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(1,691)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779" w:right="339" w:bottom="1440" w:gutter="0" w:footer="0" w:header="0"/>
        </w:sectPr>
      </w:pPr>
    </w:p>
    <w:bookmarkStart w:id="35" w:name="page36"/>
    <w:bookmarkEnd w:id="35"/>
    <w:p>
      <w:pPr>
        <w:ind w:left="340" w:hanging="332"/>
        <w:spacing w:after="0" w:line="284" w:lineRule="auto"/>
        <w:tabs>
          <w:tab w:leader="none" w:pos="491"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following reclassifications were made to conform CrownRock's historical financial results to Occidental's presentation on the pro forma financial statements:</w:t>
      </w:r>
    </w:p>
    <w:tbl>
      <w:tblPr>
        <w:tblLayout w:type="fixed"/>
        <w:tblInd w:w="340" w:type="dxa"/>
        <w:tblCellMar>
          <w:top w:w="0" w:type="dxa"/>
          <w:left w:w="0" w:type="dxa"/>
          <w:bottom w:w="0" w:type="dxa"/>
          <w:right w:w="0" w:type="dxa"/>
        </w:tblCellMar>
      </w:tblPr>
      <w:tr>
        <w:trPr>
          <w:trHeight w:val="168"/>
        </w:trPr>
        <w:tc>
          <w:tcPr>
            <w:tcW w:w="6760" w:type="dxa"/>
            <w:vAlign w:val="bottom"/>
          </w:tcPr>
          <w:p>
            <w:pPr>
              <w:ind w:left="20"/>
              <w:spacing w:after="0" w:line="168" w:lineRule="exact"/>
              <w:rPr>
                <w:sz w:val="20"/>
                <w:szCs w:val="20"/>
                <w:color w:val="auto"/>
              </w:rPr>
            </w:pPr>
            <w:r>
              <w:rPr>
                <w:rFonts w:ascii="Arial" w:cs="Arial" w:eastAsia="Arial" w:hAnsi="Arial"/>
                <w:sz w:val="16"/>
                <w:szCs w:val="16"/>
                <w:b w:val="1"/>
                <w:bCs w:val="1"/>
                <w:color w:val="auto"/>
              </w:rPr>
              <w:t>Balance Sheet</w:t>
            </w:r>
          </w:p>
        </w:tc>
        <w:tc>
          <w:tcPr>
            <w:tcW w:w="140" w:type="dxa"/>
            <w:vAlign w:val="bottom"/>
          </w:tcPr>
          <w:p>
            <w:pPr>
              <w:spacing w:after="0"/>
              <w:rPr>
                <w:sz w:val="14"/>
                <w:szCs w:val="14"/>
                <w:color w:val="auto"/>
              </w:rPr>
            </w:pPr>
          </w:p>
        </w:tc>
        <w:tc>
          <w:tcPr>
            <w:tcW w:w="3640" w:type="dxa"/>
            <w:vAlign w:val="bottom"/>
            <w:gridSpan w:val="3"/>
          </w:tcPr>
          <w:p>
            <w:pPr>
              <w:jc w:val="right"/>
              <w:ind w:right="1059"/>
              <w:spacing w:after="0" w:line="168" w:lineRule="exact"/>
              <w:rPr>
                <w:sz w:val="20"/>
                <w:szCs w:val="20"/>
                <w:color w:val="auto"/>
              </w:rPr>
            </w:pPr>
            <w:r>
              <w:rPr>
                <w:rFonts w:ascii="Arial" w:cs="Arial" w:eastAsia="Arial" w:hAnsi="Arial"/>
                <w:sz w:val="16"/>
                <w:szCs w:val="16"/>
                <w:b w:val="1"/>
                <w:bCs w:val="1"/>
                <w:color w:val="auto"/>
              </w:rPr>
              <w:t>As of June 30, 2024</w:t>
            </w:r>
          </w:p>
        </w:tc>
        <w:tc>
          <w:tcPr>
            <w:tcW w:w="0" w:type="dxa"/>
            <w:vAlign w:val="bottom"/>
          </w:tcPr>
          <w:p>
            <w:pPr>
              <w:spacing w:after="0"/>
              <w:rPr>
                <w:sz w:val="1"/>
                <w:szCs w:val="1"/>
                <w:color w:val="auto"/>
              </w:rPr>
            </w:pPr>
          </w:p>
        </w:tc>
      </w:tr>
      <w:tr>
        <w:trPr>
          <w:trHeight w:val="53"/>
        </w:trPr>
        <w:tc>
          <w:tcPr>
            <w:tcW w:w="67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14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67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rPr>
              <w:t>Reclassification from</w:t>
            </w:r>
          </w:p>
        </w:tc>
        <w:tc>
          <w:tcPr>
            <w:tcW w:w="180" w:type="dxa"/>
            <w:vAlign w:val="bottom"/>
          </w:tcPr>
          <w:p>
            <w:pPr>
              <w:spacing w:after="0"/>
              <w:rPr>
                <w:sz w:val="13"/>
                <w:szCs w:val="13"/>
                <w:color w:val="auto"/>
              </w:rPr>
            </w:pPr>
          </w:p>
        </w:tc>
        <w:tc>
          <w:tcPr>
            <w:tcW w:w="164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Reclassification to</w:t>
            </w:r>
          </w:p>
        </w:tc>
        <w:tc>
          <w:tcPr>
            <w:tcW w:w="0" w:type="dxa"/>
            <w:vAlign w:val="bottom"/>
          </w:tcPr>
          <w:p>
            <w:pPr>
              <w:spacing w:after="0"/>
              <w:rPr>
                <w:sz w:val="1"/>
                <w:szCs w:val="1"/>
                <w:color w:val="auto"/>
              </w:rPr>
            </w:pPr>
          </w:p>
        </w:tc>
      </w:tr>
      <w:tr>
        <w:trPr>
          <w:trHeight w:val="81"/>
        </w:trPr>
        <w:tc>
          <w:tcPr>
            <w:tcW w:w="6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vMerge w:val="restart"/>
          </w:tcPr>
          <w:p>
            <w:pPr>
              <w:jc w:val="center"/>
              <w:ind w:right="59"/>
              <w:spacing w:after="0" w:line="162" w:lineRule="exact"/>
              <w:rPr>
                <w:sz w:val="20"/>
                <w:szCs w:val="20"/>
                <w:color w:val="auto"/>
              </w:rPr>
            </w:pPr>
            <w:r>
              <w:rPr>
                <w:rFonts w:ascii="Arial" w:cs="Arial" w:eastAsia="Arial" w:hAnsi="Arial"/>
                <w:sz w:val="16"/>
                <w:szCs w:val="16"/>
                <w:b w:val="1"/>
                <w:bCs w:val="1"/>
                <w:color w:val="auto"/>
              </w:rPr>
              <w:t>CrownRock</w:t>
            </w:r>
          </w:p>
        </w:tc>
        <w:tc>
          <w:tcPr>
            <w:tcW w:w="0" w:type="dxa"/>
            <w:vAlign w:val="bottom"/>
          </w:tcPr>
          <w:p>
            <w:pPr>
              <w:spacing w:after="0"/>
              <w:rPr>
                <w:sz w:val="1"/>
                <w:szCs w:val="1"/>
                <w:color w:val="auto"/>
              </w:rPr>
            </w:pPr>
          </w:p>
        </w:tc>
      </w:tr>
      <w:tr>
        <w:trPr>
          <w:trHeight w:val="81"/>
        </w:trPr>
        <w:tc>
          <w:tcPr>
            <w:tcW w:w="6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2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CrownRock</w:t>
            </w:r>
          </w:p>
        </w:tc>
        <w:tc>
          <w:tcPr>
            <w:tcW w:w="1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vMerge w:val="restart"/>
          </w:tcPr>
          <w:p>
            <w:pPr>
              <w:jc w:val="center"/>
              <w:ind w:right="59"/>
              <w:spacing w:after="0" w:line="162" w:lineRule="exact"/>
              <w:rPr>
                <w:sz w:val="20"/>
                <w:szCs w:val="20"/>
                <w:color w:val="auto"/>
              </w:rPr>
            </w:pPr>
            <w:r>
              <w:rPr>
                <w:rFonts w:ascii="Arial" w:cs="Arial" w:eastAsia="Arial" w:hAnsi="Arial"/>
                <w:sz w:val="16"/>
                <w:szCs w:val="16"/>
                <w:b w:val="1"/>
                <w:bCs w:val="1"/>
                <w:color w:val="auto"/>
              </w:rPr>
              <w:t>Historical</w:t>
            </w:r>
          </w:p>
        </w:tc>
        <w:tc>
          <w:tcPr>
            <w:tcW w:w="0" w:type="dxa"/>
            <w:vAlign w:val="bottom"/>
          </w:tcPr>
          <w:p>
            <w:pPr>
              <w:spacing w:after="0"/>
              <w:rPr>
                <w:sz w:val="1"/>
                <w:szCs w:val="1"/>
                <w:color w:val="auto"/>
              </w:rPr>
            </w:pPr>
          </w:p>
        </w:tc>
      </w:tr>
      <w:tr>
        <w:trPr>
          <w:trHeight w:val="81"/>
        </w:trPr>
        <w:tc>
          <w:tcPr>
            <w:tcW w:w="6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Historical</w:t>
            </w:r>
          </w:p>
        </w:tc>
        <w:tc>
          <w:tcPr>
            <w:tcW w:w="1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6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(Adjusted)</w:t>
            </w:r>
          </w:p>
        </w:tc>
        <w:tc>
          <w:tcPr>
            <w:tcW w:w="0" w:type="dxa"/>
            <w:vAlign w:val="bottom"/>
          </w:tcPr>
          <w:p>
            <w:pPr>
              <w:spacing w:after="0"/>
              <w:rPr>
                <w:sz w:val="1"/>
                <w:szCs w:val="1"/>
                <w:color w:val="auto"/>
              </w:rPr>
            </w:pPr>
          </w:p>
        </w:tc>
      </w:tr>
      <w:tr>
        <w:trPr>
          <w:trHeight w:val="74"/>
        </w:trPr>
        <w:tc>
          <w:tcPr>
            <w:tcW w:w="67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60" w:type="dxa"/>
            <w:vAlign w:val="bottom"/>
          </w:tcPr>
          <w:p>
            <w:pPr>
              <w:ind w:left="180"/>
              <w:spacing w:after="0"/>
              <w:rPr>
                <w:sz w:val="20"/>
                <w:szCs w:val="20"/>
                <w:color w:val="auto"/>
              </w:rPr>
            </w:pPr>
            <w:r>
              <w:rPr>
                <w:rFonts w:ascii="Arial" w:cs="Arial" w:eastAsia="Arial" w:hAnsi="Arial"/>
                <w:sz w:val="16"/>
                <w:szCs w:val="16"/>
                <w:color w:val="auto"/>
              </w:rPr>
              <w:t>Trade receivables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8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220.2</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6"/>
                <w:szCs w:val="16"/>
                <w:color w:val="auto"/>
              </w:rPr>
              <w:t>Property, plant and equipment</w:t>
            </w: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500"/>
              <w:spacing w:after="0"/>
              <w:rPr>
                <w:sz w:val="20"/>
                <w:szCs w:val="20"/>
                <w:color w:val="auto"/>
              </w:rPr>
            </w:pPr>
            <w:r>
              <w:rPr>
                <w:rFonts w:ascii="Arial" w:cs="Arial" w:eastAsia="Arial" w:hAnsi="Arial"/>
                <w:sz w:val="16"/>
                <w:szCs w:val="16"/>
                <w:color w:val="auto"/>
              </w:rPr>
              <w:t>Oil and gas</w:t>
            </w: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7,702.0</w:t>
            </w:r>
          </w:p>
        </w:tc>
        <w:tc>
          <w:tcPr>
            <w:tcW w:w="0" w:type="dxa"/>
            <w:vAlign w:val="bottom"/>
          </w:tcPr>
          <w:p>
            <w:pPr>
              <w:spacing w:after="0"/>
              <w:rPr>
                <w:sz w:val="1"/>
                <w:szCs w:val="1"/>
                <w:color w:val="auto"/>
              </w:rPr>
            </w:pPr>
          </w:p>
        </w:tc>
      </w:tr>
      <w:tr>
        <w:trPr>
          <w:trHeight w:val="216"/>
        </w:trPr>
        <w:tc>
          <w:tcPr>
            <w:tcW w:w="6760" w:type="dxa"/>
            <w:vAlign w:val="bottom"/>
          </w:tcPr>
          <w:p>
            <w:pPr>
              <w:ind w:left="500"/>
              <w:spacing w:after="0"/>
              <w:rPr>
                <w:sz w:val="20"/>
                <w:szCs w:val="20"/>
                <w:color w:val="auto"/>
              </w:rPr>
            </w:pPr>
            <w:r>
              <w:rPr>
                <w:rFonts w:ascii="Arial" w:cs="Arial" w:eastAsia="Arial" w:hAnsi="Arial"/>
                <w:sz w:val="16"/>
                <w:szCs w:val="16"/>
                <w:color w:val="auto"/>
              </w:rPr>
              <w:t>Corporate</w:t>
            </w: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6"/>
        </w:trPr>
        <w:tc>
          <w:tcPr>
            <w:tcW w:w="6760" w:type="dxa"/>
            <w:vAlign w:val="bottom"/>
          </w:tcPr>
          <w:p>
            <w:pPr>
              <w:ind w:left="500"/>
              <w:spacing w:after="0"/>
              <w:rPr>
                <w:sz w:val="20"/>
                <w:szCs w:val="20"/>
                <w:color w:val="auto"/>
              </w:rPr>
            </w:pPr>
            <w:r>
              <w:rPr>
                <w:rFonts w:ascii="Arial" w:cs="Arial" w:eastAsia="Arial" w:hAnsi="Arial"/>
                <w:sz w:val="16"/>
                <w:szCs w:val="16"/>
                <w:color w:val="auto"/>
              </w:rPr>
              <w:t>Accumulated depreciation, depletion and amortization</w:t>
            </w: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(3,533.0)</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6"/>
                <w:szCs w:val="16"/>
                <w:color w:val="auto"/>
              </w:rPr>
              <w:t>Other long-term assets</w:t>
            </w: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6"/>
                <w:szCs w:val="16"/>
                <w:color w:val="auto"/>
              </w:rPr>
              <w:t>Accounts receivable - related party</w:t>
            </w: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500"/>
              <w:spacing w:after="0"/>
              <w:rPr>
                <w:sz w:val="20"/>
                <w:szCs w:val="20"/>
                <w:color w:val="auto"/>
              </w:rPr>
            </w:pPr>
            <w:r>
              <w:rPr>
                <w:rFonts w:ascii="Arial" w:cs="Arial" w:eastAsia="Arial" w:hAnsi="Arial"/>
                <w:sz w:val="16"/>
                <w:szCs w:val="16"/>
                <w:color w:val="auto"/>
              </w:rPr>
              <w:t>Oil and natural gas</w:t>
            </w: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189.9</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50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30.3</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6"/>
                <w:szCs w:val="16"/>
                <w:color w:val="auto"/>
              </w:rPr>
              <w:t>Prepaid costs and other current assets</w:t>
            </w: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6"/>
                <w:szCs w:val="16"/>
                <w:color w:val="auto"/>
              </w:rPr>
              <w:t>Oil and natural gas properties, net, successful efforts method of accounting</w:t>
            </w: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4,034.0</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6"/>
                <w:szCs w:val="16"/>
                <w:color w:val="auto"/>
              </w:rPr>
              <w:t>Other property and equipment, net</w:t>
            </w: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143.0</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6"/>
                <w:szCs w:val="16"/>
                <w:color w:val="auto"/>
              </w:rPr>
              <w:t>Deferred loan costs, net</w:t>
            </w: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8.4</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60" w:type="dxa"/>
            <w:vAlign w:val="bottom"/>
          </w:tcPr>
          <w:p>
            <w:pPr>
              <w:ind w:left="180"/>
              <w:spacing w:after="0"/>
              <w:rPr>
                <w:sz w:val="20"/>
                <w:szCs w:val="20"/>
                <w:color w:val="auto"/>
              </w:rPr>
            </w:pPr>
            <w:r>
              <w:rPr>
                <w:rFonts w:ascii="Arial" w:cs="Arial" w:eastAsia="Arial" w:hAnsi="Arial"/>
                <w:sz w:val="16"/>
                <w:szCs w:val="16"/>
                <w:color w:val="auto"/>
              </w:rPr>
              <w:t>Accrued liabilities</w:t>
            </w: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6"/>
                <w:szCs w:val="16"/>
                <w:color w:val="auto"/>
              </w:rPr>
              <w:t>Accrued drilling cost – related party</w:t>
            </w: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81.9</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6"/>
                <w:szCs w:val="16"/>
                <w:color w:val="auto"/>
              </w:rPr>
              <w:t>Other accrued liabilities – related party</w:t>
            </w: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15.2</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6"/>
                <w:szCs w:val="16"/>
                <w:color w:val="auto"/>
              </w:rPr>
              <w:t>Accrued interest payable</w:t>
            </w: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13.3</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6"/>
                <w:szCs w:val="16"/>
                <w:color w:val="auto"/>
              </w:rPr>
              <w:t>Asset retirement obligations, current portion</w:t>
            </w: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0.4</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Equity</w:t>
            </w: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6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3,440.0</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6"/>
                <w:szCs w:val="16"/>
                <w:color w:val="auto"/>
              </w:rPr>
              <w:t>CrownRock, L.P. Partners' Capital</w:t>
            </w: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3,440.0</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7,958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7,958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779"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4"/>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Income Statement</w:t>
            </w:r>
          </w:p>
        </w:tc>
        <w:tc>
          <w:tcPr>
            <w:tcW w:w="3200" w:type="dxa"/>
            <w:vAlign w:val="bottom"/>
            <w:gridSpan w:val="5"/>
            <w:vMerge w:val="restart"/>
          </w:tcPr>
          <w:p>
            <w:pPr>
              <w:ind w:left="100"/>
              <w:spacing w:after="0"/>
              <w:rPr>
                <w:sz w:val="20"/>
                <w:szCs w:val="20"/>
                <w:color w:val="auto"/>
              </w:rPr>
            </w:pPr>
            <w:r>
              <w:rPr>
                <w:rFonts w:ascii="Arial" w:cs="Arial" w:eastAsia="Arial" w:hAnsi="Arial"/>
                <w:sz w:val="16"/>
                <w:szCs w:val="16"/>
                <w:b w:val="1"/>
                <w:bCs w:val="1"/>
                <w:color w:val="auto"/>
              </w:rPr>
              <w:t>For six months ended June 30, 2024</w:t>
            </w:r>
          </w:p>
        </w:tc>
        <w:tc>
          <w:tcPr>
            <w:tcW w:w="120" w:type="dxa"/>
            <w:vAlign w:val="bottom"/>
          </w:tcPr>
          <w:p>
            <w:pPr>
              <w:spacing w:after="0"/>
              <w:rPr>
                <w:sz w:val="16"/>
                <w:szCs w:val="16"/>
                <w:color w:val="auto"/>
              </w:rPr>
            </w:pPr>
          </w:p>
        </w:tc>
        <w:tc>
          <w:tcPr>
            <w:tcW w:w="286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For the year ended December 31,</w:t>
            </w:r>
          </w:p>
        </w:tc>
        <w:tc>
          <w:tcPr>
            <w:tcW w:w="0" w:type="dxa"/>
            <w:vAlign w:val="bottom"/>
          </w:tcPr>
          <w:p>
            <w:pPr>
              <w:spacing w:after="0"/>
              <w:rPr>
                <w:sz w:val="1"/>
                <w:szCs w:val="1"/>
                <w:color w:val="auto"/>
              </w:rPr>
            </w:pPr>
          </w:p>
        </w:tc>
      </w:tr>
      <w:tr>
        <w:trPr>
          <w:trHeight w:val="141"/>
        </w:trPr>
        <w:tc>
          <w:tcPr>
            <w:tcW w:w="43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32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2023</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4360" w:type="dxa"/>
            <w:vAlign w:val="bottom"/>
            <w:vMerge w:val="continue"/>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gridSpan w:val="2"/>
            <w:vMerge w:val="continue"/>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rPr>
              <w:t>Reclassification</w:t>
            </w:r>
          </w:p>
        </w:tc>
        <w:tc>
          <w:tcPr>
            <w:tcW w:w="17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rPr>
              <w:t>Reclassification to</w:t>
            </w: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Reclassification</w:t>
            </w:r>
          </w:p>
        </w:tc>
        <w:tc>
          <w:tcPr>
            <w:tcW w:w="1520" w:type="dxa"/>
            <w:vAlign w:val="bottom"/>
            <w:gridSpan w:val="2"/>
          </w:tcPr>
          <w:p>
            <w:pPr>
              <w:jc w:val="center"/>
              <w:spacing w:after="0"/>
              <w:rPr>
                <w:sz w:val="20"/>
                <w:szCs w:val="20"/>
                <w:color w:val="auto"/>
              </w:rPr>
            </w:pPr>
            <w:r>
              <w:rPr>
                <w:rFonts w:ascii="Arial" w:cs="Arial" w:eastAsia="Arial" w:hAnsi="Arial"/>
                <w:sz w:val="16"/>
                <w:szCs w:val="16"/>
                <w:b w:val="1"/>
                <w:bCs w:val="1"/>
                <w:color w:val="auto"/>
              </w:rPr>
              <w:t>Reclassification to</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940" w:type="dxa"/>
            <w:vAlign w:val="bottom"/>
          </w:tcPr>
          <w:p>
            <w:pPr>
              <w:jc w:val="center"/>
              <w:ind w:left="459"/>
              <w:spacing w:after="0" w:line="162" w:lineRule="exact"/>
              <w:rPr>
                <w:sz w:val="20"/>
                <w:szCs w:val="20"/>
                <w:color w:val="auto"/>
              </w:rPr>
            </w:pPr>
            <w:r>
              <w:rPr>
                <w:rFonts w:ascii="Arial" w:cs="Arial" w:eastAsia="Arial" w:hAnsi="Arial"/>
                <w:sz w:val="16"/>
                <w:szCs w:val="16"/>
                <w:b w:val="1"/>
                <w:bCs w:val="1"/>
                <w:color w:val="auto"/>
              </w:rPr>
              <w:t>from</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440"/>
              <w:spacing w:after="0" w:line="162" w:lineRule="exact"/>
              <w:rPr>
                <w:sz w:val="20"/>
                <w:szCs w:val="20"/>
                <w:color w:val="auto"/>
              </w:rPr>
            </w:pPr>
            <w:r>
              <w:rPr>
                <w:rFonts w:ascii="Arial" w:cs="Arial" w:eastAsia="Arial" w:hAnsi="Arial"/>
                <w:sz w:val="16"/>
                <w:szCs w:val="16"/>
                <w:b w:val="1"/>
                <w:bCs w:val="1"/>
                <w:color w:val="auto"/>
              </w:rPr>
              <w:t>CrownRock</w:t>
            </w:r>
          </w:p>
        </w:tc>
        <w:tc>
          <w:tcPr>
            <w:tcW w:w="120" w:type="dxa"/>
            <w:vAlign w:val="bottom"/>
          </w:tcPr>
          <w:p>
            <w:pPr>
              <w:spacing w:after="0"/>
              <w:rPr>
                <w:sz w:val="14"/>
                <w:szCs w:val="14"/>
                <w:color w:val="auto"/>
              </w:rPr>
            </w:pPr>
          </w:p>
        </w:tc>
        <w:tc>
          <w:tcPr>
            <w:tcW w:w="134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rPr>
              <w:t>from</w:t>
            </w:r>
          </w:p>
        </w:tc>
        <w:tc>
          <w:tcPr>
            <w:tcW w:w="260" w:type="dxa"/>
            <w:vAlign w:val="bottom"/>
          </w:tcPr>
          <w:p>
            <w:pPr>
              <w:spacing w:after="0"/>
              <w:rPr>
                <w:sz w:val="14"/>
                <w:szCs w:val="14"/>
                <w:color w:val="auto"/>
              </w:rPr>
            </w:pPr>
          </w:p>
        </w:tc>
        <w:tc>
          <w:tcPr>
            <w:tcW w:w="126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rPr>
              <w:t>CrownRock</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5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CrownRock</w:t>
            </w:r>
          </w:p>
        </w:tc>
        <w:tc>
          <w:tcPr>
            <w:tcW w:w="200" w:type="dxa"/>
            <w:vAlign w:val="bottom"/>
          </w:tcPr>
          <w:p>
            <w:pPr>
              <w:spacing w:after="0"/>
              <w:rPr>
                <w:sz w:val="14"/>
                <w:szCs w:val="14"/>
                <w:color w:val="auto"/>
              </w:rPr>
            </w:pPr>
          </w:p>
        </w:tc>
        <w:tc>
          <w:tcPr>
            <w:tcW w:w="1500" w:type="dxa"/>
            <w:vAlign w:val="bottom"/>
            <w:gridSpan w:val="2"/>
          </w:tcPr>
          <w:p>
            <w:pPr>
              <w:jc w:val="center"/>
              <w:ind w:right="440"/>
              <w:spacing w:after="0" w:line="162" w:lineRule="exact"/>
              <w:rPr>
                <w:sz w:val="20"/>
                <w:szCs w:val="20"/>
                <w:color w:val="auto"/>
              </w:rPr>
            </w:pPr>
            <w:r>
              <w:rPr>
                <w:rFonts w:ascii="Arial" w:cs="Arial" w:eastAsia="Arial" w:hAnsi="Arial"/>
                <w:sz w:val="16"/>
                <w:szCs w:val="16"/>
                <w:b w:val="1"/>
                <w:bCs w:val="1"/>
                <w:color w:val="auto"/>
              </w:rPr>
              <w:t>Historical</w:t>
            </w:r>
          </w:p>
        </w:tc>
        <w:tc>
          <w:tcPr>
            <w:tcW w:w="12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CrownRock</w:t>
            </w:r>
          </w:p>
        </w:tc>
        <w:tc>
          <w:tcPr>
            <w:tcW w:w="260" w:type="dxa"/>
            <w:vAlign w:val="bottom"/>
          </w:tcPr>
          <w:p>
            <w:pPr>
              <w:spacing w:after="0"/>
              <w:rPr>
                <w:sz w:val="14"/>
                <w:szCs w:val="14"/>
                <w:color w:val="auto"/>
              </w:rPr>
            </w:pPr>
          </w:p>
        </w:tc>
        <w:tc>
          <w:tcPr>
            <w:tcW w:w="126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rPr>
              <w:t>Historical</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rPr>
              <w:t>Historical</w:t>
            </w:r>
          </w:p>
        </w:tc>
        <w:tc>
          <w:tcPr>
            <w:tcW w:w="200" w:type="dxa"/>
            <w:vAlign w:val="bottom"/>
          </w:tcPr>
          <w:p>
            <w:pPr>
              <w:spacing w:after="0"/>
              <w:rPr>
                <w:sz w:val="19"/>
                <w:szCs w:val="19"/>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(Adjusted)</w:t>
            </w: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Historical</w:t>
            </w:r>
          </w:p>
        </w:tc>
        <w:tc>
          <w:tcPr>
            <w:tcW w:w="260" w:type="dxa"/>
            <w:vAlign w:val="bottom"/>
          </w:tcPr>
          <w:p>
            <w:pPr>
              <w:spacing w:after="0"/>
              <w:rPr>
                <w:sz w:val="19"/>
                <w:szCs w:val="19"/>
                <w:color w:val="auto"/>
              </w:rPr>
            </w:pPr>
          </w:p>
        </w:tc>
        <w:tc>
          <w:tcPr>
            <w:tcW w:w="1260" w:type="dxa"/>
            <w:vAlign w:val="bottom"/>
          </w:tcPr>
          <w:p>
            <w:pPr>
              <w:jc w:val="center"/>
              <w:ind w:right="139"/>
              <w:spacing w:after="0"/>
              <w:rPr>
                <w:sz w:val="20"/>
                <w:szCs w:val="20"/>
                <w:color w:val="auto"/>
              </w:rPr>
            </w:pPr>
            <w:r>
              <w:rPr>
                <w:rFonts w:ascii="Arial" w:cs="Arial" w:eastAsia="Arial" w:hAnsi="Arial"/>
                <w:sz w:val="16"/>
                <w:szCs w:val="16"/>
                <w:b w:val="1"/>
                <w:bCs w:val="1"/>
                <w:color w:val="auto"/>
              </w:rPr>
              <w:t>(Adjusted)</w:t>
            </w:r>
          </w:p>
        </w:tc>
        <w:tc>
          <w:tcPr>
            <w:tcW w:w="0" w:type="dxa"/>
            <w:vAlign w:val="bottom"/>
          </w:tcPr>
          <w:p>
            <w:pPr>
              <w:spacing w:after="0"/>
              <w:rPr>
                <w:sz w:val="1"/>
                <w:szCs w:val="1"/>
                <w:color w:val="auto"/>
              </w:rPr>
            </w:pPr>
          </w:p>
        </w:tc>
      </w:tr>
      <w:tr>
        <w:trPr>
          <w:trHeight w:val="74"/>
        </w:trPr>
        <w:tc>
          <w:tcPr>
            <w:tcW w:w="43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Revenues and other income</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60" w:type="dxa"/>
            <w:vAlign w:val="bottom"/>
          </w:tcPr>
          <w:p>
            <w:pPr>
              <w:ind w:left="180"/>
              <w:spacing w:after="0"/>
              <w:rPr>
                <w:sz w:val="20"/>
                <w:szCs w:val="20"/>
                <w:color w:val="auto"/>
              </w:rPr>
            </w:pPr>
            <w:r>
              <w:rPr>
                <w:rFonts w:ascii="Arial" w:cs="Arial" w:eastAsia="Arial" w:hAnsi="Arial"/>
                <w:sz w:val="16"/>
                <w:szCs w:val="16"/>
                <w:color w:val="auto"/>
              </w:rPr>
              <w:t>Net sales</w:t>
            </w: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1,264.5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18"/>
                <w:szCs w:val="18"/>
                <w:color w:val="auto"/>
              </w:rPr>
            </w:pP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2,520.9</w:t>
            </w: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6"/>
                <w:szCs w:val="16"/>
                <w:color w:val="auto"/>
              </w:rPr>
              <w:t>Interest, dividends and other income</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6"/>
                <w:szCs w:val="16"/>
                <w:color w:val="auto"/>
              </w:rPr>
              <w:t>Gains on sales of assets and other, net</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6"/>
                <w:szCs w:val="16"/>
                <w:color w:val="auto"/>
              </w:rPr>
              <w:t>Oil and natural gas sales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7"/>
              </w:rPr>
              <w:t>1,187.0</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2,381.9</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360" w:type="dxa"/>
            <w:vAlign w:val="bottom"/>
          </w:tcPr>
          <w:p>
            <w:pPr>
              <w:ind w:left="180"/>
              <w:spacing w:after="0" w:line="164" w:lineRule="exact"/>
              <w:rPr>
                <w:sz w:val="20"/>
                <w:szCs w:val="20"/>
                <w:color w:val="auto"/>
              </w:rPr>
            </w:pPr>
            <w:r>
              <w:rPr>
                <w:rFonts w:ascii="Arial" w:cs="Arial" w:eastAsia="Arial" w:hAnsi="Arial"/>
                <w:sz w:val="16"/>
                <w:szCs w:val="16"/>
                <w:color w:val="auto"/>
              </w:rPr>
              <w:t>Gain on sales and exchanges of oil and natural gas</w:t>
            </w: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60" w:type="dxa"/>
            <w:vAlign w:val="bottom"/>
            <w:vMerge w:val="restart"/>
          </w:tcPr>
          <w:p>
            <w:pPr>
              <w:ind w:left="340"/>
              <w:spacing w:after="0"/>
              <w:rPr>
                <w:sz w:val="20"/>
                <w:szCs w:val="20"/>
                <w:color w:val="auto"/>
              </w:rPr>
            </w:pPr>
            <w:r>
              <w:rPr>
                <w:rFonts w:ascii="Arial" w:cs="Arial" w:eastAsia="Arial" w:hAnsi="Arial"/>
                <w:sz w:val="16"/>
                <w:szCs w:val="16"/>
                <w:color w:val="auto"/>
              </w:rPr>
              <w:t>properties</w:t>
            </w:r>
          </w:p>
        </w:tc>
        <w:tc>
          <w:tcPr>
            <w:tcW w:w="9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43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4360" w:type="dxa"/>
            <w:vAlign w:val="bottom"/>
          </w:tcPr>
          <w:p>
            <w:pPr>
              <w:ind w:left="180"/>
              <w:spacing w:after="0"/>
              <w:rPr>
                <w:sz w:val="20"/>
                <w:szCs w:val="20"/>
                <w:color w:val="auto"/>
              </w:rPr>
            </w:pPr>
            <w:r>
              <w:rPr>
                <w:rFonts w:ascii="Arial" w:cs="Arial" w:eastAsia="Arial" w:hAnsi="Arial"/>
                <w:sz w:val="16"/>
                <w:szCs w:val="16"/>
                <w:color w:val="auto"/>
              </w:rPr>
              <w:t>Saltwater disposal</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40.9</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66.9</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6"/>
                <w:szCs w:val="16"/>
                <w:color w:val="auto"/>
              </w:rPr>
              <w:t>Gathering system rent and transportation fees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26.3</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47.9</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6"/>
                <w:szCs w:val="16"/>
                <w:color w:val="auto"/>
              </w:rPr>
              <w:t>Fresh water supply</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7.8</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20.0</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6"/>
                <w:szCs w:val="16"/>
                <w:color w:val="auto"/>
              </w:rPr>
              <w:t>Surface ownership</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6.4</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Costs and other deductions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60" w:type="dxa"/>
            <w:vAlign w:val="bottom"/>
          </w:tcPr>
          <w:p>
            <w:pPr>
              <w:ind w:left="180"/>
              <w:spacing w:after="0"/>
              <w:rPr>
                <w:sz w:val="20"/>
                <w:szCs w:val="20"/>
                <w:color w:val="auto"/>
              </w:rPr>
            </w:pPr>
            <w:r>
              <w:rPr>
                <w:rFonts w:ascii="Arial" w:cs="Arial" w:eastAsia="Arial" w:hAnsi="Arial"/>
                <w:sz w:val="16"/>
                <w:szCs w:val="16"/>
                <w:color w:val="auto"/>
              </w:rPr>
              <w:t>Oil and gas lease operating expense</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215.9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385.5</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6"/>
                <w:szCs w:val="16"/>
                <w:color w:val="auto"/>
              </w:rPr>
              <w:t>Selling, general and administrative expenses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6"/>
                <w:szCs w:val="16"/>
                <w:color w:val="auto"/>
              </w:rPr>
              <w:t>Taxes other than on income</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138.8</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6"/>
                <w:szCs w:val="16"/>
                <w:color w:val="auto"/>
              </w:rPr>
              <w:t>Depreciation, depletion and amortization</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6"/>
                <w:szCs w:val="16"/>
                <w:color w:val="auto"/>
              </w:rPr>
              <w:t>Lease operating expense</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215.9</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385.5</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6"/>
                <w:szCs w:val="16"/>
                <w:color w:val="auto"/>
              </w:rPr>
              <w:t>Production and ad valorem taxes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64.7</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138.8</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6"/>
                <w:szCs w:val="16"/>
                <w:color w:val="auto"/>
              </w:rPr>
              <w:t>Accretion of discount on asset retirement obligation</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8.6</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24.2</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Other items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60" w:type="dxa"/>
            <w:vAlign w:val="bottom"/>
          </w:tcPr>
          <w:p>
            <w:pPr>
              <w:ind w:left="180"/>
              <w:spacing w:after="0"/>
              <w:rPr>
                <w:sz w:val="20"/>
                <w:szCs w:val="20"/>
                <w:color w:val="auto"/>
              </w:rPr>
            </w:pPr>
            <w:r>
              <w:rPr>
                <w:rFonts w:ascii="Arial" w:cs="Arial" w:eastAsia="Arial" w:hAnsi="Arial"/>
                <w:sz w:val="16"/>
                <w:szCs w:val="16"/>
                <w:color w:val="auto"/>
              </w:rPr>
              <w:t>Income from equity investments and other</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6"/>
                <w:szCs w:val="16"/>
                <w:color w:val="auto"/>
              </w:rPr>
              <w:t>Gain (loss) on derivatives not designated as hedges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6"/>
                <w:szCs w:val="16"/>
                <w:color w:val="auto"/>
              </w:rPr>
              <w:t>Gain on extinguishment of debt</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6"/>
                <w:szCs w:val="16"/>
                <w:color w:val="auto"/>
              </w:rPr>
              <w:t>Other income (expense), net</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21.5</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9"/>
              </w:rPr>
              <w:t>1,560</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1,560</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3,101</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540"/>
          </w:cols>
          <w:pgMar w:left="660" w:top="806" w:right="699" w:bottom="1440" w:gutter="0" w:footer="0" w:header="0"/>
        </w:sectPr>
      </w:pPr>
    </w:p>
    <w:bookmarkStart w:id="37" w:name="page38"/>
    <w:bookmarkEnd w:id="37"/>
    <w:p>
      <w:pPr>
        <w:jc w:val="both"/>
        <w:ind w:left="332" w:hanging="332"/>
        <w:spacing w:after="0" w:line="274"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Reflects the issuance of approximately 29.6 million shares of Occidental common stock to the holders of the CrownRock interests as a portion of the consideration for the acquisition. The following table reconciles historical and pro forma basic and diluted earnings per share utilizing the two-class method for the periods indicated:</w:t>
      </w:r>
    </w:p>
    <w:p>
      <w:pPr>
        <w:spacing w:after="0" w:line="330" w:lineRule="exact"/>
        <w:rPr>
          <w:sz w:val="20"/>
          <w:szCs w:val="20"/>
          <w:color w:val="auto"/>
        </w:rPr>
      </w:pPr>
    </w:p>
    <w:p>
      <w:pPr>
        <w:ind w:left="3712"/>
        <w:spacing w:after="0"/>
        <w:tabs>
          <w:tab w:leader="none" w:pos="7612" w:val="left"/>
        </w:tabs>
        <w:rPr>
          <w:sz w:val="20"/>
          <w:szCs w:val="20"/>
          <w:color w:val="auto"/>
        </w:rPr>
      </w:pPr>
      <w:r>
        <w:rPr>
          <w:rFonts w:ascii="Arial" w:cs="Arial" w:eastAsia="Arial" w:hAnsi="Arial"/>
          <w:sz w:val="17"/>
          <w:szCs w:val="17"/>
          <w:b w:val="1"/>
          <w:bCs w:val="1"/>
          <w:color w:val="auto"/>
        </w:rPr>
        <w:t>For six months ended June 30, 2024</w:t>
      </w:r>
      <w:r>
        <w:rPr>
          <w:sz w:val="20"/>
          <w:szCs w:val="20"/>
          <w:color w:val="auto"/>
        </w:rPr>
        <w:tab/>
      </w:r>
      <w:r>
        <w:rPr>
          <w:rFonts w:ascii="Arial" w:cs="Arial" w:eastAsia="Arial" w:hAnsi="Arial"/>
          <w:sz w:val="17"/>
          <w:szCs w:val="17"/>
          <w:b w:val="1"/>
          <w:bCs w:val="1"/>
          <w:color w:val="auto"/>
        </w:rPr>
        <w:t>For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2134235</wp:posOffset>
            </wp:positionH>
            <wp:positionV relativeFrom="paragraph">
              <wp:posOffset>95885</wp:posOffset>
            </wp:positionV>
            <wp:extent cx="47663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663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332" w:type="dxa"/>
        <w:tblCellMar>
          <w:top w:w="0" w:type="dxa"/>
          <w:left w:w="0" w:type="dxa"/>
          <w:bottom w:w="0" w:type="dxa"/>
          <w:right w:w="0" w:type="dxa"/>
        </w:tblCellMar>
      </w:tblPr>
      <w:tr>
        <w:trPr>
          <w:trHeight w:val="195"/>
        </w:trPr>
        <w:tc>
          <w:tcPr>
            <w:tcW w:w="302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in millions, except per-share amounts</w:t>
            </w:r>
          </w:p>
        </w:tc>
        <w:tc>
          <w:tcPr>
            <w:tcW w:w="184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Occidental Historical</w:t>
            </w:r>
          </w:p>
        </w:tc>
        <w:tc>
          <w:tcPr>
            <w:tcW w:w="2000" w:type="dxa"/>
            <w:vAlign w:val="bottom"/>
            <w:gridSpan w:val="3"/>
          </w:tcPr>
          <w:p>
            <w:pPr>
              <w:ind w:left="20"/>
              <w:spacing w:after="0"/>
              <w:rPr>
                <w:sz w:val="20"/>
                <w:szCs w:val="20"/>
                <w:color w:val="auto"/>
              </w:rPr>
            </w:pPr>
            <w:r>
              <w:rPr>
                <w:rFonts w:ascii="Arial" w:cs="Arial" w:eastAsia="Arial" w:hAnsi="Arial"/>
                <w:sz w:val="17"/>
                <w:szCs w:val="17"/>
                <w:b w:val="1"/>
                <w:bCs w:val="1"/>
                <w:color w:val="auto"/>
              </w:rPr>
              <w:t>Occidental Combined</w:t>
            </w:r>
          </w:p>
        </w:tc>
        <w:tc>
          <w:tcPr>
            <w:tcW w:w="184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Occidental Historical</w:t>
            </w:r>
          </w:p>
        </w:tc>
        <w:tc>
          <w:tcPr>
            <w:tcW w:w="1840" w:type="dxa"/>
            <w:vAlign w:val="bottom"/>
            <w:gridSpan w:val="2"/>
          </w:tcPr>
          <w:p>
            <w:pPr>
              <w:ind w:left="40"/>
              <w:spacing w:after="0"/>
              <w:rPr>
                <w:sz w:val="20"/>
                <w:szCs w:val="20"/>
                <w:color w:val="auto"/>
              </w:rPr>
            </w:pPr>
            <w:r>
              <w:rPr>
                <w:rFonts w:ascii="Arial" w:cs="Arial" w:eastAsia="Arial" w:hAnsi="Arial"/>
                <w:sz w:val="17"/>
                <w:szCs w:val="17"/>
                <w:b w:val="1"/>
                <w:bCs w:val="1"/>
                <w:color w:val="auto"/>
              </w:rPr>
              <w:t>Occidental Combined</w:t>
            </w:r>
          </w:p>
        </w:tc>
        <w:tc>
          <w:tcPr>
            <w:tcW w:w="0" w:type="dxa"/>
            <w:vAlign w:val="bottom"/>
          </w:tcPr>
          <w:p>
            <w:pPr>
              <w:spacing w:after="0"/>
              <w:rPr>
                <w:sz w:val="1"/>
                <w:szCs w:val="1"/>
                <w:color w:val="auto"/>
              </w:rPr>
            </w:pPr>
          </w:p>
        </w:tc>
      </w:tr>
      <w:tr>
        <w:trPr>
          <w:trHeight w:val="229"/>
        </w:trPr>
        <w:tc>
          <w:tcPr>
            <w:tcW w:w="3020" w:type="dxa"/>
            <w:vAlign w:val="bottom"/>
            <w:vMerge w:val="continue"/>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2"/>
          </w:tcPr>
          <w:p>
            <w:pPr>
              <w:ind w:left="180"/>
              <w:spacing w:after="0"/>
              <w:rPr>
                <w:sz w:val="20"/>
                <w:szCs w:val="20"/>
                <w:color w:val="auto"/>
              </w:rPr>
            </w:pPr>
            <w:r>
              <w:rPr>
                <w:rFonts w:ascii="Arial" w:cs="Arial" w:eastAsia="Arial" w:hAnsi="Arial"/>
                <w:sz w:val="17"/>
                <w:szCs w:val="17"/>
                <w:b w:val="1"/>
                <w:bCs w:val="1"/>
                <w:color w:val="auto"/>
              </w:rPr>
              <w:t>Pro Forma</w:t>
            </w:r>
          </w:p>
        </w:tc>
        <w:tc>
          <w:tcPr>
            <w:tcW w:w="18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ind w:right="415"/>
              <w:spacing w:after="0"/>
              <w:rPr>
                <w:sz w:val="20"/>
                <w:szCs w:val="20"/>
                <w:color w:val="auto"/>
              </w:rPr>
            </w:pPr>
            <w:r>
              <w:rPr>
                <w:rFonts w:ascii="Arial" w:cs="Arial" w:eastAsia="Arial" w:hAnsi="Arial"/>
                <w:sz w:val="17"/>
                <w:szCs w:val="17"/>
                <w:b w:val="1"/>
                <w:bCs w:val="1"/>
                <w:color w:val="auto"/>
              </w:rPr>
              <w:t>Pro Forma</w:t>
            </w:r>
          </w:p>
        </w:tc>
        <w:tc>
          <w:tcPr>
            <w:tcW w:w="0" w:type="dxa"/>
            <w:vAlign w:val="bottom"/>
          </w:tcPr>
          <w:p>
            <w:pPr>
              <w:spacing w:after="0"/>
              <w:rPr>
                <w:sz w:val="1"/>
                <w:szCs w:val="1"/>
                <w:color w:val="auto"/>
              </w:rPr>
            </w:pPr>
          </w:p>
        </w:tc>
      </w:tr>
      <w:tr>
        <w:trPr>
          <w:trHeight w:val="156"/>
        </w:trPr>
        <w:tc>
          <w:tcPr>
            <w:tcW w:w="3020" w:type="dxa"/>
            <w:vAlign w:val="bottom"/>
            <w:tcBorders>
              <w:top w:val="single" w:sz="8" w:color="auto"/>
            </w:tcBorders>
          </w:tcPr>
          <w:p>
            <w:pPr>
              <w:ind w:left="100"/>
              <w:spacing w:after="0" w:line="155" w:lineRule="exact"/>
              <w:rPr>
                <w:sz w:val="20"/>
                <w:szCs w:val="20"/>
                <w:color w:val="auto"/>
              </w:rPr>
            </w:pPr>
            <w:r>
              <w:rPr>
                <w:rFonts w:ascii="Arial" w:cs="Arial" w:eastAsia="Arial" w:hAnsi="Arial"/>
                <w:sz w:val="17"/>
                <w:szCs w:val="17"/>
                <w:color w:val="auto"/>
              </w:rPr>
              <w:t>Income from continuing operations</w:t>
            </w:r>
          </w:p>
        </w:tc>
        <w:tc>
          <w:tcPr>
            <w:tcW w:w="720" w:type="dxa"/>
            <w:vAlign w:val="bottom"/>
            <w:tcBorders>
              <w:top w:val="single" w:sz="8" w:color="auto"/>
            </w:tcBorders>
            <w:vMerge w:val="restart"/>
          </w:tcPr>
          <w:p>
            <w:pPr>
              <w:jc w:val="right"/>
              <w:ind w:right="515"/>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1,528</w:t>
            </w:r>
          </w:p>
        </w:tc>
        <w:tc>
          <w:tcPr>
            <w:tcW w:w="300" w:type="dxa"/>
            <w:vAlign w:val="bottom"/>
            <w:tcBorders>
              <w:top w:val="single" w:sz="8" w:color="auto"/>
            </w:tcBorders>
            <w:vMerge w:val="restart"/>
          </w:tcPr>
          <w:p>
            <w:pPr>
              <w:ind w:left="20"/>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1,701</w:t>
            </w:r>
          </w:p>
        </w:tc>
        <w:tc>
          <w:tcPr>
            <w:tcW w:w="180" w:type="dxa"/>
            <w:vAlign w:val="bottom"/>
          </w:tcPr>
          <w:p>
            <w:pPr>
              <w:spacing w:after="0"/>
              <w:rPr>
                <w:sz w:val="13"/>
                <w:szCs w:val="13"/>
                <w:color w:val="auto"/>
              </w:rPr>
            </w:pPr>
          </w:p>
        </w:tc>
        <w:tc>
          <w:tcPr>
            <w:tcW w:w="720" w:type="dxa"/>
            <w:vAlign w:val="bottom"/>
            <w:tcBorders>
              <w:top w:val="single" w:sz="8" w:color="auto"/>
            </w:tcBorders>
            <w:vMerge w:val="restart"/>
          </w:tcPr>
          <w:p>
            <w:pPr>
              <w:jc w:val="right"/>
              <w:ind w:right="515"/>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3,773</w:t>
            </w:r>
          </w:p>
        </w:tc>
        <w:tc>
          <w:tcPr>
            <w:tcW w:w="300" w:type="dxa"/>
            <w:vAlign w:val="bottom"/>
            <w:tcBorders>
              <w:top w:val="single" w:sz="8" w:color="auto"/>
            </w:tcBorders>
            <w:vMerge w:val="restart"/>
          </w:tcPr>
          <w:p>
            <w:pPr>
              <w:ind w:left="20"/>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4,171</w:t>
            </w:r>
          </w:p>
        </w:tc>
        <w:tc>
          <w:tcPr>
            <w:tcW w:w="0" w:type="dxa"/>
            <w:vAlign w:val="bottom"/>
          </w:tcPr>
          <w:p>
            <w:pPr>
              <w:spacing w:after="0"/>
              <w:rPr>
                <w:sz w:val="1"/>
                <w:szCs w:val="1"/>
                <w:color w:val="auto"/>
              </w:rPr>
            </w:pPr>
          </w:p>
        </w:tc>
      </w:tr>
      <w:tr>
        <w:trPr>
          <w:trHeight w:val="221"/>
        </w:trPr>
        <w:tc>
          <w:tcPr>
            <w:tcW w:w="3020" w:type="dxa"/>
            <w:vAlign w:val="bottom"/>
          </w:tcPr>
          <w:p>
            <w:pPr>
              <w:ind w:left="260"/>
              <w:spacing w:after="0"/>
              <w:rPr>
                <w:sz w:val="20"/>
                <w:szCs w:val="20"/>
                <w:color w:val="auto"/>
              </w:rPr>
            </w:pPr>
            <w:r>
              <w:rPr>
                <w:rFonts w:ascii="Arial" w:cs="Arial" w:eastAsia="Arial" w:hAnsi="Arial"/>
                <w:sz w:val="17"/>
                <w:szCs w:val="17"/>
                <w:color w:val="auto"/>
              </w:rPr>
              <w:t>attributable to common stock</w:t>
            </w:r>
          </w:p>
        </w:tc>
        <w:tc>
          <w:tcPr>
            <w:tcW w:w="72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020" w:type="dxa"/>
            <w:vAlign w:val="bottom"/>
          </w:tcPr>
          <w:p>
            <w:pPr>
              <w:ind w:left="260"/>
              <w:spacing w:after="0" w:line="171" w:lineRule="exact"/>
              <w:rPr>
                <w:sz w:val="20"/>
                <w:szCs w:val="20"/>
                <w:color w:val="auto"/>
              </w:rPr>
            </w:pPr>
            <w:r>
              <w:rPr>
                <w:rFonts w:ascii="Arial" w:cs="Arial" w:eastAsia="Arial" w:hAnsi="Arial"/>
                <w:sz w:val="17"/>
                <w:szCs w:val="17"/>
                <w:color w:val="auto"/>
              </w:rPr>
              <w:t>Less: Net income allocated to</w:t>
            </w:r>
          </w:p>
        </w:tc>
        <w:tc>
          <w:tcPr>
            <w:tcW w:w="7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(10)</w:t>
            </w:r>
          </w:p>
        </w:tc>
        <w:tc>
          <w:tcPr>
            <w:tcW w:w="30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(21)</w:t>
            </w:r>
          </w:p>
        </w:tc>
        <w:tc>
          <w:tcPr>
            <w:tcW w:w="30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25"/>
        </w:trPr>
        <w:tc>
          <w:tcPr>
            <w:tcW w:w="3020" w:type="dxa"/>
            <w:vAlign w:val="bottom"/>
          </w:tcPr>
          <w:p>
            <w:pPr>
              <w:ind w:left="340"/>
              <w:spacing w:after="0"/>
              <w:rPr>
                <w:sz w:val="20"/>
                <w:szCs w:val="20"/>
                <w:color w:val="auto"/>
              </w:rPr>
            </w:pPr>
            <w:r>
              <w:rPr>
                <w:rFonts w:ascii="Arial" w:cs="Arial" w:eastAsia="Arial" w:hAnsi="Arial"/>
                <w:sz w:val="17"/>
                <w:szCs w:val="17"/>
                <w:color w:val="auto"/>
              </w:rPr>
              <w:t>participating securities</w:t>
            </w: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3020" w:type="dxa"/>
            <w:vAlign w:val="bottom"/>
          </w:tcPr>
          <w:p>
            <w:pPr>
              <w:ind w:left="100"/>
              <w:spacing w:after="0" w:line="147" w:lineRule="exact"/>
              <w:rPr>
                <w:sz w:val="20"/>
                <w:szCs w:val="20"/>
                <w:color w:val="auto"/>
              </w:rPr>
            </w:pPr>
            <w:r>
              <w:rPr>
                <w:rFonts w:ascii="Arial" w:cs="Arial" w:eastAsia="Arial" w:hAnsi="Arial"/>
                <w:sz w:val="17"/>
                <w:szCs w:val="17"/>
                <w:color w:val="auto"/>
              </w:rPr>
              <w:t>Net income, net of participating</w:t>
            </w:r>
          </w:p>
        </w:tc>
        <w:tc>
          <w:tcPr>
            <w:tcW w:w="720" w:type="dxa"/>
            <w:vAlign w:val="bottom"/>
            <w:vMerge w:val="restart"/>
          </w:tcPr>
          <w:p>
            <w:pPr>
              <w:jc w:val="right"/>
              <w:ind w:right="515"/>
              <w:spacing w:after="0"/>
              <w:rPr>
                <w:sz w:val="20"/>
                <w:szCs w:val="20"/>
                <w:color w:val="auto"/>
              </w:rPr>
            </w:pPr>
            <w:r>
              <w:rPr>
                <w:rFonts w:ascii="Arial" w:cs="Arial" w:eastAsia="Arial" w:hAnsi="Arial"/>
                <w:sz w:val="17"/>
                <w:szCs w:val="17"/>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1,518</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1520" w:type="dxa"/>
            <w:vAlign w:val="bottom"/>
            <w:vMerge w:val="restart"/>
          </w:tcPr>
          <w:p>
            <w:pPr>
              <w:jc w:val="right"/>
              <w:spacing w:after="0"/>
              <w:rPr>
                <w:sz w:val="20"/>
                <w:szCs w:val="20"/>
                <w:color w:val="auto"/>
              </w:rPr>
            </w:pPr>
            <w:r>
              <w:rPr>
                <w:rFonts w:ascii="Arial" w:cs="Arial" w:eastAsia="Arial" w:hAnsi="Arial"/>
                <w:sz w:val="17"/>
                <w:szCs w:val="17"/>
                <w:color w:val="auto"/>
              </w:rPr>
              <w:t>1,691</w:t>
            </w:r>
          </w:p>
        </w:tc>
        <w:tc>
          <w:tcPr>
            <w:tcW w:w="180" w:type="dxa"/>
            <w:vAlign w:val="bottom"/>
          </w:tcPr>
          <w:p>
            <w:pPr>
              <w:spacing w:after="0"/>
              <w:rPr>
                <w:sz w:val="12"/>
                <w:szCs w:val="12"/>
                <w:color w:val="auto"/>
              </w:rPr>
            </w:pPr>
          </w:p>
        </w:tc>
        <w:tc>
          <w:tcPr>
            <w:tcW w:w="720" w:type="dxa"/>
            <w:vAlign w:val="bottom"/>
            <w:vMerge w:val="restart"/>
          </w:tcPr>
          <w:p>
            <w:pPr>
              <w:jc w:val="right"/>
              <w:ind w:right="515"/>
              <w:spacing w:after="0"/>
              <w:rPr>
                <w:sz w:val="20"/>
                <w:szCs w:val="20"/>
                <w:color w:val="auto"/>
              </w:rPr>
            </w:pPr>
            <w:r>
              <w:rPr>
                <w:rFonts w:ascii="Arial" w:cs="Arial" w:eastAsia="Arial" w:hAnsi="Arial"/>
                <w:sz w:val="17"/>
                <w:szCs w:val="17"/>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3,752</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1540" w:type="dxa"/>
            <w:vAlign w:val="bottom"/>
            <w:vMerge w:val="restart"/>
          </w:tcPr>
          <w:p>
            <w:pPr>
              <w:jc w:val="right"/>
              <w:spacing w:after="0"/>
              <w:rPr>
                <w:sz w:val="20"/>
                <w:szCs w:val="20"/>
                <w:color w:val="auto"/>
              </w:rPr>
            </w:pPr>
            <w:r>
              <w:rPr>
                <w:rFonts w:ascii="Arial" w:cs="Arial" w:eastAsia="Arial" w:hAnsi="Arial"/>
                <w:sz w:val="17"/>
                <w:szCs w:val="17"/>
                <w:color w:val="auto"/>
              </w:rPr>
              <w:t>4,150</w:t>
            </w:r>
          </w:p>
        </w:tc>
        <w:tc>
          <w:tcPr>
            <w:tcW w:w="0" w:type="dxa"/>
            <w:vAlign w:val="bottom"/>
          </w:tcPr>
          <w:p>
            <w:pPr>
              <w:spacing w:after="0"/>
              <w:rPr>
                <w:sz w:val="1"/>
                <w:szCs w:val="1"/>
                <w:color w:val="auto"/>
              </w:rPr>
            </w:pPr>
          </w:p>
        </w:tc>
      </w:tr>
      <w:tr>
        <w:trPr>
          <w:trHeight w:val="230"/>
        </w:trPr>
        <w:tc>
          <w:tcPr>
            <w:tcW w:w="3020" w:type="dxa"/>
            <w:vAlign w:val="bottom"/>
          </w:tcPr>
          <w:p>
            <w:pPr>
              <w:ind w:left="260"/>
              <w:spacing w:after="0"/>
              <w:rPr>
                <w:sz w:val="20"/>
                <w:szCs w:val="20"/>
                <w:color w:val="auto"/>
              </w:rPr>
            </w:pPr>
            <w:r>
              <w:rPr>
                <w:rFonts w:ascii="Arial" w:cs="Arial" w:eastAsia="Arial" w:hAnsi="Arial"/>
                <w:sz w:val="17"/>
                <w:szCs w:val="17"/>
                <w:color w:val="auto"/>
              </w:rPr>
              <w:t>securities</w:t>
            </w:r>
          </w:p>
        </w:tc>
        <w:tc>
          <w:tcPr>
            <w:tcW w:w="72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020" w:type="dxa"/>
            <w:vAlign w:val="bottom"/>
          </w:tcPr>
          <w:p>
            <w:pPr>
              <w:ind w:left="100"/>
              <w:spacing w:after="0"/>
              <w:rPr>
                <w:sz w:val="20"/>
                <w:szCs w:val="20"/>
                <w:color w:val="auto"/>
              </w:rPr>
            </w:pPr>
            <w:r>
              <w:rPr>
                <w:rFonts w:ascii="Arial" w:cs="Arial" w:eastAsia="Arial" w:hAnsi="Arial"/>
                <w:sz w:val="17"/>
                <w:szCs w:val="17"/>
                <w:color w:val="auto"/>
              </w:rPr>
              <w:t>Weighted-average number of basic</w:t>
            </w:r>
          </w:p>
        </w:tc>
        <w:tc>
          <w:tcPr>
            <w:tcW w:w="720" w:type="dxa"/>
            <w:vAlign w:val="bottom"/>
          </w:tcPr>
          <w:p>
            <w:pPr>
              <w:spacing w:after="0"/>
              <w:rPr>
                <w:sz w:val="22"/>
                <w:szCs w:val="22"/>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889.2</w:t>
            </w:r>
          </w:p>
        </w:tc>
        <w:tc>
          <w:tcPr>
            <w:tcW w:w="300" w:type="dxa"/>
            <w:vAlign w:val="bottom"/>
          </w:tcPr>
          <w:p>
            <w:pPr>
              <w:spacing w:after="0"/>
              <w:rPr>
                <w:sz w:val="22"/>
                <w:szCs w:val="22"/>
                <w:color w:val="auto"/>
              </w:rPr>
            </w:pPr>
          </w:p>
        </w:tc>
        <w:tc>
          <w:tcPr>
            <w:tcW w:w="1520" w:type="dxa"/>
            <w:vAlign w:val="bottom"/>
            <w:vMerge w:val="restart"/>
          </w:tcPr>
          <w:p>
            <w:pPr>
              <w:jc w:val="right"/>
              <w:spacing w:after="0"/>
              <w:rPr>
                <w:sz w:val="20"/>
                <w:szCs w:val="20"/>
                <w:color w:val="auto"/>
              </w:rPr>
            </w:pPr>
            <w:r>
              <w:rPr>
                <w:rFonts w:ascii="Arial" w:cs="Arial" w:eastAsia="Arial" w:hAnsi="Arial"/>
                <w:sz w:val="17"/>
                <w:szCs w:val="17"/>
                <w:color w:val="auto"/>
              </w:rPr>
              <w:t>918.8</w:t>
            </w: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889.2</w:t>
            </w:r>
          </w:p>
        </w:tc>
        <w:tc>
          <w:tcPr>
            <w:tcW w:w="300" w:type="dxa"/>
            <w:vAlign w:val="bottom"/>
          </w:tcPr>
          <w:p>
            <w:pPr>
              <w:spacing w:after="0"/>
              <w:rPr>
                <w:sz w:val="22"/>
                <w:szCs w:val="22"/>
                <w:color w:val="auto"/>
              </w:rPr>
            </w:pPr>
          </w:p>
        </w:tc>
        <w:tc>
          <w:tcPr>
            <w:tcW w:w="1540" w:type="dxa"/>
            <w:vAlign w:val="bottom"/>
            <w:vMerge w:val="restart"/>
          </w:tcPr>
          <w:p>
            <w:pPr>
              <w:jc w:val="right"/>
              <w:spacing w:after="0"/>
              <w:rPr>
                <w:sz w:val="20"/>
                <w:szCs w:val="20"/>
                <w:color w:val="auto"/>
              </w:rPr>
            </w:pPr>
            <w:r>
              <w:rPr>
                <w:rFonts w:ascii="Arial" w:cs="Arial" w:eastAsia="Arial" w:hAnsi="Arial"/>
                <w:sz w:val="17"/>
                <w:szCs w:val="17"/>
                <w:color w:val="auto"/>
              </w:rPr>
              <w:t>918.8</w:t>
            </w:r>
          </w:p>
        </w:tc>
        <w:tc>
          <w:tcPr>
            <w:tcW w:w="0" w:type="dxa"/>
            <w:vAlign w:val="bottom"/>
          </w:tcPr>
          <w:p>
            <w:pPr>
              <w:spacing w:after="0"/>
              <w:rPr>
                <w:sz w:val="1"/>
                <w:szCs w:val="1"/>
                <w:color w:val="auto"/>
              </w:rPr>
            </w:pPr>
          </w:p>
        </w:tc>
      </w:tr>
      <w:tr>
        <w:trPr>
          <w:trHeight w:val="221"/>
        </w:trPr>
        <w:tc>
          <w:tcPr>
            <w:tcW w:w="3020" w:type="dxa"/>
            <w:vAlign w:val="bottom"/>
          </w:tcPr>
          <w:p>
            <w:pPr>
              <w:ind w:left="260"/>
              <w:spacing w:after="0"/>
              <w:rPr>
                <w:sz w:val="20"/>
                <w:szCs w:val="20"/>
                <w:color w:val="auto"/>
              </w:rPr>
            </w:pPr>
            <w:r>
              <w:rPr>
                <w:rFonts w:ascii="Arial" w:cs="Arial" w:eastAsia="Arial" w:hAnsi="Arial"/>
                <w:sz w:val="17"/>
                <w:szCs w:val="17"/>
                <w:color w:val="auto"/>
              </w:rPr>
              <w:t>shares</w:t>
            </w:r>
          </w:p>
        </w:tc>
        <w:tc>
          <w:tcPr>
            <w:tcW w:w="7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020" w:type="dxa"/>
            <w:vAlign w:val="bottom"/>
          </w:tcPr>
          <w:p>
            <w:pPr>
              <w:ind w:left="100"/>
              <w:spacing w:after="0"/>
              <w:rPr>
                <w:sz w:val="20"/>
                <w:szCs w:val="20"/>
                <w:color w:val="auto"/>
              </w:rPr>
            </w:pPr>
            <w:r>
              <w:rPr>
                <w:rFonts w:ascii="Arial" w:cs="Arial" w:eastAsia="Arial" w:hAnsi="Arial"/>
                <w:sz w:val="17"/>
                <w:szCs w:val="17"/>
                <w:color w:val="auto"/>
              </w:rPr>
              <w:t>Dilutive securities</w:t>
            </w: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64.9</w:t>
            </w: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64.9</w:t>
            </w:r>
          </w:p>
        </w:tc>
        <w:tc>
          <w:tcPr>
            <w:tcW w:w="1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71.7</w:t>
            </w: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71.7</w:t>
            </w:r>
          </w:p>
        </w:tc>
        <w:tc>
          <w:tcPr>
            <w:tcW w:w="0" w:type="dxa"/>
            <w:vAlign w:val="bottom"/>
          </w:tcPr>
          <w:p>
            <w:pPr>
              <w:spacing w:after="0"/>
              <w:rPr>
                <w:sz w:val="1"/>
                <w:szCs w:val="1"/>
                <w:color w:val="auto"/>
              </w:rPr>
            </w:pPr>
          </w:p>
        </w:tc>
      </w:tr>
      <w:tr>
        <w:trPr>
          <w:trHeight w:val="148"/>
        </w:trPr>
        <w:tc>
          <w:tcPr>
            <w:tcW w:w="3020" w:type="dxa"/>
            <w:vAlign w:val="bottom"/>
          </w:tcPr>
          <w:p>
            <w:pPr>
              <w:ind w:left="100"/>
              <w:spacing w:after="0" w:line="149" w:lineRule="exact"/>
              <w:rPr>
                <w:sz w:val="20"/>
                <w:szCs w:val="20"/>
                <w:color w:val="auto"/>
              </w:rPr>
            </w:pPr>
            <w:r>
              <w:rPr>
                <w:rFonts w:ascii="Arial" w:cs="Arial" w:eastAsia="Arial" w:hAnsi="Arial"/>
                <w:sz w:val="17"/>
                <w:szCs w:val="17"/>
                <w:color w:val="auto"/>
              </w:rPr>
              <w:t>Diluted weighted average common</w:t>
            </w:r>
          </w:p>
        </w:tc>
        <w:tc>
          <w:tcPr>
            <w:tcW w:w="7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954.1</w:t>
            </w:r>
          </w:p>
        </w:tc>
        <w:tc>
          <w:tcPr>
            <w:tcW w:w="30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7"/>
                <w:szCs w:val="17"/>
                <w:color w:val="auto"/>
              </w:rPr>
              <w:t>983.7</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960.9</w:t>
            </w:r>
          </w:p>
        </w:tc>
        <w:tc>
          <w:tcPr>
            <w:tcW w:w="30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Arial" w:cs="Arial" w:eastAsia="Arial" w:hAnsi="Arial"/>
                <w:sz w:val="17"/>
                <w:szCs w:val="17"/>
                <w:color w:val="auto"/>
              </w:rPr>
              <w:t>990.5</w:t>
            </w:r>
          </w:p>
        </w:tc>
        <w:tc>
          <w:tcPr>
            <w:tcW w:w="0" w:type="dxa"/>
            <w:vAlign w:val="bottom"/>
          </w:tcPr>
          <w:p>
            <w:pPr>
              <w:spacing w:after="0"/>
              <w:rPr>
                <w:sz w:val="1"/>
                <w:szCs w:val="1"/>
                <w:color w:val="auto"/>
              </w:rPr>
            </w:pPr>
          </w:p>
        </w:tc>
      </w:tr>
      <w:tr>
        <w:trPr>
          <w:trHeight w:val="225"/>
        </w:trPr>
        <w:tc>
          <w:tcPr>
            <w:tcW w:w="3020" w:type="dxa"/>
            <w:vAlign w:val="bottom"/>
          </w:tcPr>
          <w:p>
            <w:pPr>
              <w:ind w:left="260"/>
              <w:spacing w:after="0"/>
              <w:rPr>
                <w:sz w:val="20"/>
                <w:szCs w:val="20"/>
                <w:color w:val="auto"/>
              </w:rPr>
            </w:pPr>
            <w:r>
              <w:rPr>
                <w:rFonts w:ascii="Arial" w:cs="Arial" w:eastAsia="Arial" w:hAnsi="Arial"/>
                <w:sz w:val="17"/>
                <w:szCs w:val="17"/>
                <w:color w:val="auto"/>
              </w:rPr>
              <w:t>shares outstanding</w:t>
            </w: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020" w:type="dxa"/>
            <w:vAlign w:val="bottom"/>
          </w:tcPr>
          <w:p>
            <w:pPr>
              <w:ind w:left="20"/>
              <w:spacing w:after="0"/>
              <w:rPr>
                <w:sz w:val="20"/>
                <w:szCs w:val="20"/>
                <w:color w:val="auto"/>
              </w:rPr>
            </w:pPr>
            <w:r>
              <w:rPr>
                <w:rFonts w:ascii="Arial" w:cs="Arial" w:eastAsia="Arial" w:hAnsi="Arial"/>
                <w:sz w:val="17"/>
                <w:szCs w:val="17"/>
                <w:color w:val="auto"/>
              </w:rPr>
              <w:t>Basic income from continuing ops per</w:t>
            </w:r>
          </w:p>
        </w:tc>
        <w:tc>
          <w:tcPr>
            <w:tcW w:w="720" w:type="dxa"/>
            <w:vAlign w:val="bottom"/>
            <w:vMerge w:val="restart"/>
          </w:tcPr>
          <w:p>
            <w:pPr>
              <w:jc w:val="right"/>
              <w:ind w:right="515"/>
              <w:spacing w:after="0"/>
              <w:rPr>
                <w:sz w:val="20"/>
                <w:szCs w:val="20"/>
                <w:color w:val="auto"/>
              </w:rPr>
            </w:pPr>
            <w:r>
              <w:rPr>
                <w:rFonts w:ascii="Arial" w:cs="Arial" w:eastAsia="Arial" w:hAnsi="Arial"/>
                <w:sz w:val="17"/>
                <w:szCs w:val="17"/>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1.71</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1520" w:type="dxa"/>
            <w:vAlign w:val="bottom"/>
            <w:vMerge w:val="restart"/>
          </w:tcPr>
          <w:p>
            <w:pPr>
              <w:jc w:val="right"/>
              <w:spacing w:after="0"/>
              <w:rPr>
                <w:sz w:val="20"/>
                <w:szCs w:val="20"/>
                <w:color w:val="auto"/>
              </w:rPr>
            </w:pPr>
            <w:r>
              <w:rPr>
                <w:rFonts w:ascii="Arial" w:cs="Arial" w:eastAsia="Arial" w:hAnsi="Arial"/>
                <w:sz w:val="17"/>
                <w:szCs w:val="17"/>
                <w:color w:val="auto"/>
              </w:rPr>
              <w:t>1.84</w:t>
            </w:r>
          </w:p>
        </w:tc>
        <w:tc>
          <w:tcPr>
            <w:tcW w:w="180" w:type="dxa"/>
            <w:vAlign w:val="bottom"/>
          </w:tcPr>
          <w:p>
            <w:pPr>
              <w:spacing w:after="0"/>
              <w:rPr>
                <w:sz w:val="22"/>
                <w:szCs w:val="22"/>
                <w:color w:val="auto"/>
              </w:rPr>
            </w:pPr>
          </w:p>
        </w:tc>
        <w:tc>
          <w:tcPr>
            <w:tcW w:w="720" w:type="dxa"/>
            <w:vAlign w:val="bottom"/>
            <w:vMerge w:val="restart"/>
          </w:tcPr>
          <w:p>
            <w:pPr>
              <w:jc w:val="right"/>
              <w:ind w:right="515"/>
              <w:spacing w:after="0"/>
              <w:rPr>
                <w:sz w:val="20"/>
                <w:szCs w:val="20"/>
                <w:color w:val="auto"/>
              </w:rPr>
            </w:pPr>
            <w:r>
              <w:rPr>
                <w:rFonts w:ascii="Arial" w:cs="Arial" w:eastAsia="Arial" w:hAnsi="Arial"/>
                <w:sz w:val="17"/>
                <w:szCs w:val="17"/>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4.22</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1540" w:type="dxa"/>
            <w:vAlign w:val="bottom"/>
            <w:vMerge w:val="restart"/>
          </w:tcPr>
          <w:p>
            <w:pPr>
              <w:jc w:val="right"/>
              <w:spacing w:after="0"/>
              <w:rPr>
                <w:sz w:val="20"/>
                <w:szCs w:val="20"/>
                <w:color w:val="auto"/>
              </w:rPr>
            </w:pPr>
            <w:r>
              <w:rPr>
                <w:rFonts w:ascii="Arial" w:cs="Arial" w:eastAsia="Arial" w:hAnsi="Arial"/>
                <w:sz w:val="17"/>
                <w:szCs w:val="17"/>
                <w:color w:val="auto"/>
              </w:rPr>
              <w:t>4.52</w:t>
            </w:r>
          </w:p>
        </w:tc>
        <w:tc>
          <w:tcPr>
            <w:tcW w:w="0" w:type="dxa"/>
            <w:vAlign w:val="bottom"/>
          </w:tcPr>
          <w:p>
            <w:pPr>
              <w:spacing w:after="0"/>
              <w:rPr>
                <w:sz w:val="1"/>
                <w:szCs w:val="1"/>
                <w:color w:val="auto"/>
              </w:rPr>
            </w:pPr>
          </w:p>
        </w:tc>
      </w:tr>
      <w:tr>
        <w:trPr>
          <w:trHeight w:val="221"/>
        </w:trPr>
        <w:tc>
          <w:tcPr>
            <w:tcW w:w="3020" w:type="dxa"/>
            <w:vAlign w:val="bottom"/>
          </w:tcPr>
          <w:p>
            <w:pPr>
              <w:ind w:left="180"/>
              <w:spacing w:after="0"/>
              <w:rPr>
                <w:sz w:val="20"/>
                <w:szCs w:val="20"/>
                <w:color w:val="auto"/>
              </w:rPr>
            </w:pPr>
            <w:r>
              <w:rPr>
                <w:rFonts w:ascii="Arial" w:cs="Arial" w:eastAsia="Arial" w:hAnsi="Arial"/>
                <w:sz w:val="17"/>
                <w:szCs w:val="17"/>
                <w:color w:val="auto"/>
              </w:rPr>
              <w:t>common share</w:t>
            </w:r>
          </w:p>
        </w:tc>
        <w:tc>
          <w:tcPr>
            <w:tcW w:w="72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020" w:type="dxa"/>
            <w:vAlign w:val="bottom"/>
          </w:tcPr>
          <w:p>
            <w:pPr>
              <w:ind w:left="20"/>
              <w:spacing w:after="0" w:line="171" w:lineRule="exact"/>
              <w:rPr>
                <w:sz w:val="20"/>
                <w:szCs w:val="20"/>
                <w:color w:val="auto"/>
              </w:rPr>
            </w:pPr>
            <w:r>
              <w:rPr>
                <w:rFonts w:ascii="Arial" w:cs="Arial" w:eastAsia="Arial" w:hAnsi="Arial"/>
                <w:sz w:val="17"/>
                <w:szCs w:val="17"/>
                <w:color w:val="auto"/>
              </w:rPr>
              <w:t>Diluted income from continuing ops per</w:t>
            </w:r>
          </w:p>
        </w:tc>
        <w:tc>
          <w:tcPr>
            <w:tcW w:w="720" w:type="dxa"/>
            <w:vAlign w:val="bottom"/>
            <w:vMerge w:val="restart"/>
          </w:tcPr>
          <w:p>
            <w:pPr>
              <w:jc w:val="right"/>
              <w:ind w:right="515"/>
              <w:spacing w:after="0"/>
              <w:rPr>
                <w:sz w:val="20"/>
                <w:szCs w:val="20"/>
                <w:color w:val="auto"/>
              </w:rPr>
            </w:pPr>
            <w:r>
              <w:rPr>
                <w:rFonts w:ascii="Arial" w:cs="Arial" w:eastAsia="Arial" w:hAnsi="Arial"/>
                <w:sz w:val="17"/>
                <w:szCs w:val="17"/>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1.59</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1520" w:type="dxa"/>
            <w:vAlign w:val="bottom"/>
            <w:vMerge w:val="restart"/>
          </w:tcPr>
          <w:p>
            <w:pPr>
              <w:jc w:val="right"/>
              <w:spacing w:after="0"/>
              <w:rPr>
                <w:sz w:val="20"/>
                <w:szCs w:val="20"/>
                <w:color w:val="auto"/>
              </w:rPr>
            </w:pPr>
            <w:r>
              <w:rPr>
                <w:rFonts w:ascii="Arial" w:cs="Arial" w:eastAsia="Arial" w:hAnsi="Arial"/>
                <w:sz w:val="17"/>
                <w:szCs w:val="17"/>
                <w:color w:val="auto"/>
              </w:rPr>
              <w:t>1.72</w:t>
            </w:r>
          </w:p>
        </w:tc>
        <w:tc>
          <w:tcPr>
            <w:tcW w:w="180" w:type="dxa"/>
            <w:vAlign w:val="bottom"/>
          </w:tcPr>
          <w:p>
            <w:pPr>
              <w:spacing w:after="0"/>
              <w:rPr>
                <w:sz w:val="14"/>
                <w:szCs w:val="14"/>
                <w:color w:val="auto"/>
              </w:rPr>
            </w:pPr>
          </w:p>
        </w:tc>
        <w:tc>
          <w:tcPr>
            <w:tcW w:w="720" w:type="dxa"/>
            <w:vAlign w:val="bottom"/>
            <w:vMerge w:val="restart"/>
          </w:tcPr>
          <w:p>
            <w:pPr>
              <w:jc w:val="right"/>
              <w:ind w:right="515"/>
              <w:spacing w:after="0"/>
              <w:rPr>
                <w:sz w:val="20"/>
                <w:szCs w:val="20"/>
                <w:color w:val="auto"/>
              </w:rPr>
            </w:pPr>
            <w:r>
              <w:rPr>
                <w:rFonts w:ascii="Arial" w:cs="Arial" w:eastAsia="Arial" w:hAnsi="Arial"/>
                <w:sz w:val="17"/>
                <w:szCs w:val="17"/>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3.90</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1540" w:type="dxa"/>
            <w:vAlign w:val="bottom"/>
            <w:vMerge w:val="restart"/>
          </w:tcPr>
          <w:p>
            <w:pPr>
              <w:jc w:val="right"/>
              <w:spacing w:after="0"/>
              <w:rPr>
                <w:sz w:val="20"/>
                <w:szCs w:val="20"/>
                <w:color w:val="auto"/>
              </w:rPr>
            </w:pPr>
            <w:r>
              <w:rPr>
                <w:rFonts w:ascii="Arial" w:cs="Arial" w:eastAsia="Arial" w:hAnsi="Arial"/>
                <w:sz w:val="17"/>
                <w:szCs w:val="17"/>
                <w:color w:val="auto"/>
              </w:rPr>
              <w:t>4.19</w:t>
            </w:r>
          </w:p>
        </w:tc>
        <w:tc>
          <w:tcPr>
            <w:tcW w:w="0" w:type="dxa"/>
            <w:vAlign w:val="bottom"/>
          </w:tcPr>
          <w:p>
            <w:pPr>
              <w:spacing w:after="0"/>
              <w:rPr>
                <w:sz w:val="1"/>
                <w:szCs w:val="1"/>
                <w:color w:val="auto"/>
              </w:rPr>
            </w:pPr>
          </w:p>
        </w:tc>
      </w:tr>
      <w:tr>
        <w:trPr>
          <w:trHeight w:val="225"/>
        </w:trPr>
        <w:tc>
          <w:tcPr>
            <w:tcW w:w="3020" w:type="dxa"/>
            <w:vAlign w:val="bottom"/>
          </w:tcPr>
          <w:p>
            <w:pPr>
              <w:ind w:left="180"/>
              <w:spacing w:after="0"/>
              <w:rPr>
                <w:sz w:val="20"/>
                <w:szCs w:val="20"/>
                <w:color w:val="auto"/>
              </w:rPr>
            </w:pPr>
            <w:r>
              <w:rPr>
                <w:rFonts w:ascii="Arial" w:cs="Arial" w:eastAsia="Arial" w:hAnsi="Arial"/>
                <w:sz w:val="17"/>
                <w:szCs w:val="17"/>
                <w:color w:val="auto"/>
              </w:rPr>
              <w:t>common share</w:t>
            </w:r>
          </w:p>
        </w:tc>
        <w:tc>
          <w:tcPr>
            <w:tcW w:w="72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51"/>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072"/>
          </w:cols>
          <w:pgMar w:left="328" w:top="779" w:right="49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Supplemental Pro Forma Crude Oil, Natural Gas Liquids ("NGLs") and Natural Gas Reserves Information</w:t>
      </w:r>
    </w:p>
    <w:p>
      <w:pPr>
        <w:spacing w:after="0" w:line="102" w:lineRule="exact"/>
        <w:rPr>
          <w:sz w:val="20"/>
          <w:szCs w:val="20"/>
          <w:color w:val="auto"/>
        </w:rPr>
      </w:pPr>
    </w:p>
    <w:p>
      <w:pPr>
        <w:jc w:val="both"/>
        <w:ind w:right="140" w:firstLine="324"/>
        <w:spacing w:after="0" w:line="266" w:lineRule="auto"/>
        <w:rPr>
          <w:sz w:val="20"/>
          <w:szCs w:val="20"/>
          <w:color w:val="auto"/>
        </w:rPr>
      </w:pPr>
      <w:r>
        <w:rPr>
          <w:rFonts w:ascii="Arial" w:cs="Arial" w:eastAsia="Arial" w:hAnsi="Arial"/>
          <w:sz w:val="17"/>
          <w:szCs w:val="17"/>
          <w:color w:val="auto"/>
        </w:rPr>
        <w:t>The following tables present the estimated pro forma combined net proved developed and undeveloped crude oil, NGLs and natural gas reserves as of December 31, 2023, along with a summary of changes in quantities of net remaining proved reserves during the year ended December 31, 2023.</w:t>
      </w:r>
    </w:p>
    <w:p>
      <w:pPr>
        <w:spacing w:after="0" w:line="7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7"/>
          <w:szCs w:val="17"/>
          <w:color w:val="auto"/>
        </w:rPr>
        <w:t>The following estimated pro forma reserve information is not necessarily indicative of the results that might have occurred had the transactions been completed on January 1, 2023 and is not intended to be a projection of future results. Future results may vary significantly from the results reflected because of various factors, including those discussed in the section entitled "Risk Factors" in Occidental’s Annual Report on Form 10-K for the year ended December 31, 2023.</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00497F"/>
              </w:rPr>
              <w:t>Oil Reserves</w:t>
            </w:r>
          </w:p>
        </w:tc>
        <w:tc>
          <w:tcPr>
            <w:tcW w:w="2060" w:type="dxa"/>
            <w:vAlign w:val="bottom"/>
            <w:tcBorders>
              <w:top w:val="single" w:sz="8" w:color="auto"/>
            </w:tcBorders>
            <w:vMerge w:val="restart"/>
          </w:tcPr>
          <w:p>
            <w:pPr>
              <w:jc w:val="right"/>
              <w:ind w:right="179"/>
              <w:spacing w:after="0"/>
              <w:rPr>
                <w:sz w:val="20"/>
                <w:szCs w:val="20"/>
                <w:color w:val="auto"/>
              </w:rPr>
            </w:pPr>
            <w:r>
              <w:rPr>
                <w:rFonts w:ascii="Arial" w:cs="Arial" w:eastAsia="Arial" w:hAnsi="Arial"/>
                <w:sz w:val="16"/>
                <w:szCs w:val="16"/>
                <w:b w:val="1"/>
                <w:bCs w:val="1"/>
                <w:color w:val="auto"/>
              </w:rPr>
              <w:t>Occidental Historical</w:t>
            </w:r>
          </w:p>
        </w:tc>
        <w:tc>
          <w:tcPr>
            <w:tcW w:w="198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b w:val="1"/>
                <w:bCs w:val="1"/>
                <w:color w:val="auto"/>
              </w:rPr>
              <w:t>CrownRock Historical</w:t>
            </w:r>
          </w:p>
        </w:tc>
        <w:tc>
          <w:tcPr>
            <w:tcW w:w="1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Occidental Combined</w:t>
            </w:r>
          </w:p>
        </w:tc>
        <w:tc>
          <w:tcPr>
            <w:tcW w:w="0" w:type="dxa"/>
            <w:vAlign w:val="bottom"/>
          </w:tcPr>
          <w:p>
            <w:pPr>
              <w:spacing w:after="0"/>
              <w:rPr>
                <w:sz w:val="1"/>
                <w:szCs w:val="1"/>
                <w:color w:val="auto"/>
              </w:rPr>
            </w:pPr>
          </w:p>
        </w:tc>
      </w:tr>
      <w:tr>
        <w:trPr>
          <w:trHeight w:val="80"/>
        </w:trPr>
        <w:tc>
          <w:tcPr>
            <w:tcW w:w="52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 of barrels (MMbbl)</w:t>
            </w:r>
          </w:p>
        </w:tc>
        <w:tc>
          <w:tcPr>
            <w:tcW w:w="2060" w:type="dxa"/>
            <w:vAlign w:val="bottom"/>
            <w:vMerge w:val="continue"/>
          </w:tcPr>
          <w:p>
            <w:pPr>
              <w:spacing w:after="0"/>
              <w:rPr>
                <w:sz w:val="6"/>
                <w:szCs w:val="6"/>
                <w:color w:val="auto"/>
              </w:rPr>
            </w:pPr>
          </w:p>
        </w:tc>
        <w:tc>
          <w:tcPr>
            <w:tcW w:w="1980" w:type="dxa"/>
            <w:vAlign w:val="bottom"/>
            <w:vMerge w:val="continue"/>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5280" w:type="dxa"/>
            <w:vAlign w:val="bottom"/>
            <w:vMerge w:val="continue"/>
          </w:tcPr>
          <w:p>
            <w:pPr>
              <w:spacing w:after="0"/>
              <w:rPr>
                <w:sz w:val="11"/>
                <w:szCs w:val="11"/>
                <w:color w:val="auto"/>
              </w:rPr>
            </w:pPr>
          </w:p>
        </w:tc>
        <w:tc>
          <w:tcPr>
            <w:tcW w:w="2060" w:type="dxa"/>
            <w:vAlign w:val="bottom"/>
            <w:vMerge w:val="continue"/>
          </w:tcPr>
          <w:p>
            <w:pPr>
              <w:spacing w:after="0"/>
              <w:rPr>
                <w:sz w:val="11"/>
                <w:szCs w:val="11"/>
                <w:color w:val="auto"/>
              </w:rPr>
            </w:pPr>
          </w:p>
        </w:tc>
        <w:tc>
          <w:tcPr>
            <w:tcW w:w="1980" w:type="dxa"/>
            <w:vAlign w:val="bottom"/>
            <w:vMerge w:val="continue"/>
          </w:tcPr>
          <w:p>
            <w:pPr>
              <w:spacing w:after="0"/>
              <w:rPr>
                <w:sz w:val="11"/>
                <w:szCs w:val="11"/>
                <w:color w:val="auto"/>
              </w:rPr>
            </w:pPr>
          </w:p>
        </w:tc>
        <w:tc>
          <w:tcPr>
            <w:tcW w:w="1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Pro Forma</w:t>
            </w:r>
          </w:p>
        </w:tc>
        <w:tc>
          <w:tcPr>
            <w:tcW w:w="0" w:type="dxa"/>
            <w:vAlign w:val="bottom"/>
          </w:tcPr>
          <w:p>
            <w:pPr>
              <w:spacing w:after="0"/>
              <w:rPr>
                <w:sz w:val="1"/>
                <w:szCs w:val="1"/>
                <w:color w:val="auto"/>
              </w:rPr>
            </w:pPr>
          </w:p>
        </w:tc>
      </w:tr>
      <w:tr>
        <w:trPr>
          <w:trHeight w:val="88"/>
        </w:trPr>
        <w:tc>
          <w:tcPr>
            <w:tcW w:w="5280" w:type="dxa"/>
            <w:vAlign w:val="bottom"/>
            <w:vMerge w:val="restart"/>
          </w:tcPr>
          <w:p>
            <w:pPr>
              <w:ind w:left="20"/>
              <w:spacing w:after="0"/>
              <w:rPr>
                <w:sz w:val="20"/>
                <w:szCs w:val="20"/>
                <w:color w:val="auto"/>
              </w:rPr>
            </w:pPr>
            <w:r>
              <w:rPr>
                <w:rFonts w:ascii="Arial" w:cs="Arial" w:eastAsia="Arial" w:hAnsi="Arial"/>
                <w:sz w:val="16"/>
                <w:szCs w:val="16"/>
                <w:b w:val="1"/>
                <w:bCs w:val="1"/>
                <w:color w:val="00497F"/>
              </w:rPr>
              <w:t>PROVED DEVELOPED AND UNDEVELOPED RESERVES</w:t>
            </w:r>
          </w:p>
        </w:tc>
        <w:tc>
          <w:tcPr>
            <w:tcW w:w="20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280" w:type="dxa"/>
            <w:vAlign w:val="bottom"/>
            <w:tcBorders>
              <w:bottom w:val="single" w:sz="8" w:color="auto"/>
            </w:tcBorders>
            <w:vMerge w:val="continue"/>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2060" w:type="dxa"/>
            <w:vAlign w:val="bottom"/>
          </w:tcPr>
          <w:p>
            <w:pPr>
              <w:jc w:val="right"/>
              <w:ind w:right="59"/>
              <w:spacing w:after="0"/>
              <w:rPr>
                <w:sz w:val="20"/>
                <w:szCs w:val="20"/>
                <w:color w:val="auto"/>
              </w:rPr>
            </w:pPr>
            <w:r>
              <w:rPr>
                <w:rFonts w:ascii="Arial" w:cs="Arial" w:eastAsia="Arial" w:hAnsi="Arial"/>
                <w:sz w:val="16"/>
                <w:szCs w:val="16"/>
                <w:color w:val="auto"/>
              </w:rPr>
              <w:t>1,913</w:t>
            </w:r>
          </w:p>
        </w:tc>
        <w:tc>
          <w:tcPr>
            <w:tcW w:w="1980" w:type="dxa"/>
            <w:vAlign w:val="bottom"/>
          </w:tcPr>
          <w:p>
            <w:pPr>
              <w:jc w:val="center"/>
              <w:ind w:left="1459"/>
              <w:spacing w:after="0"/>
              <w:rPr>
                <w:sz w:val="20"/>
                <w:szCs w:val="20"/>
                <w:color w:val="auto"/>
              </w:rPr>
            </w:pPr>
            <w:r>
              <w:rPr>
                <w:rFonts w:ascii="Arial" w:cs="Arial" w:eastAsia="Arial" w:hAnsi="Arial"/>
                <w:sz w:val="16"/>
                <w:szCs w:val="16"/>
                <w:color w:val="auto"/>
              </w:rPr>
              <w:t>249</w:t>
            </w:r>
          </w:p>
        </w:tc>
        <w:tc>
          <w:tcPr>
            <w:tcW w:w="1920" w:type="dxa"/>
            <w:vAlign w:val="bottom"/>
          </w:tcPr>
          <w:p>
            <w:pPr>
              <w:jc w:val="right"/>
              <w:spacing w:after="0"/>
              <w:rPr>
                <w:sz w:val="20"/>
                <w:szCs w:val="20"/>
                <w:color w:val="auto"/>
              </w:rPr>
            </w:pPr>
            <w:r>
              <w:rPr>
                <w:rFonts w:ascii="Arial" w:cs="Arial" w:eastAsia="Arial" w:hAnsi="Arial"/>
                <w:sz w:val="16"/>
                <w:szCs w:val="16"/>
                <w:color w:val="auto"/>
              </w:rPr>
              <w:t>2,162</w:t>
            </w:r>
          </w:p>
        </w:tc>
        <w:tc>
          <w:tcPr>
            <w:tcW w:w="0" w:type="dxa"/>
            <w:vAlign w:val="bottom"/>
          </w:tcPr>
          <w:p>
            <w:pPr>
              <w:spacing w:after="0"/>
              <w:rPr>
                <w:sz w:val="1"/>
                <w:szCs w:val="1"/>
                <w:color w:val="auto"/>
              </w:rPr>
            </w:pPr>
          </w:p>
        </w:tc>
      </w:tr>
      <w:tr>
        <w:trPr>
          <w:trHeight w:val="223"/>
        </w:trPr>
        <w:tc>
          <w:tcPr>
            <w:tcW w:w="5280" w:type="dxa"/>
            <w:vAlign w:val="bottom"/>
          </w:tcPr>
          <w:p>
            <w:pPr>
              <w:ind w:left="200"/>
              <w:spacing w:after="0"/>
              <w:rPr>
                <w:sz w:val="20"/>
                <w:szCs w:val="20"/>
                <w:color w:val="auto"/>
              </w:rPr>
            </w:pPr>
            <w:r>
              <w:rPr>
                <w:rFonts w:ascii="Arial" w:cs="Arial" w:eastAsia="Arial" w:hAnsi="Arial"/>
                <w:sz w:val="16"/>
                <w:szCs w:val="16"/>
                <w:color w:val="auto"/>
              </w:rPr>
              <w:t>Revisions of previous estimates</w:t>
            </w:r>
          </w:p>
        </w:tc>
        <w:tc>
          <w:tcPr>
            <w:tcW w:w="2060" w:type="dxa"/>
            <w:vAlign w:val="bottom"/>
          </w:tcPr>
          <w:p>
            <w:pPr>
              <w:jc w:val="right"/>
              <w:ind w:right="59"/>
              <w:spacing w:after="0"/>
              <w:rPr>
                <w:sz w:val="20"/>
                <w:szCs w:val="20"/>
                <w:color w:val="auto"/>
              </w:rPr>
            </w:pPr>
            <w:r>
              <w:rPr>
                <w:rFonts w:ascii="Arial" w:cs="Arial" w:eastAsia="Arial" w:hAnsi="Arial"/>
                <w:sz w:val="16"/>
                <w:szCs w:val="16"/>
                <w:b w:val="1"/>
                <w:bCs w:val="1"/>
                <w:color w:val="00497F"/>
              </w:rPr>
              <w:t>168</w:t>
            </w:r>
          </w:p>
        </w:tc>
        <w:tc>
          <w:tcPr>
            <w:tcW w:w="1980" w:type="dxa"/>
            <w:vAlign w:val="bottom"/>
          </w:tcPr>
          <w:p>
            <w:pPr>
              <w:jc w:val="right"/>
              <w:ind w:right="19"/>
              <w:spacing w:after="0"/>
              <w:rPr>
                <w:sz w:val="20"/>
                <w:szCs w:val="20"/>
                <w:color w:val="auto"/>
              </w:rPr>
            </w:pPr>
            <w:r>
              <w:rPr>
                <w:rFonts w:ascii="Arial" w:cs="Arial" w:eastAsia="Arial" w:hAnsi="Arial"/>
                <w:sz w:val="16"/>
                <w:szCs w:val="16"/>
                <w:b w:val="1"/>
                <w:bCs w:val="1"/>
                <w:color w:val="00497F"/>
              </w:rPr>
              <w:t>(14)</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00497F"/>
              </w:rPr>
              <w:t>154</w:t>
            </w:r>
          </w:p>
        </w:tc>
        <w:tc>
          <w:tcPr>
            <w:tcW w:w="0" w:type="dxa"/>
            <w:vAlign w:val="bottom"/>
          </w:tcPr>
          <w:p>
            <w:pPr>
              <w:spacing w:after="0"/>
              <w:rPr>
                <w:sz w:val="1"/>
                <w:szCs w:val="1"/>
                <w:color w:val="auto"/>
              </w:rPr>
            </w:pPr>
          </w:p>
        </w:tc>
      </w:tr>
      <w:tr>
        <w:trPr>
          <w:trHeight w:val="223"/>
        </w:trPr>
        <w:tc>
          <w:tcPr>
            <w:tcW w:w="5280" w:type="dxa"/>
            <w:vAlign w:val="bottom"/>
          </w:tcPr>
          <w:p>
            <w:pPr>
              <w:ind w:left="200"/>
              <w:spacing w:after="0"/>
              <w:rPr>
                <w:sz w:val="20"/>
                <w:szCs w:val="20"/>
                <w:color w:val="auto"/>
              </w:rPr>
            </w:pPr>
            <w:r>
              <w:rPr>
                <w:rFonts w:ascii="Arial" w:cs="Arial" w:eastAsia="Arial" w:hAnsi="Arial"/>
                <w:sz w:val="16"/>
                <w:szCs w:val="16"/>
                <w:color w:val="auto"/>
              </w:rPr>
              <w:t>Improved recovery</w:t>
            </w:r>
          </w:p>
        </w:tc>
        <w:tc>
          <w:tcPr>
            <w:tcW w:w="2060" w:type="dxa"/>
            <w:vAlign w:val="bottom"/>
          </w:tcPr>
          <w:p>
            <w:pPr>
              <w:jc w:val="right"/>
              <w:ind w:right="59"/>
              <w:spacing w:after="0"/>
              <w:rPr>
                <w:sz w:val="20"/>
                <w:szCs w:val="20"/>
                <w:color w:val="auto"/>
              </w:rPr>
            </w:pPr>
            <w:r>
              <w:rPr>
                <w:rFonts w:ascii="Arial" w:cs="Arial" w:eastAsia="Arial" w:hAnsi="Arial"/>
                <w:sz w:val="16"/>
                <w:szCs w:val="16"/>
                <w:b w:val="1"/>
                <w:bCs w:val="1"/>
                <w:color w:val="00497F"/>
              </w:rPr>
              <w:t>18</w:t>
            </w:r>
          </w:p>
        </w:tc>
        <w:tc>
          <w:tcPr>
            <w:tcW w:w="1980" w:type="dxa"/>
            <w:vAlign w:val="bottom"/>
          </w:tcPr>
          <w:p>
            <w:pPr>
              <w:jc w:val="center"/>
              <w:ind w:left="1459"/>
              <w:spacing w:after="0"/>
              <w:rPr>
                <w:sz w:val="20"/>
                <w:szCs w:val="20"/>
                <w:color w:val="auto"/>
              </w:rPr>
            </w:pPr>
            <w:r>
              <w:rPr>
                <w:rFonts w:ascii="Arial" w:cs="Arial" w:eastAsia="Arial" w:hAnsi="Arial"/>
                <w:sz w:val="16"/>
                <w:szCs w:val="16"/>
                <w:b w:val="1"/>
                <w:bCs w:val="1"/>
                <w:color w:val="00497F"/>
                <w:w w:val="99"/>
              </w:rPr>
              <w:t>—</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00497F"/>
              </w:rPr>
              <w:t>18</w:t>
            </w: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Arial" w:cs="Arial" w:eastAsia="Arial" w:hAnsi="Arial"/>
                <w:sz w:val="16"/>
                <w:szCs w:val="16"/>
                <w:color w:val="auto"/>
              </w:rPr>
              <w:t>Extensions and discoveries</w:t>
            </w:r>
          </w:p>
        </w:tc>
        <w:tc>
          <w:tcPr>
            <w:tcW w:w="2060" w:type="dxa"/>
            <w:vAlign w:val="bottom"/>
          </w:tcPr>
          <w:p>
            <w:pPr>
              <w:jc w:val="right"/>
              <w:ind w:right="59"/>
              <w:spacing w:after="0"/>
              <w:rPr>
                <w:sz w:val="20"/>
                <w:szCs w:val="20"/>
                <w:color w:val="auto"/>
              </w:rPr>
            </w:pPr>
            <w:r>
              <w:rPr>
                <w:rFonts w:ascii="Arial" w:cs="Arial" w:eastAsia="Arial" w:hAnsi="Arial"/>
                <w:sz w:val="16"/>
                <w:szCs w:val="16"/>
                <w:b w:val="1"/>
                <w:bCs w:val="1"/>
                <w:color w:val="00497F"/>
              </w:rPr>
              <w:t>62</w:t>
            </w:r>
          </w:p>
        </w:tc>
        <w:tc>
          <w:tcPr>
            <w:tcW w:w="1980" w:type="dxa"/>
            <w:vAlign w:val="bottom"/>
          </w:tcPr>
          <w:p>
            <w:pPr>
              <w:jc w:val="right"/>
              <w:spacing w:after="0"/>
              <w:rPr>
                <w:sz w:val="20"/>
                <w:szCs w:val="20"/>
                <w:color w:val="auto"/>
              </w:rPr>
            </w:pPr>
            <w:r>
              <w:rPr>
                <w:rFonts w:ascii="Arial" w:cs="Arial" w:eastAsia="Arial" w:hAnsi="Arial"/>
                <w:sz w:val="16"/>
                <w:szCs w:val="16"/>
                <w:b w:val="1"/>
                <w:bCs w:val="1"/>
                <w:color w:val="00497F"/>
              </w:rPr>
              <w:t>64</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00497F"/>
              </w:rPr>
              <w:t>126</w:t>
            </w: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Arial" w:cs="Arial" w:eastAsia="Arial" w:hAnsi="Arial"/>
                <w:sz w:val="16"/>
                <w:szCs w:val="16"/>
                <w:color w:val="auto"/>
              </w:rPr>
              <w:t>Purchases of proved reserves</w:t>
            </w:r>
          </w:p>
        </w:tc>
        <w:tc>
          <w:tcPr>
            <w:tcW w:w="2060" w:type="dxa"/>
            <w:vAlign w:val="bottom"/>
          </w:tcPr>
          <w:p>
            <w:pPr>
              <w:jc w:val="right"/>
              <w:ind w:right="59"/>
              <w:spacing w:after="0"/>
              <w:rPr>
                <w:sz w:val="20"/>
                <w:szCs w:val="20"/>
                <w:color w:val="auto"/>
              </w:rPr>
            </w:pPr>
            <w:r>
              <w:rPr>
                <w:rFonts w:ascii="Arial" w:cs="Arial" w:eastAsia="Arial" w:hAnsi="Arial"/>
                <w:sz w:val="16"/>
                <w:szCs w:val="16"/>
                <w:b w:val="1"/>
                <w:bCs w:val="1"/>
                <w:color w:val="00497F"/>
              </w:rPr>
              <w:t>14</w:t>
            </w:r>
          </w:p>
        </w:tc>
        <w:tc>
          <w:tcPr>
            <w:tcW w:w="1980" w:type="dxa"/>
            <w:vAlign w:val="bottom"/>
          </w:tcPr>
          <w:p>
            <w:pPr>
              <w:jc w:val="center"/>
              <w:ind w:left="1459"/>
              <w:spacing w:after="0"/>
              <w:rPr>
                <w:sz w:val="20"/>
                <w:szCs w:val="20"/>
                <w:color w:val="auto"/>
              </w:rPr>
            </w:pPr>
            <w:r>
              <w:rPr>
                <w:rFonts w:ascii="Arial" w:cs="Arial" w:eastAsia="Arial" w:hAnsi="Arial"/>
                <w:sz w:val="16"/>
                <w:szCs w:val="16"/>
                <w:b w:val="1"/>
                <w:bCs w:val="1"/>
                <w:color w:val="00497F"/>
                <w:w w:val="99"/>
              </w:rPr>
              <w:t>—</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00497F"/>
              </w:rPr>
              <w:t>14</w:t>
            </w: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Arial" w:cs="Arial" w:eastAsia="Arial" w:hAnsi="Arial"/>
                <w:sz w:val="16"/>
                <w:szCs w:val="16"/>
                <w:color w:val="auto"/>
              </w:rPr>
              <w:t>Sales of proved reserves</w:t>
            </w:r>
          </w:p>
        </w:tc>
        <w:tc>
          <w:tcPr>
            <w:tcW w:w="2060" w:type="dxa"/>
            <w:vAlign w:val="bottom"/>
          </w:tcPr>
          <w:p>
            <w:pPr>
              <w:jc w:val="right"/>
              <w:ind w:right="59"/>
              <w:spacing w:after="0"/>
              <w:rPr>
                <w:sz w:val="20"/>
                <w:szCs w:val="20"/>
                <w:color w:val="auto"/>
              </w:rPr>
            </w:pPr>
            <w:r>
              <w:rPr>
                <w:rFonts w:ascii="Arial" w:cs="Arial" w:eastAsia="Arial" w:hAnsi="Arial"/>
                <w:sz w:val="16"/>
                <w:szCs w:val="16"/>
                <w:b w:val="1"/>
                <w:bCs w:val="1"/>
                <w:color w:val="00497F"/>
              </w:rPr>
              <w:t>(1)</w:t>
            </w:r>
          </w:p>
        </w:tc>
        <w:tc>
          <w:tcPr>
            <w:tcW w:w="1980" w:type="dxa"/>
            <w:vAlign w:val="bottom"/>
          </w:tcPr>
          <w:p>
            <w:pPr>
              <w:jc w:val="center"/>
              <w:ind w:left="1459"/>
              <w:spacing w:after="0"/>
              <w:rPr>
                <w:sz w:val="20"/>
                <w:szCs w:val="20"/>
                <w:color w:val="auto"/>
              </w:rPr>
            </w:pPr>
            <w:r>
              <w:rPr>
                <w:rFonts w:ascii="Arial" w:cs="Arial" w:eastAsia="Arial" w:hAnsi="Arial"/>
                <w:sz w:val="16"/>
                <w:szCs w:val="16"/>
                <w:b w:val="1"/>
                <w:bCs w:val="1"/>
                <w:color w:val="00497F"/>
                <w:w w:val="99"/>
              </w:rPr>
              <w:t>—</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00497F"/>
              </w:rPr>
              <w:t>(1)</w:t>
            </w:r>
          </w:p>
        </w:tc>
        <w:tc>
          <w:tcPr>
            <w:tcW w:w="0" w:type="dxa"/>
            <w:vAlign w:val="bottom"/>
          </w:tcPr>
          <w:p>
            <w:pPr>
              <w:spacing w:after="0"/>
              <w:rPr>
                <w:sz w:val="1"/>
                <w:szCs w:val="1"/>
                <w:color w:val="auto"/>
              </w:rPr>
            </w:pPr>
          </w:p>
        </w:tc>
      </w:tr>
      <w:tr>
        <w:trPr>
          <w:trHeight w:val="224"/>
        </w:trPr>
        <w:tc>
          <w:tcPr>
            <w:tcW w:w="5280" w:type="dxa"/>
            <w:vAlign w:val="bottom"/>
          </w:tcPr>
          <w:p>
            <w:pPr>
              <w:ind w:left="200"/>
              <w:spacing w:after="0"/>
              <w:rPr>
                <w:sz w:val="20"/>
                <w:szCs w:val="20"/>
                <w:color w:val="auto"/>
              </w:rPr>
            </w:pPr>
            <w:r>
              <w:rPr>
                <w:rFonts w:ascii="Arial" w:cs="Arial" w:eastAsia="Arial" w:hAnsi="Arial"/>
                <w:sz w:val="16"/>
                <w:szCs w:val="16"/>
                <w:color w:val="auto"/>
              </w:rPr>
              <w:t>Production</w:t>
            </w:r>
          </w:p>
        </w:tc>
        <w:tc>
          <w:tcPr>
            <w:tcW w:w="2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00497F"/>
              </w:rPr>
              <w:t>(234)</w:t>
            </w:r>
          </w:p>
        </w:tc>
        <w:tc>
          <w:tcPr>
            <w:tcW w:w="1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00497F"/>
              </w:rPr>
              <w:t>(27)</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(261)</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6"/>
                <w:szCs w:val="16"/>
                <w:b w:val="1"/>
                <w:bCs w:val="1"/>
                <w:color w:val="00497F"/>
              </w:rPr>
              <w:t>Balance at December 31, 2023</w:t>
            </w:r>
          </w:p>
        </w:tc>
        <w:tc>
          <w:tcPr>
            <w:tcW w:w="2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00497F"/>
              </w:rPr>
              <w:t>1,940</w:t>
            </w:r>
          </w:p>
        </w:tc>
        <w:tc>
          <w:tcPr>
            <w:tcW w:w="1980" w:type="dxa"/>
            <w:vAlign w:val="bottom"/>
            <w:tcBorders>
              <w:bottom w:val="single" w:sz="8" w:color="auto"/>
            </w:tcBorders>
          </w:tcPr>
          <w:p>
            <w:pPr>
              <w:jc w:val="center"/>
              <w:ind w:left="1459"/>
              <w:spacing w:after="0"/>
              <w:rPr>
                <w:sz w:val="20"/>
                <w:szCs w:val="20"/>
                <w:color w:val="auto"/>
              </w:rPr>
            </w:pPr>
            <w:r>
              <w:rPr>
                <w:rFonts w:ascii="Arial" w:cs="Arial" w:eastAsia="Arial" w:hAnsi="Arial"/>
                <w:sz w:val="16"/>
                <w:szCs w:val="16"/>
                <w:b w:val="1"/>
                <w:bCs w:val="1"/>
                <w:color w:val="00497F"/>
              </w:rPr>
              <w:t>272</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2,212</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DOMESTIC PROVED RESERVES</w:t>
            </w:r>
          </w:p>
        </w:tc>
        <w:tc>
          <w:tcPr>
            <w:tcW w:w="20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280" w:type="dxa"/>
            <w:vAlign w:val="bottom"/>
            <w:vMerge w:val="continue"/>
          </w:tcPr>
          <w:p>
            <w:pPr>
              <w:spacing w:after="0"/>
              <w:rPr>
                <w:sz w:val="18"/>
                <w:szCs w:val="18"/>
                <w:color w:val="auto"/>
              </w:rPr>
            </w:pPr>
          </w:p>
        </w:tc>
        <w:tc>
          <w:tcPr>
            <w:tcW w:w="2060" w:type="dxa"/>
            <w:vAlign w:val="bottom"/>
          </w:tcPr>
          <w:p>
            <w:pPr>
              <w:jc w:val="right"/>
              <w:ind w:right="59"/>
              <w:spacing w:after="0"/>
              <w:rPr>
                <w:sz w:val="20"/>
                <w:szCs w:val="20"/>
                <w:color w:val="auto"/>
              </w:rPr>
            </w:pPr>
            <w:r>
              <w:rPr>
                <w:rFonts w:ascii="Arial" w:cs="Arial" w:eastAsia="Arial" w:hAnsi="Arial"/>
                <w:sz w:val="16"/>
                <w:szCs w:val="16"/>
                <w:b w:val="1"/>
                <w:bCs w:val="1"/>
                <w:color w:val="00497F"/>
              </w:rPr>
              <w:t>1,600</w:t>
            </w:r>
          </w:p>
        </w:tc>
        <w:tc>
          <w:tcPr>
            <w:tcW w:w="1980" w:type="dxa"/>
            <w:vAlign w:val="bottom"/>
          </w:tcPr>
          <w:p>
            <w:pPr>
              <w:jc w:val="center"/>
              <w:ind w:left="1459"/>
              <w:spacing w:after="0"/>
              <w:rPr>
                <w:sz w:val="20"/>
                <w:szCs w:val="20"/>
                <w:color w:val="auto"/>
              </w:rPr>
            </w:pPr>
            <w:r>
              <w:rPr>
                <w:rFonts w:ascii="Arial" w:cs="Arial" w:eastAsia="Arial" w:hAnsi="Arial"/>
                <w:sz w:val="16"/>
                <w:szCs w:val="16"/>
                <w:b w:val="1"/>
                <w:bCs w:val="1"/>
                <w:color w:val="00497F"/>
              </w:rPr>
              <w:t>272</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00497F"/>
              </w:rPr>
              <w:t>1,872</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INTERNATIONAL PROVED RESERVES</w:t>
            </w:r>
          </w:p>
        </w:tc>
        <w:tc>
          <w:tcPr>
            <w:tcW w:w="2060" w:type="dxa"/>
            <w:vAlign w:val="bottom"/>
          </w:tcPr>
          <w:p>
            <w:pPr>
              <w:jc w:val="right"/>
              <w:ind w:right="59"/>
              <w:spacing w:after="0"/>
              <w:rPr>
                <w:sz w:val="20"/>
                <w:szCs w:val="20"/>
                <w:color w:val="auto"/>
              </w:rPr>
            </w:pPr>
            <w:r>
              <w:rPr>
                <w:rFonts w:ascii="Arial" w:cs="Arial" w:eastAsia="Arial" w:hAnsi="Arial"/>
                <w:sz w:val="16"/>
                <w:szCs w:val="16"/>
                <w:b w:val="1"/>
                <w:bCs w:val="1"/>
                <w:color w:val="00497F"/>
              </w:rPr>
              <w:t>340</w:t>
            </w:r>
          </w:p>
        </w:tc>
        <w:tc>
          <w:tcPr>
            <w:tcW w:w="1980" w:type="dxa"/>
            <w:vAlign w:val="bottom"/>
          </w:tcPr>
          <w:p>
            <w:pPr>
              <w:jc w:val="center"/>
              <w:ind w:left="1459"/>
              <w:spacing w:after="0"/>
              <w:rPr>
                <w:sz w:val="20"/>
                <w:szCs w:val="20"/>
                <w:color w:val="auto"/>
              </w:rPr>
            </w:pPr>
            <w:r>
              <w:rPr>
                <w:rFonts w:ascii="Arial" w:cs="Arial" w:eastAsia="Arial" w:hAnsi="Arial"/>
                <w:sz w:val="16"/>
                <w:szCs w:val="16"/>
                <w:b w:val="1"/>
                <w:bCs w:val="1"/>
                <w:color w:val="00497F"/>
                <w:w w:val="99"/>
              </w:rPr>
              <w:t>—</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00497F"/>
              </w:rPr>
              <w:t>340</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6"/>
                <w:szCs w:val="16"/>
                <w:b w:val="1"/>
                <w:bCs w:val="1"/>
                <w:color w:val="00497F"/>
              </w:rPr>
              <w:t>PROVED DEVELOPED RESERVES</w:t>
            </w:r>
          </w:p>
        </w:tc>
        <w:tc>
          <w:tcPr>
            <w:tcW w:w="20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80" w:type="dxa"/>
            <w:vAlign w:val="bottom"/>
          </w:tcPr>
          <w:p>
            <w:pPr>
              <w:ind w:left="200"/>
              <w:spacing w:after="0"/>
              <w:rPr>
                <w:sz w:val="20"/>
                <w:szCs w:val="20"/>
                <w:color w:val="auto"/>
              </w:rPr>
            </w:pPr>
            <w:r>
              <w:rPr>
                <w:rFonts w:ascii="Arial" w:cs="Arial" w:eastAsia="Arial" w:hAnsi="Arial"/>
                <w:sz w:val="16"/>
                <w:szCs w:val="16"/>
                <w:b w:val="1"/>
                <w:bCs w:val="1"/>
                <w:color w:val="00497F"/>
              </w:rPr>
              <w:t>December 31, 2023</w:t>
            </w:r>
          </w:p>
        </w:tc>
        <w:tc>
          <w:tcPr>
            <w:tcW w:w="2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00497F"/>
              </w:rPr>
              <w:t>1,398</w:t>
            </w:r>
          </w:p>
        </w:tc>
        <w:tc>
          <w:tcPr>
            <w:tcW w:w="1980" w:type="dxa"/>
            <w:vAlign w:val="bottom"/>
            <w:tcBorders>
              <w:bottom w:val="single" w:sz="8" w:color="auto"/>
            </w:tcBorders>
          </w:tcPr>
          <w:p>
            <w:pPr>
              <w:jc w:val="center"/>
              <w:ind w:left="1459"/>
              <w:spacing w:after="0"/>
              <w:rPr>
                <w:sz w:val="20"/>
                <w:szCs w:val="20"/>
                <w:color w:val="auto"/>
              </w:rPr>
            </w:pPr>
            <w:r>
              <w:rPr>
                <w:rFonts w:ascii="Arial" w:cs="Arial" w:eastAsia="Arial" w:hAnsi="Arial"/>
                <w:sz w:val="16"/>
                <w:szCs w:val="16"/>
                <w:b w:val="1"/>
                <w:bCs w:val="1"/>
                <w:color w:val="00497F"/>
              </w:rPr>
              <w:t>122</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1,520</w:t>
            </w:r>
          </w:p>
        </w:tc>
        <w:tc>
          <w:tcPr>
            <w:tcW w:w="0" w:type="dxa"/>
            <w:vAlign w:val="bottom"/>
          </w:tcPr>
          <w:p>
            <w:pPr>
              <w:spacing w:after="0"/>
              <w:rPr>
                <w:sz w:val="1"/>
                <w:szCs w:val="1"/>
                <w:color w:val="auto"/>
              </w:rPr>
            </w:pPr>
          </w:p>
        </w:tc>
      </w:tr>
      <w:tr>
        <w:trPr>
          <w:trHeight w:val="195"/>
        </w:trPr>
        <w:tc>
          <w:tcPr>
            <w:tcW w:w="5280" w:type="dxa"/>
            <w:vAlign w:val="bottom"/>
          </w:tcPr>
          <w:p>
            <w:pPr>
              <w:ind w:left="20"/>
              <w:spacing w:after="0"/>
              <w:rPr>
                <w:sz w:val="20"/>
                <w:szCs w:val="20"/>
                <w:color w:val="auto"/>
              </w:rPr>
            </w:pPr>
            <w:r>
              <w:rPr>
                <w:rFonts w:ascii="Arial" w:cs="Arial" w:eastAsia="Arial" w:hAnsi="Arial"/>
                <w:sz w:val="16"/>
                <w:szCs w:val="16"/>
                <w:b w:val="1"/>
                <w:bCs w:val="1"/>
                <w:color w:val="00497F"/>
              </w:rPr>
              <w:t>PROVED UNDEVELOPED RESERVES</w:t>
            </w:r>
          </w:p>
        </w:tc>
        <w:tc>
          <w:tcPr>
            <w:tcW w:w="20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00497F"/>
              </w:rPr>
              <w:t>December 31, 2023</w:t>
            </w:r>
          </w:p>
        </w:tc>
        <w:tc>
          <w:tcPr>
            <w:tcW w:w="2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00497F"/>
              </w:rPr>
              <w:t>542</w:t>
            </w:r>
          </w:p>
        </w:tc>
        <w:tc>
          <w:tcPr>
            <w:tcW w:w="1980" w:type="dxa"/>
            <w:vAlign w:val="bottom"/>
            <w:tcBorders>
              <w:bottom w:val="single" w:sz="8" w:color="auto"/>
            </w:tcBorders>
          </w:tcPr>
          <w:p>
            <w:pPr>
              <w:jc w:val="center"/>
              <w:ind w:left="1459"/>
              <w:spacing w:after="0"/>
              <w:rPr>
                <w:sz w:val="20"/>
                <w:szCs w:val="20"/>
                <w:color w:val="auto"/>
              </w:rPr>
            </w:pPr>
            <w:r>
              <w:rPr>
                <w:rFonts w:ascii="Arial" w:cs="Arial" w:eastAsia="Arial" w:hAnsi="Arial"/>
                <w:sz w:val="16"/>
                <w:szCs w:val="16"/>
                <w:b w:val="1"/>
                <w:bCs w:val="1"/>
                <w:color w:val="00497F"/>
              </w:rPr>
              <w:t>150</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692</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Arial" w:cs="Arial" w:eastAsia="Arial" w:hAnsi="Arial"/>
                <w:sz w:val="16"/>
                <w:szCs w:val="16"/>
                <w:b w:val="1"/>
                <w:bCs w:val="1"/>
                <w:color w:val="00497F"/>
              </w:rPr>
              <w:t>NGL Reserves</w:t>
            </w:r>
          </w:p>
        </w:tc>
        <w:tc>
          <w:tcPr>
            <w:tcW w:w="20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Occidental Combined</w:t>
            </w:r>
          </w:p>
        </w:tc>
        <w:tc>
          <w:tcPr>
            <w:tcW w:w="0" w:type="dxa"/>
            <w:vAlign w:val="bottom"/>
          </w:tcPr>
          <w:p>
            <w:pPr>
              <w:spacing w:after="0"/>
              <w:rPr>
                <w:sz w:val="1"/>
                <w:szCs w:val="1"/>
                <w:color w:val="auto"/>
              </w:rPr>
            </w:pPr>
          </w:p>
        </w:tc>
      </w:tr>
      <w:tr>
        <w:trPr>
          <w:trHeight w:val="82"/>
        </w:trPr>
        <w:tc>
          <w:tcPr>
            <w:tcW w:w="52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 of barrels (MMbbl)</w:t>
            </w:r>
          </w:p>
        </w:tc>
        <w:tc>
          <w:tcPr>
            <w:tcW w:w="206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Occidental Historical</w:t>
            </w:r>
          </w:p>
        </w:tc>
        <w:tc>
          <w:tcPr>
            <w:tcW w:w="19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CrownRock Historical</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5280" w:type="dxa"/>
            <w:vAlign w:val="bottom"/>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1980" w:type="dxa"/>
            <w:vAlign w:val="bottom"/>
            <w:vMerge w:val="continue"/>
          </w:tcPr>
          <w:p>
            <w:pPr>
              <w:spacing w:after="0"/>
              <w:rPr>
                <w:sz w:val="12"/>
                <w:szCs w:val="12"/>
                <w:color w:val="auto"/>
              </w:rPr>
            </w:pPr>
          </w:p>
        </w:tc>
        <w:tc>
          <w:tcPr>
            <w:tcW w:w="1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Pro Forma</w:t>
            </w:r>
          </w:p>
        </w:tc>
        <w:tc>
          <w:tcPr>
            <w:tcW w:w="0" w:type="dxa"/>
            <w:vAlign w:val="bottom"/>
          </w:tcPr>
          <w:p>
            <w:pPr>
              <w:spacing w:after="0"/>
              <w:rPr>
                <w:sz w:val="1"/>
                <w:szCs w:val="1"/>
                <w:color w:val="auto"/>
              </w:rPr>
            </w:pPr>
          </w:p>
        </w:tc>
      </w:tr>
      <w:tr>
        <w:trPr>
          <w:trHeight w:val="76"/>
        </w:trPr>
        <w:tc>
          <w:tcPr>
            <w:tcW w:w="5280" w:type="dxa"/>
            <w:vAlign w:val="bottom"/>
            <w:vMerge w:val="restart"/>
          </w:tcPr>
          <w:p>
            <w:pPr>
              <w:ind w:left="20"/>
              <w:spacing w:after="0"/>
              <w:rPr>
                <w:sz w:val="20"/>
                <w:szCs w:val="20"/>
                <w:color w:val="auto"/>
              </w:rPr>
            </w:pPr>
            <w:r>
              <w:rPr>
                <w:rFonts w:ascii="Arial" w:cs="Arial" w:eastAsia="Arial" w:hAnsi="Arial"/>
                <w:sz w:val="16"/>
                <w:szCs w:val="16"/>
                <w:b w:val="1"/>
                <w:bCs w:val="1"/>
                <w:color w:val="00497F"/>
              </w:rPr>
              <w:t>PROVED DEVELOPED AND UNDEVELOPED RESERVES</w:t>
            </w:r>
          </w:p>
        </w:tc>
        <w:tc>
          <w:tcPr>
            <w:tcW w:w="206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2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2060" w:type="dxa"/>
            <w:vAlign w:val="bottom"/>
          </w:tcPr>
          <w:p>
            <w:pPr>
              <w:jc w:val="right"/>
              <w:spacing w:after="0"/>
              <w:rPr>
                <w:sz w:val="20"/>
                <w:szCs w:val="20"/>
                <w:color w:val="auto"/>
              </w:rPr>
            </w:pPr>
            <w:r>
              <w:rPr>
                <w:rFonts w:ascii="Arial" w:cs="Arial" w:eastAsia="Arial" w:hAnsi="Arial"/>
                <w:sz w:val="16"/>
                <w:szCs w:val="16"/>
                <w:color w:val="auto"/>
              </w:rPr>
              <w:t>846</w:t>
            </w:r>
          </w:p>
        </w:tc>
        <w:tc>
          <w:tcPr>
            <w:tcW w:w="1980" w:type="dxa"/>
            <w:vAlign w:val="bottom"/>
          </w:tcPr>
          <w:p>
            <w:pPr>
              <w:jc w:val="center"/>
              <w:ind w:left="1459"/>
              <w:spacing w:after="0"/>
              <w:rPr>
                <w:sz w:val="20"/>
                <w:szCs w:val="20"/>
                <w:color w:val="auto"/>
              </w:rPr>
            </w:pPr>
            <w:r>
              <w:rPr>
                <w:rFonts w:ascii="Arial" w:cs="Arial" w:eastAsia="Arial" w:hAnsi="Arial"/>
                <w:sz w:val="16"/>
                <w:szCs w:val="16"/>
                <w:color w:val="auto"/>
              </w:rPr>
              <w:t>181</w:t>
            </w:r>
          </w:p>
        </w:tc>
        <w:tc>
          <w:tcPr>
            <w:tcW w:w="1920" w:type="dxa"/>
            <w:vAlign w:val="bottom"/>
          </w:tcPr>
          <w:p>
            <w:pPr>
              <w:jc w:val="right"/>
              <w:spacing w:after="0"/>
              <w:rPr>
                <w:sz w:val="20"/>
                <w:szCs w:val="20"/>
                <w:color w:val="auto"/>
              </w:rPr>
            </w:pPr>
            <w:r>
              <w:rPr>
                <w:rFonts w:ascii="Arial" w:cs="Arial" w:eastAsia="Arial" w:hAnsi="Arial"/>
                <w:sz w:val="16"/>
                <w:szCs w:val="16"/>
                <w:color w:val="auto"/>
              </w:rPr>
              <w:t>1,027</w:t>
            </w:r>
          </w:p>
        </w:tc>
        <w:tc>
          <w:tcPr>
            <w:tcW w:w="0" w:type="dxa"/>
            <w:vAlign w:val="bottom"/>
          </w:tcPr>
          <w:p>
            <w:pPr>
              <w:spacing w:after="0"/>
              <w:rPr>
                <w:sz w:val="1"/>
                <w:szCs w:val="1"/>
                <w:color w:val="auto"/>
              </w:rPr>
            </w:pPr>
          </w:p>
        </w:tc>
      </w:tr>
      <w:tr>
        <w:trPr>
          <w:trHeight w:val="222"/>
        </w:trPr>
        <w:tc>
          <w:tcPr>
            <w:tcW w:w="5280" w:type="dxa"/>
            <w:vAlign w:val="bottom"/>
          </w:tcPr>
          <w:p>
            <w:pPr>
              <w:ind w:left="200"/>
              <w:spacing w:after="0"/>
              <w:rPr>
                <w:sz w:val="20"/>
                <w:szCs w:val="20"/>
                <w:color w:val="auto"/>
              </w:rPr>
            </w:pPr>
            <w:r>
              <w:rPr>
                <w:rFonts w:ascii="Arial" w:cs="Arial" w:eastAsia="Arial" w:hAnsi="Arial"/>
                <w:sz w:val="16"/>
                <w:szCs w:val="16"/>
                <w:color w:val="auto"/>
              </w:rPr>
              <w:t>Revisions of previous estimates</w:t>
            </w:r>
          </w:p>
        </w:tc>
        <w:tc>
          <w:tcPr>
            <w:tcW w:w="2060" w:type="dxa"/>
            <w:vAlign w:val="bottom"/>
          </w:tcPr>
          <w:p>
            <w:pPr>
              <w:jc w:val="right"/>
              <w:spacing w:after="0"/>
              <w:rPr>
                <w:sz w:val="20"/>
                <w:szCs w:val="20"/>
                <w:color w:val="auto"/>
              </w:rPr>
            </w:pPr>
            <w:r>
              <w:rPr>
                <w:rFonts w:ascii="Arial" w:cs="Arial" w:eastAsia="Arial" w:hAnsi="Arial"/>
                <w:sz w:val="16"/>
                <w:szCs w:val="16"/>
                <w:b w:val="1"/>
                <w:bCs w:val="1"/>
                <w:color w:val="00497F"/>
              </w:rPr>
              <w:t>185</w:t>
            </w:r>
          </w:p>
        </w:tc>
        <w:tc>
          <w:tcPr>
            <w:tcW w:w="1980" w:type="dxa"/>
            <w:vAlign w:val="bottom"/>
          </w:tcPr>
          <w:p>
            <w:pPr>
              <w:jc w:val="right"/>
              <w:spacing w:after="0"/>
              <w:rPr>
                <w:sz w:val="20"/>
                <w:szCs w:val="20"/>
                <w:color w:val="auto"/>
              </w:rPr>
            </w:pPr>
            <w:r>
              <w:rPr>
                <w:rFonts w:ascii="Arial" w:cs="Arial" w:eastAsia="Arial" w:hAnsi="Arial"/>
                <w:sz w:val="16"/>
                <w:szCs w:val="16"/>
                <w:b w:val="1"/>
                <w:bCs w:val="1"/>
                <w:color w:val="00497F"/>
              </w:rPr>
              <w:t>9</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00497F"/>
              </w:rPr>
              <w:t>194</w:t>
            </w: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Arial" w:cs="Arial" w:eastAsia="Arial" w:hAnsi="Arial"/>
                <w:sz w:val="16"/>
                <w:szCs w:val="16"/>
                <w:color w:val="auto"/>
              </w:rPr>
              <w:t>Improved recovery</w:t>
            </w:r>
          </w:p>
        </w:tc>
        <w:tc>
          <w:tcPr>
            <w:tcW w:w="2060" w:type="dxa"/>
            <w:vAlign w:val="bottom"/>
          </w:tcPr>
          <w:p>
            <w:pPr>
              <w:jc w:val="right"/>
              <w:spacing w:after="0"/>
              <w:rPr>
                <w:sz w:val="20"/>
                <w:szCs w:val="20"/>
                <w:color w:val="auto"/>
              </w:rPr>
            </w:pPr>
            <w:r>
              <w:rPr>
                <w:rFonts w:ascii="Arial" w:cs="Arial" w:eastAsia="Arial" w:hAnsi="Arial"/>
                <w:sz w:val="16"/>
                <w:szCs w:val="16"/>
                <w:b w:val="1"/>
                <w:bCs w:val="1"/>
                <w:color w:val="00497F"/>
              </w:rPr>
              <w:t>2</w:t>
            </w:r>
          </w:p>
        </w:tc>
        <w:tc>
          <w:tcPr>
            <w:tcW w:w="1980" w:type="dxa"/>
            <w:vAlign w:val="bottom"/>
          </w:tcPr>
          <w:p>
            <w:pPr>
              <w:jc w:val="center"/>
              <w:ind w:left="1459"/>
              <w:spacing w:after="0"/>
              <w:rPr>
                <w:sz w:val="20"/>
                <w:szCs w:val="20"/>
                <w:color w:val="auto"/>
              </w:rPr>
            </w:pPr>
            <w:r>
              <w:rPr>
                <w:rFonts w:ascii="Arial" w:cs="Arial" w:eastAsia="Arial" w:hAnsi="Arial"/>
                <w:sz w:val="16"/>
                <w:szCs w:val="16"/>
                <w:b w:val="1"/>
                <w:bCs w:val="1"/>
                <w:color w:val="00497F"/>
                <w:w w:val="99"/>
              </w:rPr>
              <w:t>—</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00497F"/>
              </w:rPr>
              <w:t>2</w:t>
            </w: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Arial" w:cs="Arial" w:eastAsia="Arial" w:hAnsi="Arial"/>
                <w:sz w:val="16"/>
                <w:szCs w:val="16"/>
                <w:color w:val="auto"/>
              </w:rPr>
              <w:t>Extensions and discoveries</w:t>
            </w:r>
          </w:p>
        </w:tc>
        <w:tc>
          <w:tcPr>
            <w:tcW w:w="2060" w:type="dxa"/>
            <w:vAlign w:val="bottom"/>
          </w:tcPr>
          <w:p>
            <w:pPr>
              <w:jc w:val="right"/>
              <w:spacing w:after="0"/>
              <w:rPr>
                <w:sz w:val="20"/>
                <w:szCs w:val="20"/>
                <w:color w:val="auto"/>
              </w:rPr>
            </w:pPr>
            <w:r>
              <w:rPr>
                <w:rFonts w:ascii="Arial" w:cs="Arial" w:eastAsia="Arial" w:hAnsi="Arial"/>
                <w:sz w:val="16"/>
                <w:szCs w:val="16"/>
                <w:b w:val="1"/>
                <w:bCs w:val="1"/>
                <w:color w:val="00497F"/>
              </w:rPr>
              <w:t>45</w:t>
            </w:r>
          </w:p>
        </w:tc>
        <w:tc>
          <w:tcPr>
            <w:tcW w:w="1980" w:type="dxa"/>
            <w:vAlign w:val="bottom"/>
          </w:tcPr>
          <w:p>
            <w:pPr>
              <w:jc w:val="right"/>
              <w:spacing w:after="0"/>
              <w:rPr>
                <w:sz w:val="20"/>
                <w:szCs w:val="20"/>
                <w:color w:val="auto"/>
              </w:rPr>
            </w:pPr>
            <w:r>
              <w:rPr>
                <w:rFonts w:ascii="Arial" w:cs="Arial" w:eastAsia="Arial" w:hAnsi="Arial"/>
                <w:sz w:val="16"/>
                <w:szCs w:val="16"/>
                <w:b w:val="1"/>
                <w:bCs w:val="1"/>
                <w:color w:val="00497F"/>
              </w:rPr>
              <w:t>41</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00497F"/>
              </w:rPr>
              <w:t>86</w:t>
            </w: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Arial" w:cs="Arial" w:eastAsia="Arial" w:hAnsi="Arial"/>
                <w:sz w:val="16"/>
                <w:szCs w:val="16"/>
                <w:color w:val="auto"/>
              </w:rPr>
              <w:t>Purchases of proved reserves</w:t>
            </w:r>
          </w:p>
        </w:tc>
        <w:tc>
          <w:tcPr>
            <w:tcW w:w="2060" w:type="dxa"/>
            <w:vAlign w:val="bottom"/>
          </w:tcPr>
          <w:p>
            <w:pPr>
              <w:jc w:val="right"/>
              <w:spacing w:after="0"/>
              <w:rPr>
                <w:sz w:val="20"/>
                <w:szCs w:val="20"/>
                <w:color w:val="auto"/>
              </w:rPr>
            </w:pPr>
            <w:r>
              <w:rPr>
                <w:rFonts w:ascii="Arial" w:cs="Arial" w:eastAsia="Arial" w:hAnsi="Arial"/>
                <w:sz w:val="16"/>
                <w:szCs w:val="16"/>
                <w:b w:val="1"/>
                <w:bCs w:val="1"/>
                <w:color w:val="00497F"/>
              </w:rPr>
              <w:t>9</w:t>
            </w:r>
          </w:p>
        </w:tc>
        <w:tc>
          <w:tcPr>
            <w:tcW w:w="1980" w:type="dxa"/>
            <w:vAlign w:val="bottom"/>
          </w:tcPr>
          <w:p>
            <w:pPr>
              <w:jc w:val="center"/>
              <w:ind w:left="1459"/>
              <w:spacing w:after="0"/>
              <w:rPr>
                <w:sz w:val="20"/>
                <w:szCs w:val="20"/>
                <w:color w:val="auto"/>
              </w:rPr>
            </w:pPr>
            <w:r>
              <w:rPr>
                <w:rFonts w:ascii="Arial" w:cs="Arial" w:eastAsia="Arial" w:hAnsi="Arial"/>
                <w:sz w:val="16"/>
                <w:szCs w:val="16"/>
                <w:b w:val="1"/>
                <w:bCs w:val="1"/>
                <w:color w:val="00497F"/>
                <w:w w:val="99"/>
              </w:rPr>
              <w:t>—</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00497F"/>
              </w:rPr>
              <w:t>9</w:t>
            </w: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Arial" w:cs="Arial" w:eastAsia="Arial" w:hAnsi="Arial"/>
                <w:sz w:val="16"/>
                <w:szCs w:val="16"/>
                <w:color w:val="auto"/>
              </w:rPr>
              <w:t>Sales of proved reserves</w:t>
            </w:r>
          </w:p>
        </w:tc>
        <w:tc>
          <w:tcPr>
            <w:tcW w:w="2060" w:type="dxa"/>
            <w:vAlign w:val="bottom"/>
          </w:tcPr>
          <w:p>
            <w:pPr>
              <w:jc w:val="right"/>
              <w:spacing w:after="0"/>
              <w:rPr>
                <w:sz w:val="20"/>
                <w:szCs w:val="20"/>
                <w:color w:val="auto"/>
              </w:rPr>
            </w:pPr>
            <w:r>
              <w:rPr>
                <w:rFonts w:ascii="Arial" w:cs="Arial" w:eastAsia="Arial" w:hAnsi="Arial"/>
                <w:sz w:val="16"/>
                <w:szCs w:val="16"/>
                <w:b w:val="1"/>
                <w:bCs w:val="1"/>
                <w:color w:val="00497F"/>
              </w:rPr>
              <w:t>(1)</w:t>
            </w:r>
          </w:p>
        </w:tc>
        <w:tc>
          <w:tcPr>
            <w:tcW w:w="1980" w:type="dxa"/>
            <w:vAlign w:val="bottom"/>
          </w:tcPr>
          <w:p>
            <w:pPr>
              <w:jc w:val="center"/>
              <w:ind w:left="1459"/>
              <w:spacing w:after="0"/>
              <w:rPr>
                <w:sz w:val="20"/>
                <w:szCs w:val="20"/>
                <w:color w:val="auto"/>
              </w:rPr>
            </w:pPr>
            <w:r>
              <w:rPr>
                <w:rFonts w:ascii="Arial" w:cs="Arial" w:eastAsia="Arial" w:hAnsi="Arial"/>
                <w:sz w:val="16"/>
                <w:szCs w:val="16"/>
                <w:b w:val="1"/>
                <w:bCs w:val="1"/>
                <w:color w:val="00497F"/>
                <w:w w:val="99"/>
              </w:rPr>
              <w:t>—</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00497F"/>
              </w:rPr>
              <w:t>(1)</w:t>
            </w:r>
          </w:p>
        </w:tc>
        <w:tc>
          <w:tcPr>
            <w:tcW w:w="0" w:type="dxa"/>
            <w:vAlign w:val="bottom"/>
          </w:tcPr>
          <w:p>
            <w:pPr>
              <w:spacing w:after="0"/>
              <w:rPr>
                <w:sz w:val="1"/>
                <w:szCs w:val="1"/>
                <w:color w:val="auto"/>
              </w:rPr>
            </w:pPr>
          </w:p>
        </w:tc>
      </w:tr>
      <w:tr>
        <w:trPr>
          <w:trHeight w:val="217"/>
        </w:trPr>
        <w:tc>
          <w:tcPr>
            <w:tcW w:w="5280" w:type="dxa"/>
            <w:vAlign w:val="bottom"/>
          </w:tcPr>
          <w:p>
            <w:pPr>
              <w:ind w:left="200"/>
              <w:spacing w:after="0"/>
              <w:rPr>
                <w:sz w:val="20"/>
                <w:szCs w:val="20"/>
                <w:color w:val="auto"/>
              </w:rPr>
            </w:pPr>
            <w:r>
              <w:rPr>
                <w:rFonts w:ascii="Arial" w:cs="Arial" w:eastAsia="Arial" w:hAnsi="Arial"/>
                <w:sz w:val="16"/>
                <w:szCs w:val="16"/>
                <w:color w:val="auto"/>
              </w:rPr>
              <w:t>Production</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(103)</w:t>
            </w:r>
          </w:p>
        </w:tc>
        <w:tc>
          <w:tcPr>
            <w:tcW w:w="1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00497F"/>
              </w:rPr>
              <w:t>(15)</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(118)</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Arial" w:cs="Arial" w:eastAsia="Arial" w:hAnsi="Arial"/>
                <w:sz w:val="16"/>
                <w:szCs w:val="16"/>
                <w:b w:val="1"/>
                <w:bCs w:val="1"/>
                <w:color w:val="00497F"/>
              </w:rPr>
              <w:t>Balance at December 31, 2023</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983</w:t>
            </w:r>
          </w:p>
        </w:tc>
        <w:tc>
          <w:tcPr>
            <w:tcW w:w="1980" w:type="dxa"/>
            <w:vAlign w:val="bottom"/>
            <w:tcBorders>
              <w:bottom w:val="single" w:sz="8" w:color="auto"/>
            </w:tcBorders>
          </w:tcPr>
          <w:p>
            <w:pPr>
              <w:jc w:val="center"/>
              <w:ind w:left="1459"/>
              <w:spacing w:after="0"/>
              <w:rPr>
                <w:sz w:val="20"/>
                <w:szCs w:val="20"/>
                <w:color w:val="auto"/>
              </w:rPr>
            </w:pPr>
            <w:r>
              <w:rPr>
                <w:rFonts w:ascii="Arial" w:cs="Arial" w:eastAsia="Arial" w:hAnsi="Arial"/>
                <w:sz w:val="16"/>
                <w:szCs w:val="16"/>
                <w:b w:val="1"/>
                <w:bCs w:val="1"/>
                <w:color w:val="00497F"/>
              </w:rPr>
              <w:t>216</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1,199</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DOMESTIC PROVED RESERVES</w:t>
            </w:r>
          </w:p>
        </w:tc>
        <w:tc>
          <w:tcPr>
            <w:tcW w:w="20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280" w:type="dxa"/>
            <w:vAlign w:val="bottom"/>
            <w:vMerge w:val="continue"/>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b w:val="1"/>
                <w:bCs w:val="1"/>
                <w:color w:val="00497F"/>
              </w:rPr>
              <w:t>802</w:t>
            </w:r>
          </w:p>
        </w:tc>
        <w:tc>
          <w:tcPr>
            <w:tcW w:w="1980" w:type="dxa"/>
            <w:vAlign w:val="bottom"/>
          </w:tcPr>
          <w:p>
            <w:pPr>
              <w:jc w:val="center"/>
              <w:ind w:left="1459"/>
              <w:spacing w:after="0"/>
              <w:rPr>
                <w:sz w:val="20"/>
                <w:szCs w:val="20"/>
                <w:color w:val="auto"/>
              </w:rPr>
            </w:pPr>
            <w:r>
              <w:rPr>
                <w:rFonts w:ascii="Arial" w:cs="Arial" w:eastAsia="Arial" w:hAnsi="Arial"/>
                <w:sz w:val="16"/>
                <w:szCs w:val="16"/>
                <w:b w:val="1"/>
                <w:bCs w:val="1"/>
                <w:color w:val="00497F"/>
              </w:rPr>
              <w:t>216</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00497F"/>
              </w:rPr>
              <w:t>1,018</w:t>
            </w:r>
          </w:p>
        </w:tc>
        <w:tc>
          <w:tcPr>
            <w:tcW w:w="0" w:type="dxa"/>
            <w:vAlign w:val="bottom"/>
          </w:tcPr>
          <w:p>
            <w:pPr>
              <w:spacing w:after="0"/>
              <w:rPr>
                <w:sz w:val="1"/>
                <w:szCs w:val="1"/>
                <w:color w:val="auto"/>
              </w:rPr>
            </w:pPr>
          </w:p>
        </w:tc>
      </w:tr>
      <w:tr>
        <w:trPr>
          <w:trHeight w:val="222"/>
        </w:trPr>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INTERNATIONAL PROVED RESERVES</w:t>
            </w:r>
          </w:p>
        </w:tc>
        <w:tc>
          <w:tcPr>
            <w:tcW w:w="2060" w:type="dxa"/>
            <w:vAlign w:val="bottom"/>
          </w:tcPr>
          <w:p>
            <w:pPr>
              <w:jc w:val="right"/>
              <w:spacing w:after="0"/>
              <w:rPr>
                <w:sz w:val="20"/>
                <w:szCs w:val="20"/>
                <w:color w:val="auto"/>
              </w:rPr>
            </w:pPr>
            <w:r>
              <w:rPr>
                <w:rFonts w:ascii="Arial" w:cs="Arial" w:eastAsia="Arial" w:hAnsi="Arial"/>
                <w:sz w:val="16"/>
                <w:szCs w:val="16"/>
                <w:b w:val="1"/>
                <w:bCs w:val="1"/>
                <w:color w:val="00497F"/>
              </w:rPr>
              <w:t>181</w:t>
            </w:r>
          </w:p>
        </w:tc>
        <w:tc>
          <w:tcPr>
            <w:tcW w:w="1980" w:type="dxa"/>
            <w:vAlign w:val="bottom"/>
          </w:tcPr>
          <w:p>
            <w:pPr>
              <w:jc w:val="center"/>
              <w:ind w:left="1459"/>
              <w:spacing w:after="0"/>
              <w:rPr>
                <w:sz w:val="20"/>
                <w:szCs w:val="20"/>
                <w:color w:val="auto"/>
              </w:rPr>
            </w:pPr>
            <w:r>
              <w:rPr>
                <w:rFonts w:ascii="Arial" w:cs="Arial" w:eastAsia="Arial" w:hAnsi="Arial"/>
                <w:sz w:val="16"/>
                <w:szCs w:val="16"/>
                <w:b w:val="1"/>
                <w:bCs w:val="1"/>
                <w:color w:val="00497F"/>
                <w:w w:val="99"/>
              </w:rPr>
              <w:t>—</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00497F"/>
              </w:rPr>
              <w:t>181</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6"/>
                <w:szCs w:val="16"/>
                <w:b w:val="1"/>
                <w:bCs w:val="1"/>
                <w:color w:val="00497F"/>
              </w:rPr>
              <w:t>PROVED DEVELOPED RESERVES</w:t>
            </w:r>
          </w:p>
        </w:tc>
        <w:tc>
          <w:tcPr>
            <w:tcW w:w="20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80" w:type="dxa"/>
            <w:vAlign w:val="bottom"/>
          </w:tcPr>
          <w:p>
            <w:pPr>
              <w:ind w:left="200"/>
              <w:spacing w:after="0"/>
              <w:rPr>
                <w:sz w:val="20"/>
                <w:szCs w:val="20"/>
                <w:color w:val="auto"/>
              </w:rPr>
            </w:pPr>
            <w:r>
              <w:rPr>
                <w:rFonts w:ascii="Arial" w:cs="Arial" w:eastAsia="Arial" w:hAnsi="Arial"/>
                <w:sz w:val="16"/>
                <w:szCs w:val="16"/>
                <w:b w:val="1"/>
                <w:bCs w:val="1"/>
                <w:color w:val="00497F"/>
              </w:rPr>
              <w:t>December 31, 2023</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639</w:t>
            </w:r>
          </w:p>
        </w:tc>
        <w:tc>
          <w:tcPr>
            <w:tcW w:w="1980" w:type="dxa"/>
            <w:vAlign w:val="bottom"/>
            <w:tcBorders>
              <w:bottom w:val="single" w:sz="8" w:color="auto"/>
            </w:tcBorders>
          </w:tcPr>
          <w:p>
            <w:pPr>
              <w:jc w:val="center"/>
              <w:ind w:left="1479"/>
              <w:spacing w:after="0"/>
              <w:rPr>
                <w:sz w:val="20"/>
                <w:szCs w:val="20"/>
                <w:color w:val="auto"/>
              </w:rPr>
            </w:pPr>
            <w:r>
              <w:rPr>
                <w:rFonts w:ascii="Arial" w:cs="Arial" w:eastAsia="Arial" w:hAnsi="Arial"/>
                <w:sz w:val="16"/>
                <w:szCs w:val="16"/>
                <w:b w:val="1"/>
                <w:bCs w:val="1"/>
                <w:color w:val="00497F"/>
                <w:w w:val="97"/>
              </w:rPr>
              <w:t>112</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751</w:t>
            </w:r>
          </w:p>
        </w:tc>
        <w:tc>
          <w:tcPr>
            <w:tcW w:w="0" w:type="dxa"/>
            <w:vAlign w:val="bottom"/>
          </w:tcPr>
          <w:p>
            <w:pPr>
              <w:spacing w:after="0"/>
              <w:rPr>
                <w:sz w:val="1"/>
                <w:szCs w:val="1"/>
                <w:color w:val="auto"/>
              </w:rPr>
            </w:pPr>
          </w:p>
        </w:tc>
      </w:tr>
      <w:tr>
        <w:trPr>
          <w:trHeight w:val="202"/>
        </w:trPr>
        <w:tc>
          <w:tcPr>
            <w:tcW w:w="5280" w:type="dxa"/>
            <w:vAlign w:val="bottom"/>
          </w:tcPr>
          <w:p>
            <w:pPr>
              <w:ind w:left="20"/>
              <w:spacing w:after="0"/>
              <w:rPr>
                <w:sz w:val="20"/>
                <w:szCs w:val="20"/>
                <w:color w:val="auto"/>
              </w:rPr>
            </w:pPr>
            <w:r>
              <w:rPr>
                <w:rFonts w:ascii="Arial" w:cs="Arial" w:eastAsia="Arial" w:hAnsi="Arial"/>
                <w:sz w:val="16"/>
                <w:szCs w:val="16"/>
                <w:b w:val="1"/>
                <w:bCs w:val="1"/>
                <w:color w:val="00497F"/>
              </w:rPr>
              <w:t>PROVED UNDEVELOPED RESERVES</w:t>
            </w:r>
          </w:p>
        </w:tc>
        <w:tc>
          <w:tcPr>
            <w:tcW w:w="2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280" w:type="dxa"/>
            <w:vAlign w:val="bottom"/>
          </w:tcPr>
          <w:p>
            <w:pPr>
              <w:ind w:left="200"/>
              <w:spacing w:after="0"/>
              <w:rPr>
                <w:sz w:val="20"/>
                <w:szCs w:val="20"/>
                <w:color w:val="auto"/>
              </w:rPr>
            </w:pPr>
            <w:r>
              <w:rPr>
                <w:rFonts w:ascii="Arial" w:cs="Arial" w:eastAsia="Arial" w:hAnsi="Arial"/>
                <w:sz w:val="16"/>
                <w:szCs w:val="16"/>
                <w:b w:val="1"/>
                <w:bCs w:val="1"/>
                <w:color w:val="00497F"/>
              </w:rPr>
              <w:t>December 31, 2023</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344</w:t>
            </w:r>
          </w:p>
        </w:tc>
        <w:tc>
          <w:tcPr>
            <w:tcW w:w="1980" w:type="dxa"/>
            <w:vAlign w:val="bottom"/>
            <w:tcBorders>
              <w:bottom w:val="single" w:sz="8" w:color="auto"/>
            </w:tcBorders>
          </w:tcPr>
          <w:p>
            <w:pPr>
              <w:jc w:val="center"/>
              <w:ind w:left="1459"/>
              <w:spacing w:after="0"/>
              <w:rPr>
                <w:sz w:val="20"/>
                <w:szCs w:val="20"/>
                <w:color w:val="auto"/>
              </w:rPr>
            </w:pPr>
            <w:r>
              <w:rPr>
                <w:rFonts w:ascii="Arial" w:cs="Arial" w:eastAsia="Arial" w:hAnsi="Arial"/>
                <w:sz w:val="16"/>
                <w:szCs w:val="16"/>
                <w:b w:val="1"/>
                <w:bCs w:val="1"/>
                <w:color w:val="00497F"/>
              </w:rPr>
              <w:t>104</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448</w:t>
            </w:r>
          </w:p>
        </w:tc>
        <w:tc>
          <w:tcPr>
            <w:tcW w:w="0" w:type="dxa"/>
            <w:vAlign w:val="bottom"/>
          </w:tcPr>
          <w:p>
            <w:pPr>
              <w:spacing w:after="0"/>
              <w:rPr>
                <w:sz w:val="1"/>
                <w:szCs w:val="1"/>
                <w:color w:val="auto"/>
              </w:rPr>
            </w:pPr>
          </w:p>
        </w:tc>
      </w:tr>
      <w:tr>
        <w:trPr>
          <w:trHeight w:val="761"/>
        </w:trPr>
        <w:tc>
          <w:tcPr>
            <w:tcW w:w="5280" w:type="dxa"/>
            <w:vAlign w:val="bottom"/>
          </w:tcPr>
          <w:p>
            <w:pPr>
              <w:spacing w:after="0"/>
              <w:rPr>
                <w:sz w:val="24"/>
                <w:szCs w:val="24"/>
                <w:color w:val="auto"/>
              </w:rPr>
            </w:pPr>
          </w:p>
        </w:tc>
        <w:tc>
          <w:tcPr>
            <w:tcW w:w="2060" w:type="dxa"/>
            <w:vAlign w:val="bottom"/>
          </w:tcPr>
          <w:p>
            <w:pPr>
              <w:jc w:val="right"/>
              <w:ind w:right="1539"/>
              <w:spacing w:after="0"/>
              <w:rPr>
                <w:sz w:val="20"/>
                <w:szCs w:val="20"/>
                <w:color w:val="auto"/>
              </w:rPr>
            </w:pPr>
            <w:r>
              <w:rPr>
                <w:rFonts w:ascii="Arial" w:cs="Arial" w:eastAsia="Arial" w:hAnsi="Arial"/>
                <w:sz w:val="16"/>
                <w:szCs w:val="16"/>
                <w:color w:val="auto"/>
              </w:rPr>
              <w:t>13</w:t>
            </w:r>
          </w:p>
        </w:tc>
        <w:tc>
          <w:tcPr>
            <w:tcW w:w="1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68" w:right="339" w:bottom="1440" w:gutter="0" w:footer="0" w:header="0"/>
        </w:sectPr>
      </w:pPr>
    </w:p>
    <w:bookmarkStart w:id="39" w:name="page40"/>
    <w:bookmarkEnd w:id="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5280" w:type="dxa"/>
            <w:vAlign w:val="bottom"/>
          </w:tcPr>
          <w:p>
            <w:pPr>
              <w:ind w:left="20"/>
              <w:spacing w:after="0"/>
              <w:rPr>
                <w:sz w:val="20"/>
                <w:szCs w:val="20"/>
                <w:color w:val="auto"/>
              </w:rPr>
            </w:pPr>
            <w:r>
              <w:rPr>
                <w:rFonts w:ascii="Arial" w:cs="Arial" w:eastAsia="Arial" w:hAnsi="Arial"/>
                <w:sz w:val="16"/>
                <w:szCs w:val="16"/>
                <w:b w:val="1"/>
                <w:bCs w:val="1"/>
                <w:color w:val="00497F"/>
              </w:rPr>
              <w:t>Natural Gas Reserves</w:t>
            </w:r>
          </w:p>
        </w:tc>
        <w:tc>
          <w:tcPr>
            <w:tcW w:w="206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Occidental Historical</w:t>
            </w:r>
          </w:p>
        </w:tc>
        <w:tc>
          <w:tcPr>
            <w:tcW w:w="19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CrownRock Historical</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rPr>
              <w:t>Occidental Combined</w:t>
            </w:r>
          </w:p>
        </w:tc>
        <w:tc>
          <w:tcPr>
            <w:tcW w:w="0" w:type="dxa"/>
            <w:vAlign w:val="bottom"/>
          </w:tcPr>
          <w:p>
            <w:pPr>
              <w:spacing w:after="0"/>
              <w:rPr>
                <w:sz w:val="1"/>
                <w:szCs w:val="1"/>
                <w:color w:val="auto"/>
              </w:rPr>
            </w:pPr>
          </w:p>
        </w:tc>
      </w:tr>
      <w:tr>
        <w:trPr>
          <w:trHeight w:val="141"/>
        </w:trPr>
        <w:tc>
          <w:tcPr>
            <w:tcW w:w="5280" w:type="dxa"/>
            <w:vAlign w:val="bottom"/>
            <w:vMerge w:val="restart"/>
          </w:tcPr>
          <w:p>
            <w:pPr>
              <w:ind w:left="20"/>
              <w:spacing w:after="0" w:line="175" w:lineRule="exact"/>
              <w:rPr>
                <w:sz w:val="20"/>
                <w:szCs w:val="20"/>
                <w:color w:val="auto"/>
              </w:rPr>
            </w:pPr>
            <w:r>
              <w:rPr>
                <w:rFonts w:ascii="Arial" w:cs="Arial" w:eastAsia="Arial" w:hAnsi="Arial"/>
                <w:sz w:val="16"/>
                <w:szCs w:val="16"/>
                <w:i w:val="1"/>
                <w:iCs w:val="1"/>
                <w:color w:val="auto"/>
              </w:rPr>
              <w:t>in billions of cubic feet (Bcf)</w:t>
            </w:r>
          </w:p>
        </w:tc>
        <w:tc>
          <w:tcPr>
            <w:tcW w:w="2060" w:type="dxa"/>
            <w:vAlign w:val="bottom"/>
            <w:vMerge w:val="continue"/>
          </w:tcPr>
          <w:p>
            <w:pPr>
              <w:spacing w:after="0"/>
              <w:rPr>
                <w:sz w:val="12"/>
                <w:szCs w:val="12"/>
                <w:color w:val="auto"/>
              </w:rPr>
            </w:pPr>
          </w:p>
        </w:tc>
        <w:tc>
          <w:tcPr>
            <w:tcW w:w="1980" w:type="dxa"/>
            <w:vAlign w:val="bottom"/>
            <w:vMerge w:val="continue"/>
          </w:tcPr>
          <w:p>
            <w:pPr>
              <w:spacing w:after="0"/>
              <w:rPr>
                <w:sz w:val="12"/>
                <w:szCs w:val="12"/>
                <w:color w:val="auto"/>
              </w:rPr>
            </w:pPr>
          </w:p>
        </w:tc>
        <w:tc>
          <w:tcPr>
            <w:tcW w:w="1920" w:type="dxa"/>
            <w:vAlign w:val="bottom"/>
            <w:vMerge w:val="restart"/>
          </w:tcPr>
          <w:p>
            <w:pPr>
              <w:jc w:val="center"/>
              <w:spacing w:after="0" w:line="175" w:lineRule="exact"/>
              <w:rPr>
                <w:sz w:val="20"/>
                <w:szCs w:val="20"/>
                <w:color w:val="auto"/>
              </w:rPr>
            </w:pPr>
            <w:r>
              <w:rPr>
                <w:rFonts w:ascii="Arial" w:cs="Arial" w:eastAsia="Arial" w:hAnsi="Arial"/>
                <w:sz w:val="16"/>
                <w:szCs w:val="16"/>
                <w:b w:val="1"/>
                <w:bCs w:val="1"/>
                <w:color w:val="auto"/>
              </w:rPr>
              <w:t>Pro Forma</w:t>
            </w:r>
          </w:p>
        </w:tc>
        <w:tc>
          <w:tcPr>
            <w:tcW w:w="0" w:type="dxa"/>
            <w:vAlign w:val="bottom"/>
          </w:tcPr>
          <w:p>
            <w:pPr>
              <w:spacing w:after="0"/>
              <w:rPr>
                <w:sz w:val="1"/>
                <w:szCs w:val="1"/>
                <w:color w:val="auto"/>
              </w:rPr>
            </w:pPr>
          </w:p>
        </w:tc>
      </w:tr>
      <w:tr>
        <w:trPr>
          <w:trHeight w:val="34"/>
        </w:trPr>
        <w:tc>
          <w:tcPr>
            <w:tcW w:w="5280" w:type="dxa"/>
            <w:vAlign w:val="bottom"/>
            <w:vMerge w:val="continue"/>
          </w:tcPr>
          <w:p>
            <w:pPr>
              <w:spacing w:after="0"/>
              <w:rPr>
                <w:sz w:val="2"/>
                <w:szCs w:val="2"/>
                <w:color w:val="auto"/>
              </w:rPr>
            </w:pPr>
          </w:p>
        </w:tc>
        <w:tc>
          <w:tcPr>
            <w:tcW w:w="20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497F"/>
              </w:rPr>
              <w:t>PROVED DEVELOPED AND UNDEVELOPED RESERVES</w:t>
            </w:r>
          </w:p>
        </w:tc>
        <w:tc>
          <w:tcPr>
            <w:tcW w:w="20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2060" w:type="dxa"/>
            <w:vAlign w:val="bottom"/>
          </w:tcPr>
          <w:p>
            <w:pPr>
              <w:jc w:val="right"/>
              <w:spacing w:after="0"/>
              <w:rPr>
                <w:sz w:val="20"/>
                <w:szCs w:val="20"/>
                <w:color w:val="auto"/>
              </w:rPr>
            </w:pPr>
            <w:r>
              <w:rPr>
                <w:rFonts w:ascii="Arial" w:cs="Arial" w:eastAsia="Arial" w:hAnsi="Arial"/>
                <w:sz w:val="16"/>
                <w:szCs w:val="16"/>
                <w:color w:val="auto"/>
              </w:rPr>
              <w:t>6,350</w:t>
            </w:r>
          </w:p>
        </w:tc>
        <w:tc>
          <w:tcPr>
            <w:tcW w:w="1980" w:type="dxa"/>
            <w:vAlign w:val="bottom"/>
          </w:tcPr>
          <w:p>
            <w:pPr>
              <w:jc w:val="center"/>
              <w:ind w:left="1459"/>
              <w:spacing w:after="0"/>
              <w:rPr>
                <w:sz w:val="20"/>
                <w:szCs w:val="20"/>
                <w:color w:val="auto"/>
              </w:rPr>
            </w:pPr>
            <w:r>
              <w:rPr>
                <w:rFonts w:ascii="Arial" w:cs="Arial" w:eastAsia="Arial" w:hAnsi="Arial"/>
                <w:sz w:val="16"/>
                <w:szCs w:val="16"/>
                <w:color w:val="auto"/>
              </w:rPr>
              <w:t>865</w:t>
            </w:r>
          </w:p>
        </w:tc>
        <w:tc>
          <w:tcPr>
            <w:tcW w:w="1920" w:type="dxa"/>
            <w:vAlign w:val="bottom"/>
          </w:tcPr>
          <w:p>
            <w:pPr>
              <w:jc w:val="right"/>
              <w:spacing w:after="0"/>
              <w:rPr>
                <w:sz w:val="20"/>
                <w:szCs w:val="20"/>
                <w:color w:val="auto"/>
              </w:rPr>
            </w:pPr>
            <w:r>
              <w:rPr>
                <w:rFonts w:ascii="Arial" w:cs="Arial" w:eastAsia="Arial" w:hAnsi="Arial"/>
                <w:sz w:val="16"/>
                <w:szCs w:val="16"/>
                <w:color w:val="auto"/>
              </w:rPr>
              <w:t>7,215</w:t>
            </w:r>
          </w:p>
        </w:tc>
        <w:tc>
          <w:tcPr>
            <w:tcW w:w="0" w:type="dxa"/>
            <w:vAlign w:val="bottom"/>
          </w:tcPr>
          <w:p>
            <w:pPr>
              <w:spacing w:after="0"/>
              <w:rPr>
                <w:sz w:val="1"/>
                <w:szCs w:val="1"/>
                <w:color w:val="auto"/>
              </w:rPr>
            </w:pPr>
          </w:p>
        </w:tc>
      </w:tr>
      <w:tr>
        <w:trPr>
          <w:trHeight w:val="229"/>
        </w:trPr>
        <w:tc>
          <w:tcPr>
            <w:tcW w:w="5280" w:type="dxa"/>
            <w:vAlign w:val="bottom"/>
          </w:tcPr>
          <w:p>
            <w:pPr>
              <w:ind w:left="200"/>
              <w:spacing w:after="0"/>
              <w:rPr>
                <w:sz w:val="20"/>
                <w:szCs w:val="20"/>
                <w:color w:val="auto"/>
              </w:rPr>
            </w:pPr>
            <w:r>
              <w:rPr>
                <w:rFonts w:ascii="Arial" w:cs="Arial" w:eastAsia="Arial" w:hAnsi="Arial"/>
                <w:sz w:val="16"/>
                <w:szCs w:val="16"/>
                <w:color w:val="auto"/>
              </w:rPr>
              <w:t>Revisions of previous estimates</w:t>
            </w:r>
          </w:p>
        </w:tc>
        <w:tc>
          <w:tcPr>
            <w:tcW w:w="2060" w:type="dxa"/>
            <w:vAlign w:val="bottom"/>
          </w:tcPr>
          <w:p>
            <w:pPr>
              <w:jc w:val="right"/>
              <w:spacing w:after="0"/>
              <w:rPr>
                <w:sz w:val="20"/>
                <w:szCs w:val="20"/>
                <w:color w:val="auto"/>
              </w:rPr>
            </w:pPr>
            <w:r>
              <w:rPr>
                <w:rFonts w:ascii="Arial" w:cs="Arial" w:eastAsia="Arial" w:hAnsi="Arial"/>
                <w:sz w:val="16"/>
                <w:szCs w:val="16"/>
                <w:b w:val="1"/>
                <w:bCs w:val="1"/>
                <w:color w:val="00497F"/>
              </w:rPr>
              <w:t>319</w:t>
            </w:r>
          </w:p>
        </w:tc>
        <w:tc>
          <w:tcPr>
            <w:tcW w:w="1980" w:type="dxa"/>
            <w:vAlign w:val="bottom"/>
          </w:tcPr>
          <w:p>
            <w:pPr>
              <w:jc w:val="right"/>
              <w:spacing w:after="0"/>
              <w:rPr>
                <w:sz w:val="20"/>
                <w:szCs w:val="20"/>
                <w:color w:val="auto"/>
              </w:rPr>
            </w:pPr>
            <w:r>
              <w:rPr>
                <w:rFonts w:ascii="Arial" w:cs="Arial" w:eastAsia="Arial" w:hAnsi="Arial"/>
                <w:sz w:val="16"/>
                <w:szCs w:val="16"/>
                <w:b w:val="1"/>
                <w:bCs w:val="1"/>
                <w:color w:val="00497F"/>
              </w:rPr>
              <w:t>80</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00497F"/>
              </w:rPr>
              <w:t>399</w:t>
            </w:r>
          </w:p>
        </w:tc>
        <w:tc>
          <w:tcPr>
            <w:tcW w:w="0" w:type="dxa"/>
            <w:vAlign w:val="bottom"/>
          </w:tcPr>
          <w:p>
            <w:pPr>
              <w:spacing w:after="0"/>
              <w:rPr>
                <w:sz w:val="1"/>
                <w:szCs w:val="1"/>
                <w:color w:val="auto"/>
              </w:rPr>
            </w:pPr>
          </w:p>
        </w:tc>
      </w:tr>
      <w:tr>
        <w:trPr>
          <w:trHeight w:val="223"/>
        </w:trPr>
        <w:tc>
          <w:tcPr>
            <w:tcW w:w="5280" w:type="dxa"/>
            <w:vAlign w:val="bottom"/>
          </w:tcPr>
          <w:p>
            <w:pPr>
              <w:ind w:left="200"/>
              <w:spacing w:after="0"/>
              <w:rPr>
                <w:sz w:val="20"/>
                <w:szCs w:val="20"/>
                <w:color w:val="auto"/>
              </w:rPr>
            </w:pPr>
            <w:r>
              <w:rPr>
                <w:rFonts w:ascii="Arial" w:cs="Arial" w:eastAsia="Arial" w:hAnsi="Arial"/>
                <w:sz w:val="16"/>
                <w:szCs w:val="16"/>
                <w:color w:val="auto"/>
              </w:rPr>
              <w:t>Improved recovery</w:t>
            </w:r>
          </w:p>
        </w:tc>
        <w:tc>
          <w:tcPr>
            <w:tcW w:w="2060" w:type="dxa"/>
            <w:vAlign w:val="bottom"/>
          </w:tcPr>
          <w:p>
            <w:pPr>
              <w:jc w:val="right"/>
              <w:spacing w:after="0"/>
              <w:rPr>
                <w:sz w:val="20"/>
                <w:szCs w:val="20"/>
                <w:color w:val="auto"/>
              </w:rPr>
            </w:pPr>
            <w:r>
              <w:rPr>
                <w:rFonts w:ascii="Arial" w:cs="Arial" w:eastAsia="Arial" w:hAnsi="Arial"/>
                <w:sz w:val="16"/>
                <w:szCs w:val="16"/>
                <w:b w:val="1"/>
                <w:bCs w:val="1"/>
                <w:color w:val="00497F"/>
              </w:rPr>
              <w:t>18</w:t>
            </w:r>
          </w:p>
        </w:tc>
        <w:tc>
          <w:tcPr>
            <w:tcW w:w="1980" w:type="dxa"/>
            <w:vAlign w:val="bottom"/>
          </w:tcPr>
          <w:p>
            <w:pPr>
              <w:jc w:val="center"/>
              <w:ind w:left="1459"/>
              <w:spacing w:after="0"/>
              <w:rPr>
                <w:sz w:val="20"/>
                <w:szCs w:val="20"/>
                <w:color w:val="auto"/>
              </w:rPr>
            </w:pPr>
            <w:r>
              <w:rPr>
                <w:rFonts w:ascii="Arial" w:cs="Arial" w:eastAsia="Arial" w:hAnsi="Arial"/>
                <w:sz w:val="16"/>
                <w:szCs w:val="16"/>
                <w:b w:val="1"/>
                <w:bCs w:val="1"/>
                <w:color w:val="00497F"/>
                <w:w w:val="99"/>
              </w:rPr>
              <w:t>—</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00497F"/>
              </w:rPr>
              <w:t>18</w:t>
            </w:r>
          </w:p>
        </w:tc>
        <w:tc>
          <w:tcPr>
            <w:tcW w:w="0" w:type="dxa"/>
            <w:vAlign w:val="bottom"/>
          </w:tcPr>
          <w:p>
            <w:pPr>
              <w:spacing w:after="0"/>
              <w:rPr>
                <w:sz w:val="1"/>
                <w:szCs w:val="1"/>
                <w:color w:val="auto"/>
              </w:rPr>
            </w:pPr>
          </w:p>
        </w:tc>
      </w:tr>
      <w:tr>
        <w:trPr>
          <w:trHeight w:val="223"/>
        </w:trPr>
        <w:tc>
          <w:tcPr>
            <w:tcW w:w="5280" w:type="dxa"/>
            <w:vAlign w:val="bottom"/>
          </w:tcPr>
          <w:p>
            <w:pPr>
              <w:ind w:left="200"/>
              <w:spacing w:after="0"/>
              <w:rPr>
                <w:sz w:val="20"/>
                <w:szCs w:val="20"/>
                <w:color w:val="auto"/>
              </w:rPr>
            </w:pPr>
            <w:r>
              <w:rPr>
                <w:rFonts w:ascii="Arial" w:cs="Arial" w:eastAsia="Arial" w:hAnsi="Arial"/>
                <w:sz w:val="16"/>
                <w:szCs w:val="16"/>
                <w:color w:val="auto"/>
              </w:rPr>
              <w:t>Extensions and discoveries</w:t>
            </w:r>
          </w:p>
        </w:tc>
        <w:tc>
          <w:tcPr>
            <w:tcW w:w="2060" w:type="dxa"/>
            <w:vAlign w:val="bottom"/>
          </w:tcPr>
          <w:p>
            <w:pPr>
              <w:jc w:val="right"/>
              <w:spacing w:after="0"/>
              <w:rPr>
                <w:sz w:val="20"/>
                <w:szCs w:val="20"/>
                <w:color w:val="auto"/>
              </w:rPr>
            </w:pPr>
            <w:r>
              <w:rPr>
                <w:rFonts w:ascii="Arial" w:cs="Arial" w:eastAsia="Arial" w:hAnsi="Arial"/>
                <w:sz w:val="16"/>
                <w:szCs w:val="16"/>
                <w:b w:val="1"/>
                <w:bCs w:val="1"/>
                <w:color w:val="00497F"/>
              </w:rPr>
              <w:t>273</w:t>
            </w:r>
          </w:p>
        </w:tc>
        <w:tc>
          <w:tcPr>
            <w:tcW w:w="1980" w:type="dxa"/>
            <w:vAlign w:val="bottom"/>
          </w:tcPr>
          <w:p>
            <w:pPr>
              <w:jc w:val="center"/>
              <w:ind w:left="1459"/>
              <w:spacing w:after="0"/>
              <w:rPr>
                <w:sz w:val="20"/>
                <w:szCs w:val="20"/>
                <w:color w:val="auto"/>
              </w:rPr>
            </w:pPr>
            <w:r>
              <w:rPr>
                <w:rFonts w:ascii="Arial" w:cs="Arial" w:eastAsia="Arial" w:hAnsi="Arial"/>
                <w:sz w:val="16"/>
                <w:szCs w:val="16"/>
                <w:b w:val="1"/>
                <w:bCs w:val="1"/>
                <w:color w:val="00497F"/>
              </w:rPr>
              <w:t>203</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00497F"/>
              </w:rPr>
              <w:t>476</w:t>
            </w:r>
          </w:p>
        </w:tc>
        <w:tc>
          <w:tcPr>
            <w:tcW w:w="0" w:type="dxa"/>
            <w:vAlign w:val="bottom"/>
          </w:tcPr>
          <w:p>
            <w:pPr>
              <w:spacing w:after="0"/>
              <w:rPr>
                <w:sz w:val="1"/>
                <w:szCs w:val="1"/>
                <w:color w:val="auto"/>
              </w:rPr>
            </w:pPr>
          </w:p>
        </w:tc>
      </w:tr>
      <w:tr>
        <w:trPr>
          <w:trHeight w:val="223"/>
        </w:trPr>
        <w:tc>
          <w:tcPr>
            <w:tcW w:w="5280" w:type="dxa"/>
            <w:vAlign w:val="bottom"/>
          </w:tcPr>
          <w:p>
            <w:pPr>
              <w:ind w:left="200"/>
              <w:spacing w:after="0"/>
              <w:rPr>
                <w:sz w:val="20"/>
                <w:szCs w:val="20"/>
                <w:color w:val="auto"/>
              </w:rPr>
            </w:pPr>
            <w:r>
              <w:rPr>
                <w:rFonts w:ascii="Arial" w:cs="Arial" w:eastAsia="Arial" w:hAnsi="Arial"/>
                <w:sz w:val="16"/>
                <w:szCs w:val="16"/>
                <w:color w:val="auto"/>
              </w:rPr>
              <w:t>Purchases of proved reserves</w:t>
            </w:r>
          </w:p>
        </w:tc>
        <w:tc>
          <w:tcPr>
            <w:tcW w:w="2060" w:type="dxa"/>
            <w:vAlign w:val="bottom"/>
          </w:tcPr>
          <w:p>
            <w:pPr>
              <w:jc w:val="right"/>
              <w:spacing w:after="0"/>
              <w:rPr>
                <w:sz w:val="20"/>
                <w:szCs w:val="20"/>
                <w:color w:val="auto"/>
              </w:rPr>
            </w:pPr>
            <w:r>
              <w:rPr>
                <w:rFonts w:ascii="Arial" w:cs="Arial" w:eastAsia="Arial" w:hAnsi="Arial"/>
                <w:sz w:val="16"/>
                <w:szCs w:val="16"/>
                <w:b w:val="1"/>
                <w:bCs w:val="1"/>
                <w:color w:val="00497F"/>
              </w:rPr>
              <w:t>50</w:t>
            </w:r>
          </w:p>
        </w:tc>
        <w:tc>
          <w:tcPr>
            <w:tcW w:w="1980" w:type="dxa"/>
            <w:vAlign w:val="bottom"/>
          </w:tcPr>
          <w:p>
            <w:pPr>
              <w:jc w:val="center"/>
              <w:ind w:left="1459"/>
              <w:spacing w:after="0"/>
              <w:rPr>
                <w:sz w:val="20"/>
                <w:szCs w:val="20"/>
                <w:color w:val="auto"/>
              </w:rPr>
            </w:pPr>
            <w:r>
              <w:rPr>
                <w:rFonts w:ascii="Arial" w:cs="Arial" w:eastAsia="Arial" w:hAnsi="Arial"/>
                <w:sz w:val="16"/>
                <w:szCs w:val="16"/>
                <w:b w:val="1"/>
                <w:bCs w:val="1"/>
                <w:color w:val="00497F"/>
                <w:w w:val="99"/>
              </w:rPr>
              <w:t>—</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00497F"/>
              </w:rPr>
              <w:t>50</w:t>
            </w:r>
          </w:p>
        </w:tc>
        <w:tc>
          <w:tcPr>
            <w:tcW w:w="0" w:type="dxa"/>
            <w:vAlign w:val="bottom"/>
          </w:tcPr>
          <w:p>
            <w:pPr>
              <w:spacing w:after="0"/>
              <w:rPr>
                <w:sz w:val="1"/>
                <w:szCs w:val="1"/>
                <w:color w:val="auto"/>
              </w:rPr>
            </w:pPr>
          </w:p>
        </w:tc>
      </w:tr>
      <w:tr>
        <w:trPr>
          <w:trHeight w:val="223"/>
        </w:trPr>
        <w:tc>
          <w:tcPr>
            <w:tcW w:w="5280" w:type="dxa"/>
            <w:vAlign w:val="bottom"/>
          </w:tcPr>
          <w:p>
            <w:pPr>
              <w:ind w:left="200"/>
              <w:spacing w:after="0"/>
              <w:rPr>
                <w:sz w:val="20"/>
                <w:szCs w:val="20"/>
                <w:color w:val="auto"/>
              </w:rPr>
            </w:pPr>
            <w:r>
              <w:rPr>
                <w:rFonts w:ascii="Arial" w:cs="Arial" w:eastAsia="Arial" w:hAnsi="Arial"/>
                <w:sz w:val="16"/>
                <w:szCs w:val="16"/>
                <w:color w:val="auto"/>
              </w:rPr>
              <w:t>Sales of proved reserves</w:t>
            </w:r>
          </w:p>
        </w:tc>
        <w:tc>
          <w:tcPr>
            <w:tcW w:w="2060" w:type="dxa"/>
            <w:vAlign w:val="bottom"/>
          </w:tcPr>
          <w:p>
            <w:pPr>
              <w:jc w:val="right"/>
              <w:ind w:right="19"/>
              <w:spacing w:after="0"/>
              <w:rPr>
                <w:sz w:val="20"/>
                <w:szCs w:val="20"/>
                <w:color w:val="auto"/>
              </w:rPr>
            </w:pPr>
            <w:r>
              <w:rPr>
                <w:rFonts w:ascii="Arial" w:cs="Arial" w:eastAsia="Arial" w:hAnsi="Arial"/>
                <w:sz w:val="16"/>
                <w:szCs w:val="16"/>
                <w:b w:val="1"/>
                <w:bCs w:val="1"/>
                <w:color w:val="00497F"/>
              </w:rPr>
              <w:t>(2)</w:t>
            </w:r>
          </w:p>
        </w:tc>
        <w:tc>
          <w:tcPr>
            <w:tcW w:w="1980" w:type="dxa"/>
            <w:vAlign w:val="bottom"/>
          </w:tcPr>
          <w:p>
            <w:pPr>
              <w:jc w:val="center"/>
              <w:ind w:left="1459"/>
              <w:spacing w:after="0"/>
              <w:rPr>
                <w:sz w:val="20"/>
                <w:szCs w:val="20"/>
                <w:color w:val="auto"/>
              </w:rPr>
            </w:pPr>
            <w:r>
              <w:rPr>
                <w:rFonts w:ascii="Arial" w:cs="Arial" w:eastAsia="Arial" w:hAnsi="Arial"/>
                <w:sz w:val="16"/>
                <w:szCs w:val="16"/>
                <w:b w:val="1"/>
                <w:bCs w:val="1"/>
                <w:color w:val="00497F"/>
                <w:w w:val="99"/>
              </w:rPr>
              <w:t>—</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00497F"/>
              </w:rPr>
              <w:t>(2)</w:t>
            </w:r>
          </w:p>
        </w:tc>
        <w:tc>
          <w:tcPr>
            <w:tcW w:w="0" w:type="dxa"/>
            <w:vAlign w:val="bottom"/>
          </w:tcPr>
          <w:p>
            <w:pPr>
              <w:spacing w:after="0"/>
              <w:rPr>
                <w:sz w:val="1"/>
                <w:szCs w:val="1"/>
                <w:color w:val="auto"/>
              </w:rPr>
            </w:pPr>
          </w:p>
        </w:tc>
      </w:tr>
      <w:tr>
        <w:trPr>
          <w:trHeight w:val="231"/>
        </w:trPr>
        <w:tc>
          <w:tcPr>
            <w:tcW w:w="5280" w:type="dxa"/>
            <w:vAlign w:val="bottom"/>
          </w:tcPr>
          <w:p>
            <w:pPr>
              <w:ind w:left="200"/>
              <w:spacing w:after="0"/>
              <w:rPr>
                <w:sz w:val="20"/>
                <w:szCs w:val="20"/>
                <w:color w:val="auto"/>
              </w:rPr>
            </w:pPr>
            <w:r>
              <w:rPr>
                <w:rFonts w:ascii="Arial" w:cs="Arial" w:eastAsia="Arial" w:hAnsi="Arial"/>
                <w:sz w:val="16"/>
                <w:szCs w:val="16"/>
                <w:color w:val="auto"/>
              </w:rPr>
              <w:t>Production</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(656)</w:t>
            </w:r>
          </w:p>
        </w:tc>
        <w:tc>
          <w:tcPr>
            <w:tcW w:w="1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00497F"/>
              </w:rPr>
              <w:t>(73)</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(729)</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6"/>
                <w:szCs w:val="16"/>
                <w:b w:val="1"/>
                <w:bCs w:val="1"/>
                <w:color w:val="00497F"/>
              </w:rPr>
              <w:t>Balance at December 31, 2023</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6,352</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1,075</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7,427</w:t>
            </w:r>
          </w:p>
        </w:tc>
        <w:tc>
          <w:tcPr>
            <w:tcW w:w="0" w:type="dxa"/>
            <w:vAlign w:val="bottom"/>
          </w:tcPr>
          <w:p>
            <w:pPr>
              <w:spacing w:after="0"/>
              <w:rPr>
                <w:sz w:val="1"/>
                <w:szCs w:val="1"/>
                <w:color w:val="auto"/>
              </w:rPr>
            </w:pPr>
          </w:p>
        </w:tc>
      </w:tr>
      <w:tr>
        <w:trPr>
          <w:trHeight w:val="21"/>
        </w:trPr>
        <w:tc>
          <w:tcPr>
            <w:tcW w:w="5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DOMESTIC PROVED RESERVES</w:t>
            </w:r>
          </w:p>
        </w:tc>
        <w:tc>
          <w:tcPr>
            <w:tcW w:w="20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280" w:type="dxa"/>
            <w:vAlign w:val="bottom"/>
            <w:vMerge w:val="continue"/>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b w:val="1"/>
                <w:bCs w:val="1"/>
                <w:color w:val="00497F"/>
              </w:rPr>
              <w:t>4,235</w:t>
            </w:r>
          </w:p>
        </w:tc>
        <w:tc>
          <w:tcPr>
            <w:tcW w:w="1980" w:type="dxa"/>
            <w:vAlign w:val="bottom"/>
          </w:tcPr>
          <w:p>
            <w:pPr>
              <w:jc w:val="right"/>
              <w:spacing w:after="0"/>
              <w:rPr>
                <w:sz w:val="20"/>
                <w:szCs w:val="20"/>
                <w:color w:val="auto"/>
              </w:rPr>
            </w:pPr>
            <w:r>
              <w:rPr>
                <w:rFonts w:ascii="Arial" w:cs="Arial" w:eastAsia="Arial" w:hAnsi="Arial"/>
                <w:sz w:val="16"/>
                <w:szCs w:val="16"/>
                <w:b w:val="1"/>
                <w:bCs w:val="1"/>
                <w:color w:val="00497F"/>
              </w:rPr>
              <w:t>1,075</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00497F"/>
              </w:rPr>
              <w:t>5,310</w:t>
            </w:r>
          </w:p>
        </w:tc>
        <w:tc>
          <w:tcPr>
            <w:tcW w:w="0" w:type="dxa"/>
            <w:vAlign w:val="bottom"/>
          </w:tcPr>
          <w:p>
            <w:pPr>
              <w:spacing w:after="0"/>
              <w:rPr>
                <w:sz w:val="1"/>
                <w:szCs w:val="1"/>
                <w:color w:val="auto"/>
              </w:rPr>
            </w:pPr>
          </w:p>
        </w:tc>
      </w:tr>
      <w:tr>
        <w:trPr>
          <w:trHeight w:val="222"/>
        </w:trPr>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INTERNATIONAL PROVED RESERVES</w:t>
            </w:r>
          </w:p>
        </w:tc>
        <w:tc>
          <w:tcPr>
            <w:tcW w:w="2060" w:type="dxa"/>
            <w:vAlign w:val="bottom"/>
          </w:tcPr>
          <w:p>
            <w:pPr>
              <w:jc w:val="right"/>
              <w:spacing w:after="0"/>
              <w:rPr>
                <w:sz w:val="20"/>
                <w:szCs w:val="20"/>
                <w:color w:val="auto"/>
              </w:rPr>
            </w:pPr>
            <w:r>
              <w:rPr>
                <w:rFonts w:ascii="Arial" w:cs="Arial" w:eastAsia="Arial" w:hAnsi="Arial"/>
                <w:sz w:val="16"/>
                <w:szCs w:val="16"/>
                <w:b w:val="1"/>
                <w:bCs w:val="1"/>
                <w:color w:val="00497F"/>
              </w:rPr>
              <w:t>2,117</w:t>
            </w:r>
          </w:p>
        </w:tc>
        <w:tc>
          <w:tcPr>
            <w:tcW w:w="1980" w:type="dxa"/>
            <w:vAlign w:val="bottom"/>
          </w:tcPr>
          <w:p>
            <w:pPr>
              <w:jc w:val="center"/>
              <w:ind w:left="1459"/>
              <w:spacing w:after="0"/>
              <w:rPr>
                <w:sz w:val="20"/>
                <w:szCs w:val="20"/>
                <w:color w:val="auto"/>
              </w:rPr>
            </w:pPr>
            <w:r>
              <w:rPr>
                <w:rFonts w:ascii="Arial" w:cs="Arial" w:eastAsia="Arial" w:hAnsi="Arial"/>
                <w:sz w:val="16"/>
                <w:szCs w:val="16"/>
                <w:b w:val="1"/>
                <w:bCs w:val="1"/>
                <w:color w:val="00497F"/>
                <w:w w:val="99"/>
              </w:rPr>
              <w:t>—</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00497F"/>
              </w:rPr>
              <w:t>2,117</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6"/>
                <w:szCs w:val="16"/>
                <w:b w:val="1"/>
                <w:bCs w:val="1"/>
                <w:color w:val="00497F"/>
              </w:rPr>
              <w:t>PROVED DEVELOPED RESERVES</w:t>
            </w:r>
          </w:p>
        </w:tc>
        <w:tc>
          <w:tcPr>
            <w:tcW w:w="20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80" w:type="dxa"/>
            <w:vAlign w:val="bottom"/>
          </w:tcPr>
          <w:p>
            <w:pPr>
              <w:ind w:left="200"/>
              <w:spacing w:after="0"/>
              <w:rPr>
                <w:sz w:val="20"/>
                <w:szCs w:val="20"/>
                <w:color w:val="auto"/>
              </w:rPr>
            </w:pPr>
            <w:r>
              <w:rPr>
                <w:rFonts w:ascii="Arial" w:cs="Arial" w:eastAsia="Arial" w:hAnsi="Arial"/>
                <w:sz w:val="16"/>
                <w:szCs w:val="16"/>
                <w:b w:val="1"/>
                <w:bCs w:val="1"/>
                <w:color w:val="00497F"/>
              </w:rPr>
              <w:t>December 31, 2023</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4,277</w:t>
            </w:r>
          </w:p>
        </w:tc>
        <w:tc>
          <w:tcPr>
            <w:tcW w:w="1980" w:type="dxa"/>
            <w:vAlign w:val="bottom"/>
            <w:tcBorders>
              <w:bottom w:val="single" w:sz="8" w:color="auto"/>
            </w:tcBorders>
          </w:tcPr>
          <w:p>
            <w:pPr>
              <w:jc w:val="center"/>
              <w:ind w:left="1459"/>
              <w:spacing w:after="0"/>
              <w:rPr>
                <w:sz w:val="20"/>
                <w:szCs w:val="20"/>
                <w:color w:val="auto"/>
              </w:rPr>
            </w:pPr>
            <w:r>
              <w:rPr>
                <w:rFonts w:ascii="Arial" w:cs="Arial" w:eastAsia="Arial" w:hAnsi="Arial"/>
                <w:sz w:val="16"/>
                <w:szCs w:val="16"/>
                <w:b w:val="1"/>
                <w:bCs w:val="1"/>
                <w:color w:val="00497F"/>
              </w:rPr>
              <w:t>558</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4,835</w:t>
            </w:r>
          </w:p>
        </w:tc>
        <w:tc>
          <w:tcPr>
            <w:tcW w:w="0" w:type="dxa"/>
            <w:vAlign w:val="bottom"/>
          </w:tcPr>
          <w:p>
            <w:pPr>
              <w:spacing w:after="0"/>
              <w:rPr>
                <w:sz w:val="1"/>
                <w:szCs w:val="1"/>
                <w:color w:val="auto"/>
              </w:rPr>
            </w:pPr>
          </w:p>
        </w:tc>
      </w:tr>
      <w:tr>
        <w:trPr>
          <w:trHeight w:val="202"/>
        </w:trPr>
        <w:tc>
          <w:tcPr>
            <w:tcW w:w="5280" w:type="dxa"/>
            <w:vAlign w:val="bottom"/>
          </w:tcPr>
          <w:p>
            <w:pPr>
              <w:ind w:left="20"/>
              <w:spacing w:after="0"/>
              <w:rPr>
                <w:sz w:val="20"/>
                <w:szCs w:val="20"/>
                <w:color w:val="auto"/>
              </w:rPr>
            </w:pPr>
            <w:r>
              <w:rPr>
                <w:rFonts w:ascii="Arial" w:cs="Arial" w:eastAsia="Arial" w:hAnsi="Arial"/>
                <w:sz w:val="16"/>
                <w:szCs w:val="16"/>
                <w:b w:val="1"/>
                <w:bCs w:val="1"/>
                <w:color w:val="00497F"/>
              </w:rPr>
              <w:t>PROVED UNDEVELOPED RESERVES</w:t>
            </w:r>
          </w:p>
        </w:tc>
        <w:tc>
          <w:tcPr>
            <w:tcW w:w="2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2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00497F"/>
              </w:rPr>
              <w:t>December 31, 2023</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2,075</w:t>
            </w:r>
          </w:p>
        </w:tc>
        <w:tc>
          <w:tcPr>
            <w:tcW w:w="1980" w:type="dxa"/>
            <w:vAlign w:val="bottom"/>
            <w:tcBorders>
              <w:bottom w:val="single" w:sz="8" w:color="auto"/>
            </w:tcBorders>
          </w:tcPr>
          <w:p>
            <w:pPr>
              <w:jc w:val="center"/>
              <w:ind w:left="1459"/>
              <w:spacing w:after="0"/>
              <w:rPr>
                <w:sz w:val="20"/>
                <w:szCs w:val="20"/>
                <w:color w:val="auto"/>
              </w:rPr>
            </w:pPr>
            <w:r>
              <w:rPr>
                <w:rFonts w:ascii="Arial" w:cs="Arial" w:eastAsia="Arial" w:hAnsi="Arial"/>
                <w:sz w:val="16"/>
                <w:szCs w:val="16"/>
                <w:b w:val="1"/>
                <w:bCs w:val="1"/>
                <w:color w:val="00497F"/>
              </w:rPr>
              <w:t>517</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2,592</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b w:val="1"/>
                <w:bCs w:val="1"/>
                <w:color w:val="00497F"/>
              </w:rPr>
              <w:t>Total Reserves</w:t>
            </w:r>
          </w:p>
        </w:tc>
        <w:tc>
          <w:tcPr>
            <w:tcW w:w="20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Occidental Combined</w:t>
            </w:r>
          </w:p>
        </w:tc>
        <w:tc>
          <w:tcPr>
            <w:tcW w:w="0" w:type="dxa"/>
            <w:vAlign w:val="bottom"/>
          </w:tcPr>
          <w:p>
            <w:pPr>
              <w:spacing w:after="0"/>
              <w:rPr>
                <w:sz w:val="1"/>
                <w:szCs w:val="1"/>
                <w:color w:val="auto"/>
              </w:rPr>
            </w:pPr>
          </w:p>
        </w:tc>
      </w:tr>
      <w:tr>
        <w:trPr>
          <w:trHeight w:val="82"/>
        </w:trPr>
        <w:tc>
          <w:tcPr>
            <w:tcW w:w="52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 of BOE (MMBOE)</w:t>
            </w:r>
          </w:p>
        </w:tc>
        <w:tc>
          <w:tcPr>
            <w:tcW w:w="206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Occidental Historical</w:t>
            </w:r>
          </w:p>
        </w:tc>
        <w:tc>
          <w:tcPr>
            <w:tcW w:w="19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CrownRock Historical</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5280" w:type="dxa"/>
            <w:vAlign w:val="bottom"/>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1920" w:type="dxa"/>
            <w:vAlign w:val="bottom"/>
          </w:tcPr>
          <w:p>
            <w:pPr>
              <w:jc w:val="center"/>
              <w:spacing w:after="0" w:line="164" w:lineRule="exact"/>
              <w:rPr>
                <w:sz w:val="20"/>
                <w:szCs w:val="20"/>
                <w:color w:val="auto"/>
              </w:rPr>
            </w:pPr>
            <w:r>
              <w:rPr>
                <w:rFonts w:ascii="Arial" w:cs="Arial" w:eastAsia="Arial" w:hAnsi="Arial"/>
                <w:sz w:val="16"/>
                <w:szCs w:val="16"/>
                <w:b w:val="1"/>
                <w:bCs w:val="1"/>
                <w:color w:val="auto"/>
              </w:rPr>
              <w:t>Pro Forma</w:t>
            </w: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6"/>
          <w:szCs w:val="16"/>
          <w:b w:val="1"/>
          <w:bCs w:val="1"/>
          <w:color w:val="00497F"/>
        </w:rPr>
        <w:t>PROVED DEVELOPED AND UNDEVELOPED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at December 31, 2022</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Revisions of previous estimates</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Improved recovery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Extensions and discoveries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Purchases of proved reserves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Sales of proved reserves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Production</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97F"/>
        </w:rPr>
        <w:t>Balance at December 31, 2023</w:t>
      </w:r>
    </w:p>
    <w:p>
      <w:pPr>
        <w:spacing w:after="0" w:line="59" w:lineRule="exact"/>
        <w:rPr>
          <w:sz w:val="20"/>
          <w:szCs w:val="20"/>
          <w:color w:val="auto"/>
        </w:rPr>
      </w:pPr>
    </w:p>
    <w:p>
      <w:pPr>
        <w:ind w:left="20" w:right="1560" w:firstLine="4"/>
        <w:spacing w:after="0" w:line="302" w:lineRule="auto"/>
        <w:rPr>
          <w:sz w:val="20"/>
          <w:szCs w:val="20"/>
          <w:color w:val="auto"/>
        </w:rPr>
      </w:pPr>
      <w:r>
        <w:rPr>
          <w:rFonts w:ascii="Arial" w:cs="Arial" w:eastAsia="Arial" w:hAnsi="Arial"/>
          <w:sz w:val="16"/>
          <w:szCs w:val="16"/>
          <w:b w:val="1"/>
          <w:bCs w:val="1"/>
          <w:color w:val="auto"/>
        </w:rPr>
        <w:t xml:space="preserve">DOMESTIC PROVED RESERVES INTERNATIONAL PROVED RESERVES </w:t>
      </w:r>
      <w:r>
        <w:rPr>
          <w:rFonts w:ascii="Arial" w:cs="Arial" w:eastAsia="Arial" w:hAnsi="Arial"/>
          <w:sz w:val="16"/>
          <w:szCs w:val="16"/>
          <w:b w:val="1"/>
          <w:bCs w:val="1"/>
          <w:color w:val="00497F"/>
        </w:rPr>
        <w:t>PROVED DEVELOPED RESERVES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00497F"/>
        </w:rPr>
        <w:t>December 31, 2023</w:t>
      </w:r>
    </w:p>
    <w:p>
      <w:pPr>
        <w:spacing w:after="0" w:line="39" w:lineRule="exact"/>
        <w:rPr>
          <w:sz w:val="20"/>
          <w:szCs w:val="20"/>
          <w:color w:val="auto"/>
        </w:rPr>
      </w:pPr>
    </w:p>
    <w:p>
      <w:pPr>
        <w:ind w:left="200" w:right="1640" w:hanging="161"/>
        <w:spacing w:after="0" w:line="332" w:lineRule="auto"/>
        <w:rPr>
          <w:sz w:val="20"/>
          <w:szCs w:val="20"/>
          <w:color w:val="auto"/>
        </w:rPr>
      </w:pPr>
      <w:r>
        <w:rPr>
          <w:rFonts w:ascii="Arial" w:cs="Arial" w:eastAsia="Arial" w:hAnsi="Arial"/>
          <w:sz w:val="16"/>
          <w:szCs w:val="16"/>
          <w:b w:val="1"/>
          <w:bCs w:val="1"/>
          <w:color w:val="00497F"/>
        </w:rPr>
        <w:t>PROVED UNDEVELOPED RESERVES December 31, 2023</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20" w:type="dxa"/>
            <w:vAlign w:val="bottom"/>
          </w:tcPr>
          <w:p>
            <w:pPr>
              <w:jc w:val="right"/>
              <w:ind w:right="759"/>
              <w:spacing w:after="0"/>
              <w:rPr>
                <w:sz w:val="20"/>
                <w:szCs w:val="20"/>
                <w:color w:val="auto"/>
              </w:rPr>
            </w:pPr>
            <w:r>
              <w:rPr>
                <w:rFonts w:ascii="Arial" w:cs="Arial" w:eastAsia="Arial" w:hAnsi="Arial"/>
                <w:sz w:val="16"/>
                <w:szCs w:val="16"/>
                <w:color w:val="auto"/>
              </w:rPr>
              <w:t>3,817</w:t>
            </w:r>
          </w:p>
        </w:tc>
        <w:tc>
          <w:tcPr>
            <w:tcW w:w="1900" w:type="dxa"/>
            <w:vAlign w:val="bottom"/>
          </w:tcPr>
          <w:p>
            <w:pPr>
              <w:jc w:val="center"/>
              <w:ind w:left="19"/>
              <w:spacing w:after="0"/>
              <w:rPr>
                <w:sz w:val="20"/>
                <w:szCs w:val="20"/>
                <w:color w:val="auto"/>
              </w:rPr>
            </w:pPr>
            <w:r>
              <w:rPr>
                <w:rFonts w:ascii="Arial" w:cs="Arial" w:eastAsia="Arial" w:hAnsi="Arial"/>
                <w:sz w:val="16"/>
                <w:szCs w:val="16"/>
                <w:color w:val="auto"/>
              </w:rPr>
              <w:t>574</w:t>
            </w:r>
          </w:p>
        </w:tc>
        <w:tc>
          <w:tcPr>
            <w:tcW w:w="1240" w:type="dxa"/>
            <w:vAlign w:val="bottom"/>
          </w:tcPr>
          <w:p>
            <w:pPr>
              <w:jc w:val="right"/>
              <w:spacing w:after="0"/>
              <w:rPr>
                <w:sz w:val="20"/>
                <w:szCs w:val="20"/>
                <w:color w:val="auto"/>
              </w:rPr>
            </w:pPr>
            <w:r>
              <w:rPr>
                <w:rFonts w:ascii="Arial" w:cs="Arial" w:eastAsia="Arial" w:hAnsi="Arial"/>
                <w:sz w:val="16"/>
                <w:szCs w:val="16"/>
                <w:color w:val="auto"/>
              </w:rPr>
              <w:t>4,391</w:t>
            </w:r>
          </w:p>
        </w:tc>
      </w:tr>
      <w:tr>
        <w:trPr>
          <w:trHeight w:val="217"/>
        </w:trPr>
        <w:tc>
          <w:tcPr>
            <w:tcW w:w="2820" w:type="dxa"/>
            <w:vAlign w:val="bottom"/>
          </w:tcPr>
          <w:p>
            <w:pPr>
              <w:jc w:val="right"/>
              <w:ind w:right="759"/>
              <w:spacing w:after="0"/>
              <w:rPr>
                <w:sz w:val="20"/>
                <w:szCs w:val="20"/>
                <w:color w:val="auto"/>
              </w:rPr>
            </w:pPr>
            <w:r>
              <w:rPr>
                <w:rFonts w:ascii="Arial" w:cs="Arial" w:eastAsia="Arial" w:hAnsi="Arial"/>
                <w:sz w:val="16"/>
                <w:szCs w:val="16"/>
                <w:b w:val="1"/>
                <w:bCs w:val="1"/>
                <w:color w:val="00497F"/>
              </w:rPr>
              <w:t>406</w:t>
            </w:r>
          </w:p>
        </w:tc>
        <w:tc>
          <w:tcPr>
            <w:tcW w:w="1900" w:type="dxa"/>
            <w:vAlign w:val="bottom"/>
          </w:tcPr>
          <w:p>
            <w:pPr>
              <w:jc w:val="right"/>
              <w:ind w:right="679"/>
              <w:spacing w:after="0"/>
              <w:rPr>
                <w:sz w:val="20"/>
                <w:szCs w:val="20"/>
                <w:color w:val="auto"/>
              </w:rPr>
            </w:pPr>
            <w:r>
              <w:rPr>
                <w:rFonts w:ascii="Arial" w:cs="Arial" w:eastAsia="Arial" w:hAnsi="Arial"/>
                <w:sz w:val="16"/>
                <w:szCs w:val="16"/>
                <w:b w:val="1"/>
                <w:bCs w:val="1"/>
                <w:color w:val="00497F"/>
              </w:rPr>
              <w:t>8</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497F"/>
              </w:rPr>
              <w:t>414</w:t>
            </w:r>
          </w:p>
        </w:tc>
      </w:tr>
      <w:tr>
        <w:trPr>
          <w:trHeight w:val="216"/>
        </w:trPr>
        <w:tc>
          <w:tcPr>
            <w:tcW w:w="2820" w:type="dxa"/>
            <w:vAlign w:val="bottom"/>
          </w:tcPr>
          <w:p>
            <w:pPr>
              <w:jc w:val="right"/>
              <w:ind w:right="759"/>
              <w:spacing w:after="0"/>
              <w:rPr>
                <w:sz w:val="20"/>
                <w:szCs w:val="20"/>
                <w:color w:val="auto"/>
              </w:rPr>
            </w:pPr>
            <w:r>
              <w:rPr>
                <w:rFonts w:ascii="Arial" w:cs="Arial" w:eastAsia="Arial" w:hAnsi="Arial"/>
                <w:sz w:val="16"/>
                <w:szCs w:val="16"/>
                <w:b w:val="1"/>
                <w:bCs w:val="1"/>
                <w:color w:val="00497F"/>
              </w:rPr>
              <w:t>23</w:t>
            </w:r>
          </w:p>
        </w:tc>
        <w:tc>
          <w:tcPr>
            <w:tcW w:w="1900" w:type="dxa"/>
            <w:vAlign w:val="bottom"/>
          </w:tcPr>
          <w:p>
            <w:pPr>
              <w:jc w:val="center"/>
              <w:ind w:left="19"/>
              <w:spacing w:after="0"/>
              <w:rPr>
                <w:sz w:val="20"/>
                <w:szCs w:val="20"/>
                <w:color w:val="auto"/>
              </w:rPr>
            </w:pPr>
            <w:r>
              <w:rPr>
                <w:rFonts w:ascii="Arial" w:cs="Arial" w:eastAsia="Arial" w:hAnsi="Arial"/>
                <w:sz w:val="16"/>
                <w:szCs w:val="16"/>
                <w:b w:val="1"/>
                <w:bCs w:val="1"/>
                <w:color w:val="00497F"/>
                <w:w w:val="9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497F"/>
              </w:rPr>
              <w:t>23</w:t>
            </w:r>
          </w:p>
        </w:tc>
      </w:tr>
      <w:tr>
        <w:trPr>
          <w:trHeight w:val="216"/>
        </w:trPr>
        <w:tc>
          <w:tcPr>
            <w:tcW w:w="2820" w:type="dxa"/>
            <w:vAlign w:val="bottom"/>
          </w:tcPr>
          <w:p>
            <w:pPr>
              <w:jc w:val="right"/>
              <w:ind w:right="759"/>
              <w:spacing w:after="0"/>
              <w:rPr>
                <w:sz w:val="20"/>
                <w:szCs w:val="20"/>
                <w:color w:val="auto"/>
              </w:rPr>
            </w:pPr>
            <w:r>
              <w:rPr>
                <w:rFonts w:ascii="Arial" w:cs="Arial" w:eastAsia="Arial" w:hAnsi="Arial"/>
                <w:sz w:val="16"/>
                <w:szCs w:val="16"/>
                <w:b w:val="1"/>
                <w:bCs w:val="1"/>
                <w:color w:val="00497F"/>
              </w:rPr>
              <w:t>153</w:t>
            </w:r>
          </w:p>
        </w:tc>
        <w:tc>
          <w:tcPr>
            <w:tcW w:w="1900" w:type="dxa"/>
            <w:vAlign w:val="bottom"/>
          </w:tcPr>
          <w:p>
            <w:pPr>
              <w:jc w:val="center"/>
              <w:ind w:left="19"/>
              <w:spacing w:after="0"/>
              <w:rPr>
                <w:sz w:val="20"/>
                <w:szCs w:val="20"/>
                <w:color w:val="auto"/>
              </w:rPr>
            </w:pPr>
            <w:r>
              <w:rPr>
                <w:rFonts w:ascii="Arial" w:cs="Arial" w:eastAsia="Arial" w:hAnsi="Arial"/>
                <w:sz w:val="16"/>
                <w:szCs w:val="16"/>
                <w:b w:val="1"/>
                <w:bCs w:val="1"/>
                <w:color w:val="00497F"/>
              </w:rPr>
              <w:t>138</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497F"/>
              </w:rPr>
              <w:t>291</w:t>
            </w:r>
          </w:p>
        </w:tc>
      </w:tr>
      <w:tr>
        <w:trPr>
          <w:trHeight w:val="216"/>
        </w:trPr>
        <w:tc>
          <w:tcPr>
            <w:tcW w:w="2820" w:type="dxa"/>
            <w:vAlign w:val="bottom"/>
          </w:tcPr>
          <w:p>
            <w:pPr>
              <w:jc w:val="right"/>
              <w:ind w:right="759"/>
              <w:spacing w:after="0"/>
              <w:rPr>
                <w:sz w:val="20"/>
                <w:szCs w:val="20"/>
                <w:color w:val="auto"/>
              </w:rPr>
            </w:pPr>
            <w:r>
              <w:rPr>
                <w:rFonts w:ascii="Arial" w:cs="Arial" w:eastAsia="Arial" w:hAnsi="Arial"/>
                <w:sz w:val="16"/>
                <w:szCs w:val="16"/>
                <w:b w:val="1"/>
                <w:bCs w:val="1"/>
                <w:color w:val="00497F"/>
              </w:rPr>
              <w:t>31</w:t>
            </w:r>
          </w:p>
        </w:tc>
        <w:tc>
          <w:tcPr>
            <w:tcW w:w="1900" w:type="dxa"/>
            <w:vAlign w:val="bottom"/>
          </w:tcPr>
          <w:p>
            <w:pPr>
              <w:jc w:val="center"/>
              <w:ind w:left="19"/>
              <w:spacing w:after="0"/>
              <w:rPr>
                <w:sz w:val="20"/>
                <w:szCs w:val="20"/>
                <w:color w:val="auto"/>
              </w:rPr>
            </w:pPr>
            <w:r>
              <w:rPr>
                <w:rFonts w:ascii="Arial" w:cs="Arial" w:eastAsia="Arial" w:hAnsi="Arial"/>
                <w:sz w:val="16"/>
                <w:szCs w:val="16"/>
                <w:b w:val="1"/>
                <w:bCs w:val="1"/>
                <w:color w:val="00497F"/>
                <w:w w:val="9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497F"/>
              </w:rPr>
              <w:t>31</w:t>
            </w:r>
          </w:p>
        </w:tc>
      </w:tr>
      <w:tr>
        <w:trPr>
          <w:trHeight w:val="216"/>
        </w:trPr>
        <w:tc>
          <w:tcPr>
            <w:tcW w:w="2820" w:type="dxa"/>
            <w:vAlign w:val="bottom"/>
          </w:tcPr>
          <w:p>
            <w:pPr>
              <w:jc w:val="right"/>
              <w:ind w:right="759"/>
              <w:spacing w:after="0"/>
              <w:rPr>
                <w:sz w:val="20"/>
                <w:szCs w:val="20"/>
                <w:color w:val="auto"/>
              </w:rPr>
            </w:pPr>
            <w:r>
              <w:rPr>
                <w:rFonts w:ascii="Arial" w:cs="Arial" w:eastAsia="Arial" w:hAnsi="Arial"/>
                <w:sz w:val="16"/>
                <w:szCs w:val="16"/>
                <w:b w:val="1"/>
                <w:bCs w:val="1"/>
                <w:color w:val="00497F"/>
              </w:rPr>
              <w:t>(2)</w:t>
            </w:r>
          </w:p>
        </w:tc>
        <w:tc>
          <w:tcPr>
            <w:tcW w:w="1900" w:type="dxa"/>
            <w:vAlign w:val="bottom"/>
          </w:tcPr>
          <w:p>
            <w:pPr>
              <w:jc w:val="center"/>
              <w:ind w:left="19"/>
              <w:spacing w:after="0"/>
              <w:rPr>
                <w:sz w:val="20"/>
                <w:szCs w:val="20"/>
                <w:color w:val="auto"/>
              </w:rPr>
            </w:pPr>
            <w:r>
              <w:rPr>
                <w:rFonts w:ascii="Arial" w:cs="Arial" w:eastAsia="Arial" w:hAnsi="Arial"/>
                <w:sz w:val="16"/>
                <w:szCs w:val="16"/>
                <w:b w:val="1"/>
                <w:bCs w:val="1"/>
                <w:color w:val="00497F"/>
                <w:w w:val="9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497F"/>
              </w:rPr>
              <w:t>(2)</w:t>
            </w:r>
          </w:p>
        </w:tc>
      </w:tr>
      <w:tr>
        <w:trPr>
          <w:trHeight w:val="217"/>
        </w:trPr>
        <w:tc>
          <w:tcPr>
            <w:tcW w:w="28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00497F"/>
              </w:rPr>
              <w:t>(446)</w:t>
            </w:r>
          </w:p>
        </w:tc>
        <w:tc>
          <w:tcPr>
            <w:tcW w:w="19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00497F"/>
              </w:rPr>
              <w:t>(54)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(500)</w:t>
            </w:r>
          </w:p>
        </w:tc>
      </w:tr>
      <w:tr>
        <w:trPr>
          <w:trHeight w:val="210"/>
        </w:trPr>
        <w:tc>
          <w:tcPr>
            <w:tcW w:w="28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00497F"/>
              </w:rPr>
              <w:t>3,982</w:t>
            </w:r>
          </w:p>
        </w:tc>
        <w:tc>
          <w:tcPr>
            <w:tcW w:w="19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00497F"/>
              </w:rPr>
              <w:t>666</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4,648</w:t>
            </w:r>
          </w:p>
        </w:tc>
      </w:tr>
      <w:tr>
        <w:trPr>
          <w:trHeight w:val="20"/>
        </w:trPr>
        <w:tc>
          <w:tcPr>
            <w:tcW w:w="28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9"/>
        </w:trPr>
        <w:tc>
          <w:tcPr>
            <w:tcW w:w="2820" w:type="dxa"/>
            <w:vAlign w:val="bottom"/>
          </w:tcPr>
          <w:p>
            <w:pPr>
              <w:jc w:val="right"/>
              <w:ind w:right="759"/>
              <w:spacing w:after="0"/>
              <w:rPr>
                <w:sz w:val="20"/>
                <w:szCs w:val="20"/>
                <w:color w:val="auto"/>
              </w:rPr>
            </w:pPr>
            <w:r>
              <w:rPr>
                <w:rFonts w:ascii="Arial" w:cs="Arial" w:eastAsia="Arial" w:hAnsi="Arial"/>
                <w:sz w:val="16"/>
                <w:szCs w:val="16"/>
                <w:b w:val="1"/>
                <w:bCs w:val="1"/>
                <w:color w:val="00497F"/>
              </w:rPr>
              <w:t>3,108</w:t>
            </w:r>
          </w:p>
        </w:tc>
        <w:tc>
          <w:tcPr>
            <w:tcW w:w="1900" w:type="dxa"/>
            <w:vAlign w:val="bottom"/>
          </w:tcPr>
          <w:p>
            <w:pPr>
              <w:jc w:val="center"/>
              <w:ind w:left="19"/>
              <w:spacing w:after="0"/>
              <w:rPr>
                <w:sz w:val="20"/>
                <w:szCs w:val="20"/>
                <w:color w:val="auto"/>
              </w:rPr>
            </w:pPr>
            <w:r>
              <w:rPr>
                <w:rFonts w:ascii="Arial" w:cs="Arial" w:eastAsia="Arial" w:hAnsi="Arial"/>
                <w:sz w:val="16"/>
                <w:szCs w:val="16"/>
                <w:b w:val="1"/>
                <w:bCs w:val="1"/>
                <w:color w:val="00497F"/>
              </w:rPr>
              <w:t>666</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497F"/>
              </w:rPr>
              <w:t>3,774</w:t>
            </w:r>
          </w:p>
        </w:tc>
      </w:tr>
      <w:tr>
        <w:trPr>
          <w:trHeight w:val="223"/>
        </w:trPr>
        <w:tc>
          <w:tcPr>
            <w:tcW w:w="2820" w:type="dxa"/>
            <w:vAlign w:val="bottom"/>
          </w:tcPr>
          <w:p>
            <w:pPr>
              <w:jc w:val="right"/>
              <w:ind w:right="759"/>
              <w:spacing w:after="0"/>
              <w:rPr>
                <w:sz w:val="20"/>
                <w:szCs w:val="20"/>
                <w:color w:val="auto"/>
              </w:rPr>
            </w:pPr>
            <w:r>
              <w:rPr>
                <w:rFonts w:ascii="Arial" w:cs="Arial" w:eastAsia="Arial" w:hAnsi="Arial"/>
                <w:sz w:val="16"/>
                <w:szCs w:val="16"/>
                <w:b w:val="1"/>
                <w:bCs w:val="1"/>
                <w:color w:val="00497F"/>
              </w:rPr>
              <w:t>874</w:t>
            </w:r>
          </w:p>
        </w:tc>
        <w:tc>
          <w:tcPr>
            <w:tcW w:w="1900" w:type="dxa"/>
            <w:vAlign w:val="bottom"/>
          </w:tcPr>
          <w:p>
            <w:pPr>
              <w:jc w:val="right"/>
              <w:ind w:right="679"/>
              <w:spacing w:after="0"/>
              <w:rPr>
                <w:sz w:val="20"/>
                <w:szCs w:val="20"/>
                <w:color w:val="auto"/>
              </w:rPr>
            </w:pPr>
            <w:r>
              <w:rPr>
                <w:rFonts w:ascii="Arial" w:cs="Arial" w:eastAsia="Arial" w:hAnsi="Arial"/>
                <w:sz w:val="16"/>
                <w:szCs w:val="16"/>
                <w:b w:val="1"/>
                <w:bCs w:val="1"/>
                <w:color w:val="00497F"/>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497F"/>
              </w:rPr>
              <w:t>874</w:t>
            </w:r>
          </w:p>
        </w:tc>
      </w:tr>
      <w:tr>
        <w:trPr>
          <w:trHeight w:val="449"/>
        </w:trPr>
        <w:tc>
          <w:tcPr>
            <w:tcW w:w="28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00497F"/>
              </w:rPr>
              <w:t>2,750</w:t>
            </w:r>
          </w:p>
        </w:tc>
        <w:tc>
          <w:tcPr>
            <w:tcW w:w="19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00497F"/>
              </w:rPr>
              <w:t>326</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3,076</w:t>
            </w:r>
          </w:p>
        </w:tc>
      </w:tr>
      <w:tr>
        <w:trPr>
          <w:trHeight w:val="425"/>
        </w:trPr>
        <w:tc>
          <w:tcPr>
            <w:tcW w:w="28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00497F"/>
              </w:rPr>
              <w:t>1,232</w:t>
            </w:r>
          </w:p>
        </w:tc>
        <w:tc>
          <w:tcPr>
            <w:tcW w:w="19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00497F"/>
              </w:rPr>
              <w:t>340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1,572</w:t>
            </w:r>
          </w:p>
        </w:tc>
      </w:tr>
    </w:tbl>
    <w:p>
      <w:pPr>
        <w:spacing w:after="0" w:line="249" w:lineRule="exact"/>
        <w:rPr>
          <w:sz w:val="20"/>
          <w:szCs w:val="20"/>
          <w:color w:val="auto"/>
        </w:rPr>
      </w:pPr>
    </w:p>
    <w:p>
      <w:pPr>
        <w:sectPr>
          <w:pgSz w:w="11900" w:h="16838" w:orient="portrait"/>
          <w:cols w:equalWidth="0" w:num="2">
            <w:col w:w="4560" w:space="720"/>
            <w:col w:w="5960"/>
          </w:cols>
          <w:pgMar w:left="320" w:top="1111" w:right="339" w:bottom="1440" w:gutter="0" w:footer="0" w:header="0"/>
          <w:type w:val="continuous"/>
        </w:sect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111"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6"/>
          <w:szCs w:val="16"/>
          <w:b w:val="1"/>
          <w:bCs w:val="1"/>
          <w:color w:val="auto"/>
        </w:rPr>
        <w:t>Standardized measure of discounted future net cash flows</w:t>
      </w:r>
    </w:p>
    <w:p>
      <w:pPr>
        <w:spacing w:after="0" w:line="11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following tables present the estimated pro forma discounted future net cash flows at December 31, 2023. The pro forma standardized measure information set forth below gives effect to the transactions as if the transactions had been completed on January 1, 2023. The disclosures below were determined by referencing the "Standardized Measure of Discounted Future Net Cash Flows" reported in Occidental's Annual Report on Form 10-K for the year ended December 31, 2023 and in the consolidated financial statements and related notes of CrownRock for the year ended December 31, 2023. An explanation of the underlying methodology applied, as required by U.S. Securities and Exchange Commission regulations, can be found within Occidental’s Annual Report on Form 10-K for the year ended December 31, 2023 and CrownRock’s consolidated financial statements and related notes for the year ended December 31, 2023. The calculations assume the continuation of existing economic, operating and contractual conditions at December 31, 2023.</w:t>
      </w:r>
    </w:p>
    <w:p>
      <w:pPr>
        <w:spacing w:after="0" w:line="28" w:lineRule="exact"/>
        <w:rPr>
          <w:sz w:val="20"/>
          <w:szCs w:val="20"/>
          <w:color w:val="auto"/>
        </w:rPr>
      </w:pPr>
    </w:p>
    <w:p>
      <w:pPr>
        <w:jc w:val="both"/>
        <w:ind w:right="120" w:firstLine="324"/>
        <w:spacing w:after="0" w:line="265" w:lineRule="auto"/>
        <w:rPr>
          <w:sz w:val="20"/>
          <w:szCs w:val="20"/>
          <w:color w:val="auto"/>
        </w:rPr>
      </w:pPr>
      <w:r>
        <w:rPr>
          <w:rFonts w:ascii="Arial" w:cs="Arial" w:eastAsia="Arial" w:hAnsi="Arial"/>
          <w:sz w:val="16"/>
          <w:szCs w:val="16"/>
          <w:color w:val="auto"/>
        </w:rPr>
        <w:t>Therefore, the following estimated pro forma standardized measure is not necessarily indicative of the results that might have occurred had the transactions been completed on January 1, 2023 and is not intended to be a projection of future results. Future results may vary significantly from the results reflected because of various factors, including those discussed in the section entitled "Risk Factors" in Occidental’s Annual Report on Form 10-K for the year ended December 31,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right"/>
              <w:ind w:right="419"/>
              <w:spacing w:after="0"/>
              <w:rPr>
                <w:sz w:val="20"/>
                <w:szCs w:val="20"/>
                <w:color w:val="auto"/>
              </w:rPr>
            </w:pPr>
            <w:r>
              <w:rPr>
                <w:rFonts w:ascii="Arial" w:cs="Arial" w:eastAsia="Arial" w:hAnsi="Arial"/>
                <w:sz w:val="16"/>
                <w:szCs w:val="16"/>
                <w:b w:val="1"/>
                <w:bCs w:val="1"/>
                <w:color w:val="auto"/>
              </w:rPr>
              <w:t>Occidental</w:t>
            </w:r>
          </w:p>
        </w:tc>
        <w:tc>
          <w:tcPr>
            <w:tcW w:w="1960" w:type="dxa"/>
            <w:vAlign w:val="bottom"/>
            <w:gridSpan w:val="2"/>
            <w:vMerge w:val="restart"/>
          </w:tcPr>
          <w:p>
            <w:pPr>
              <w:jc w:val="right"/>
              <w:ind w:right="39"/>
              <w:spacing w:after="0"/>
              <w:rPr>
                <w:sz w:val="20"/>
                <w:szCs w:val="20"/>
                <w:color w:val="auto"/>
              </w:rPr>
            </w:pPr>
            <w:r>
              <w:rPr>
                <w:rFonts w:ascii="Arial" w:cs="Arial" w:eastAsia="Arial" w:hAnsi="Arial"/>
                <w:sz w:val="16"/>
                <w:szCs w:val="16"/>
                <w:b w:val="1"/>
                <w:bCs w:val="1"/>
                <w:color w:val="auto"/>
              </w:rPr>
              <w:t>CrownRock Historical</w:t>
            </w:r>
          </w:p>
        </w:tc>
        <w:tc>
          <w:tcPr>
            <w:tcW w:w="100" w:type="dxa"/>
            <w:vAlign w:val="bottom"/>
          </w:tcPr>
          <w:p>
            <w:pPr>
              <w:spacing w:after="0"/>
              <w:rPr>
                <w:sz w:val="16"/>
                <w:szCs w:val="16"/>
                <w:color w:val="auto"/>
              </w:rPr>
            </w:pPr>
          </w:p>
        </w:tc>
        <w:tc>
          <w:tcPr>
            <w:tcW w:w="1780" w:type="dxa"/>
            <w:vAlign w:val="bottom"/>
          </w:tcPr>
          <w:p>
            <w:pPr>
              <w:jc w:val="right"/>
              <w:ind w:right="479"/>
              <w:spacing w:after="0"/>
              <w:rPr>
                <w:sz w:val="20"/>
                <w:szCs w:val="20"/>
                <w:color w:val="auto"/>
              </w:rPr>
            </w:pPr>
            <w:r>
              <w:rPr>
                <w:rFonts w:ascii="Arial" w:cs="Arial" w:eastAsia="Arial" w:hAnsi="Arial"/>
                <w:sz w:val="16"/>
                <w:szCs w:val="16"/>
                <w:b w:val="1"/>
                <w:bCs w:val="1"/>
                <w:color w:val="auto"/>
              </w:rPr>
              <w:t>Occidental</w:t>
            </w:r>
          </w:p>
        </w:tc>
        <w:tc>
          <w:tcPr>
            <w:tcW w:w="0" w:type="dxa"/>
            <w:vAlign w:val="bottom"/>
          </w:tcPr>
          <w:p>
            <w:pPr>
              <w:spacing w:after="0"/>
              <w:rPr>
                <w:sz w:val="1"/>
                <w:szCs w:val="1"/>
                <w:color w:val="auto"/>
              </w:rPr>
            </w:pPr>
          </w:p>
        </w:tc>
      </w:tr>
      <w:tr>
        <w:trPr>
          <w:trHeight w:val="141"/>
        </w:trPr>
        <w:tc>
          <w:tcPr>
            <w:tcW w:w="556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millions</w:t>
            </w:r>
          </w:p>
        </w:tc>
        <w:tc>
          <w:tcPr>
            <w:tcW w:w="320" w:type="dxa"/>
            <w:vAlign w:val="bottom"/>
          </w:tcPr>
          <w:p>
            <w:pPr>
              <w:spacing w:after="0"/>
              <w:rPr>
                <w:sz w:val="12"/>
                <w:szCs w:val="12"/>
                <w:color w:val="auto"/>
              </w:rPr>
            </w:pPr>
          </w:p>
        </w:tc>
        <w:tc>
          <w:tcPr>
            <w:tcW w:w="152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Historical</w:t>
            </w:r>
          </w:p>
        </w:tc>
        <w:tc>
          <w:tcPr>
            <w:tcW w:w="1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Combined Pro Forma</w:t>
            </w:r>
          </w:p>
        </w:tc>
        <w:tc>
          <w:tcPr>
            <w:tcW w:w="0" w:type="dxa"/>
            <w:vAlign w:val="bottom"/>
          </w:tcPr>
          <w:p>
            <w:pPr>
              <w:spacing w:after="0"/>
              <w:rPr>
                <w:sz w:val="1"/>
                <w:szCs w:val="1"/>
                <w:color w:val="auto"/>
              </w:rPr>
            </w:pPr>
          </w:p>
        </w:tc>
      </w:tr>
      <w:tr>
        <w:trPr>
          <w:trHeight w:val="75"/>
        </w:trPr>
        <w:tc>
          <w:tcPr>
            <w:tcW w:w="556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5560" w:type="dxa"/>
            <w:vAlign w:val="bottom"/>
          </w:tcPr>
          <w:p>
            <w:pPr>
              <w:ind w:left="40"/>
              <w:spacing w:after="0"/>
              <w:rPr>
                <w:sz w:val="20"/>
                <w:szCs w:val="20"/>
                <w:color w:val="auto"/>
              </w:rPr>
            </w:pPr>
            <w:r>
              <w:rPr>
                <w:rFonts w:ascii="Arial" w:cs="Arial" w:eastAsia="Arial" w:hAnsi="Arial"/>
                <w:sz w:val="16"/>
                <w:szCs w:val="16"/>
                <w:b w:val="1"/>
                <w:bCs w:val="1"/>
                <w:color w:val="00497F"/>
              </w:rPr>
              <w:t>AS OF DECEMBER 31, 2023</w:t>
            </w: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200"/>
              <w:spacing w:after="0"/>
              <w:rPr>
                <w:sz w:val="20"/>
                <w:szCs w:val="20"/>
                <w:color w:val="auto"/>
              </w:rPr>
            </w:pPr>
            <w:r>
              <w:rPr>
                <w:rFonts w:ascii="Arial" w:cs="Arial" w:eastAsia="Arial" w:hAnsi="Arial"/>
                <w:sz w:val="16"/>
                <w:szCs w:val="16"/>
                <w:color w:val="auto"/>
              </w:rPr>
              <w:t>Future cash inflows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00497F"/>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00497F"/>
              </w:rPr>
              <w:t>178,491</w:t>
            </w:r>
          </w:p>
        </w:tc>
        <w:tc>
          <w:tcPr>
            <w:tcW w:w="740" w:type="dxa"/>
            <w:vAlign w:val="bottom"/>
          </w:tcPr>
          <w:p>
            <w:pPr>
              <w:jc w:val="right"/>
              <w:ind w:right="499"/>
              <w:spacing w:after="0"/>
              <w:rPr>
                <w:sz w:val="20"/>
                <w:szCs w:val="20"/>
                <w:color w:val="auto"/>
              </w:rPr>
            </w:pPr>
            <w:r>
              <w:rPr>
                <w:rFonts w:ascii="Arial" w:cs="Arial" w:eastAsia="Arial" w:hAnsi="Arial"/>
                <w:sz w:val="16"/>
                <w:szCs w:val="16"/>
                <w:b w:val="1"/>
                <w:bCs w:val="1"/>
                <w:color w:val="00497F"/>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497F"/>
              </w:rPr>
              <w:t>25,759</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00497F"/>
                <w:w w:val="89"/>
              </w:rPr>
              <w:t>$</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00497F"/>
              </w:rPr>
              <w:t>204,250</w:t>
            </w:r>
          </w:p>
        </w:tc>
        <w:tc>
          <w:tcPr>
            <w:tcW w:w="0" w:type="dxa"/>
            <w:vAlign w:val="bottom"/>
          </w:tcPr>
          <w:p>
            <w:pPr>
              <w:spacing w:after="0"/>
              <w:rPr>
                <w:sz w:val="1"/>
                <w:szCs w:val="1"/>
                <w:color w:val="auto"/>
              </w:rPr>
            </w:pPr>
          </w:p>
        </w:tc>
      </w:tr>
      <w:tr>
        <w:trPr>
          <w:trHeight w:val="221"/>
        </w:trPr>
        <w:tc>
          <w:tcPr>
            <w:tcW w:w="5560" w:type="dxa"/>
            <w:vAlign w:val="bottom"/>
          </w:tcPr>
          <w:p>
            <w:pPr>
              <w:ind w:left="200"/>
              <w:spacing w:after="0"/>
              <w:rPr>
                <w:sz w:val="20"/>
                <w:szCs w:val="20"/>
                <w:color w:val="auto"/>
              </w:rPr>
            </w:pPr>
            <w:r>
              <w:rPr>
                <w:rFonts w:ascii="Arial" w:cs="Arial" w:eastAsia="Arial" w:hAnsi="Arial"/>
                <w:sz w:val="16"/>
                <w:szCs w:val="16"/>
                <w:color w:val="auto"/>
              </w:rPr>
              <w:t>Future costs</w:t>
            </w: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tcPr>
          <w:p>
            <w:pPr>
              <w:ind w:left="360"/>
              <w:spacing w:after="0"/>
              <w:rPr>
                <w:sz w:val="20"/>
                <w:szCs w:val="20"/>
                <w:color w:val="auto"/>
              </w:rPr>
            </w:pPr>
            <w:r>
              <w:rPr>
                <w:rFonts w:ascii="Arial" w:cs="Arial" w:eastAsia="Arial" w:hAnsi="Arial"/>
                <w:sz w:val="16"/>
                <w:szCs w:val="16"/>
                <w:color w:val="auto"/>
              </w:rPr>
              <w:t>Production costs and other operating expenses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00497F"/>
              </w:rPr>
              <w:t>(69,785)</w:t>
            </w: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497F"/>
              </w:rPr>
              <w:t>(7,646)</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00497F"/>
              </w:rPr>
              <w:t>(77,431)</w:t>
            </w: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6"/>
                <w:szCs w:val="16"/>
                <w:color w:val="auto"/>
              </w:rPr>
              <w:t>Development costs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00497F"/>
              </w:rPr>
              <w:t>(23,110)</w:t>
            </w: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497F"/>
              </w:rPr>
              <w:t>(3,349)</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00497F"/>
              </w:rPr>
              <w:t>(26,459)</w:t>
            </w:r>
          </w:p>
        </w:tc>
        <w:tc>
          <w:tcPr>
            <w:tcW w:w="0" w:type="dxa"/>
            <w:vAlign w:val="bottom"/>
          </w:tcPr>
          <w:p>
            <w:pPr>
              <w:spacing w:after="0"/>
              <w:rPr>
                <w:sz w:val="1"/>
                <w:szCs w:val="1"/>
                <w:color w:val="auto"/>
              </w:rPr>
            </w:pPr>
          </w:p>
        </w:tc>
      </w:tr>
      <w:tr>
        <w:trPr>
          <w:trHeight w:val="230"/>
        </w:trPr>
        <w:tc>
          <w:tcPr>
            <w:tcW w:w="5560" w:type="dxa"/>
            <w:vAlign w:val="bottom"/>
          </w:tcPr>
          <w:p>
            <w:pPr>
              <w:ind w:left="200"/>
              <w:spacing w:after="0"/>
              <w:rPr>
                <w:sz w:val="20"/>
                <w:szCs w:val="20"/>
                <w:color w:val="auto"/>
              </w:rPr>
            </w:pPr>
            <w:r>
              <w:rPr>
                <w:rFonts w:ascii="Arial" w:cs="Arial" w:eastAsia="Arial" w:hAnsi="Arial"/>
                <w:sz w:val="16"/>
                <w:szCs w:val="16"/>
                <w:color w:val="auto"/>
              </w:rPr>
              <w:t>Future income tax expense</w:t>
            </w: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(15,336)</w:t>
            </w:r>
          </w:p>
        </w:tc>
        <w:tc>
          <w:tcPr>
            <w:tcW w:w="7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w:t>
            </w:r>
          </w:p>
        </w:tc>
        <w:tc>
          <w:tcPr>
            <w:tcW w:w="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(15,336)</w:t>
            </w:r>
          </w:p>
        </w:tc>
        <w:tc>
          <w:tcPr>
            <w:tcW w:w="0" w:type="dxa"/>
            <w:vAlign w:val="bottom"/>
          </w:tcPr>
          <w:p>
            <w:pPr>
              <w:spacing w:after="0"/>
              <w:rPr>
                <w:sz w:val="1"/>
                <w:szCs w:val="1"/>
                <w:color w:val="auto"/>
              </w:rPr>
            </w:pPr>
          </w:p>
        </w:tc>
      </w:tr>
      <w:tr>
        <w:trPr>
          <w:trHeight w:val="223"/>
        </w:trPr>
        <w:tc>
          <w:tcPr>
            <w:tcW w:w="5560" w:type="dxa"/>
            <w:vAlign w:val="bottom"/>
          </w:tcPr>
          <w:p>
            <w:pPr>
              <w:ind w:left="200"/>
              <w:spacing w:after="0"/>
              <w:rPr>
                <w:sz w:val="20"/>
                <w:szCs w:val="20"/>
                <w:color w:val="auto"/>
              </w:rPr>
            </w:pPr>
            <w:r>
              <w:rPr>
                <w:rFonts w:ascii="Arial" w:cs="Arial" w:eastAsia="Arial" w:hAnsi="Arial"/>
                <w:sz w:val="16"/>
                <w:szCs w:val="16"/>
                <w:b w:val="1"/>
                <w:bCs w:val="1"/>
                <w:color w:val="auto"/>
              </w:rPr>
              <w:t>Future net cash flows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00497F"/>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00497F"/>
              </w:rPr>
              <w:t>70,260</w:t>
            </w:r>
          </w:p>
        </w:tc>
        <w:tc>
          <w:tcPr>
            <w:tcW w:w="740" w:type="dxa"/>
            <w:vAlign w:val="bottom"/>
          </w:tcPr>
          <w:p>
            <w:pPr>
              <w:jc w:val="right"/>
              <w:ind w:right="499"/>
              <w:spacing w:after="0"/>
              <w:rPr>
                <w:sz w:val="20"/>
                <w:szCs w:val="20"/>
                <w:color w:val="auto"/>
              </w:rPr>
            </w:pPr>
            <w:r>
              <w:rPr>
                <w:rFonts w:ascii="Arial" w:cs="Arial" w:eastAsia="Arial" w:hAnsi="Arial"/>
                <w:sz w:val="16"/>
                <w:szCs w:val="16"/>
                <w:b w:val="1"/>
                <w:bCs w:val="1"/>
                <w:color w:val="00497F"/>
              </w:rPr>
              <w:t>$</w:t>
            </w: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00497F"/>
              </w:rPr>
              <w:t>14,764</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00497F"/>
                <w:w w:val="89"/>
              </w:rPr>
              <w:t>$</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00497F"/>
              </w:rPr>
              <w:t>85,024</w:t>
            </w:r>
          </w:p>
        </w:tc>
        <w:tc>
          <w:tcPr>
            <w:tcW w:w="0" w:type="dxa"/>
            <w:vAlign w:val="bottom"/>
          </w:tcPr>
          <w:p>
            <w:pPr>
              <w:spacing w:after="0"/>
              <w:rPr>
                <w:sz w:val="1"/>
                <w:szCs w:val="1"/>
                <w:color w:val="auto"/>
              </w:rPr>
            </w:pPr>
          </w:p>
        </w:tc>
      </w:tr>
      <w:tr>
        <w:trPr>
          <w:trHeight w:val="230"/>
        </w:trPr>
        <w:tc>
          <w:tcPr>
            <w:tcW w:w="5560" w:type="dxa"/>
            <w:vAlign w:val="bottom"/>
          </w:tcPr>
          <w:p>
            <w:pPr>
              <w:ind w:left="200"/>
              <w:spacing w:after="0"/>
              <w:rPr>
                <w:sz w:val="20"/>
                <w:szCs w:val="20"/>
                <w:color w:val="auto"/>
              </w:rPr>
            </w:pPr>
            <w:r>
              <w:rPr>
                <w:rFonts w:ascii="Arial" w:cs="Arial" w:eastAsia="Arial" w:hAnsi="Arial"/>
                <w:sz w:val="16"/>
                <w:szCs w:val="16"/>
                <w:color w:val="auto"/>
              </w:rPr>
              <w:t>Ten percent discount factor</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(29,958)</w:t>
            </w: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(6,390)</w:t>
            </w:r>
          </w:p>
        </w:tc>
        <w:tc>
          <w:tcPr>
            <w:tcW w:w="1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(36,348)</w:t>
            </w:r>
          </w:p>
        </w:tc>
        <w:tc>
          <w:tcPr>
            <w:tcW w:w="0" w:type="dxa"/>
            <w:vAlign w:val="bottom"/>
          </w:tcPr>
          <w:p>
            <w:pPr>
              <w:spacing w:after="0"/>
              <w:rPr>
                <w:sz w:val="1"/>
                <w:szCs w:val="1"/>
                <w:color w:val="auto"/>
              </w:rPr>
            </w:pPr>
          </w:p>
        </w:tc>
      </w:tr>
      <w:tr>
        <w:trPr>
          <w:trHeight w:val="229"/>
        </w:trPr>
        <w:tc>
          <w:tcPr>
            <w:tcW w:w="5560" w:type="dxa"/>
            <w:vAlign w:val="bottom"/>
          </w:tcPr>
          <w:p>
            <w:pPr>
              <w:ind w:left="40"/>
              <w:spacing w:after="0"/>
              <w:rPr>
                <w:sz w:val="20"/>
                <w:szCs w:val="20"/>
                <w:color w:val="auto"/>
              </w:rPr>
            </w:pPr>
            <w:r>
              <w:rPr>
                <w:rFonts w:ascii="Arial" w:cs="Arial" w:eastAsia="Arial" w:hAnsi="Arial"/>
                <w:sz w:val="16"/>
                <w:szCs w:val="16"/>
                <w:b w:val="1"/>
                <w:bCs w:val="1"/>
                <w:color w:val="auto"/>
              </w:rPr>
              <w:t>Standardized measure of discounted future net cash flows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00497F"/>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40,302</w:t>
            </w:r>
          </w:p>
        </w:tc>
        <w:tc>
          <w:tcPr>
            <w:tcW w:w="7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00497F"/>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8,374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48,676</w:t>
            </w: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the standardized measure of discounted future net cash flows from proved reserve quantities</w:t>
      </w:r>
    </w:p>
    <w:p>
      <w:pPr>
        <w:spacing w:after="0" w:line="113" w:lineRule="exact"/>
        <w:rPr>
          <w:sz w:val="20"/>
          <w:szCs w:val="20"/>
          <w:color w:val="auto"/>
        </w:rPr>
      </w:pPr>
    </w:p>
    <w:p>
      <w:pPr>
        <w:ind w:right="460"/>
        <w:spacing w:after="0" w:line="299" w:lineRule="auto"/>
        <w:rPr>
          <w:sz w:val="20"/>
          <w:szCs w:val="20"/>
          <w:color w:val="auto"/>
        </w:rPr>
      </w:pPr>
      <w:r>
        <w:rPr>
          <w:rFonts w:ascii="Arial" w:cs="Arial" w:eastAsia="Arial" w:hAnsi="Arial"/>
          <w:sz w:val="16"/>
          <w:szCs w:val="16"/>
          <w:color w:val="auto"/>
        </w:rPr>
        <w:t>The changes in the pro forma standardized measure of discounted future net cash flows relating to proved crude oil, NGLs and natural gas reserves for the year ended December 31, 2023 are as follows:</w:t>
      </w:r>
    </w:p>
    <w:tbl>
      <w:tblPr>
        <w:tblLayout w:type="fixed"/>
        <w:tblInd w:w="0" w:type="dxa"/>
        <w:tblCellMar>
          <w:top w:w="0" w:type="dxa"/>
          <w:left w:w="0" w:type="dxa"/>
          <w:bottom w:w="0" w:type="dxa"/>
          <w:right w:w="0" w:type="dxa"/>
        </w:tblCellMar>
      </w:tblPr>
      <w:tr>
        <w:trPr>
          <w:trHeight w:val="163"/>
        </w:trPr>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jc w:val="right"/>
              <w:ind w:right="419"/>
              <w:spacing w:after="0" w:line="163" w:lineRule="exact"/>
              <w:rPr>
                <w:sz w:val="20"/>
                <w:szCs w:val="20"/>
                <w:color w:val="auto"/>
              </w:rPr>
            </w:pPr>
            <w:r>
              <w:rPr>
                <w:rFonts w:ascii="Arial" w:cs="Arial" w:eastAsia="Arial" w:hAnsi="Arial"/>
                <w:sz w:val="16"/>
                <w:szCs w:val="16"/>
                <w:b w:val="1"/>
                <w:bCs w:val="1"/>
                <w:color w:val="auto"/>
              </w:rPr>
              <w:t>Occidental</w:t>
            </w:r>
          </w:p>
        </w:tc>
        <w:tc>
          <w:tcPr>
            <w:tcW w:w="1960" w:type="dxa"/>
            <w:vAlign w:val="bottom"/>
            <w:gridSpan w:val="2"/>
            <w:vMerge w:val="restart"/>
          </w:tcPr>
          <w:p>
            <w:pPr>
              <w:jc w:val="right"/>
              <w:ind w:right="39"/>
              <w:spacing w:after="0"/>
              <w:rPr>
                <w:sz w:val="20"/>
                <w:szCs w:val="20"/>
                <w:color w:val="auto"/>
              </w:rPr>
            </w:pPr>
            <w:r>
              <w:rPr>
                <w:rFonts w:ascii="Arial" w:cs="Arial" w:eastAsia="Arial" w:hAnsi="Arial"/>
                <w:sz w:val="16"/>
                <w:szCs w:val="16"/>
                <w:b w:val="1"/>
                <w:bCs w:val="1"/>
                <w:color w:val="auto"/>
              </w:rPr>
              <w:t>CrownRock Historical</w:t>
            </w:r>
          </w:p>
        </w:tc>
        <w:tc>
          <w:tcPr>
            <w:tcW w:w="100" w:type="dxa"/>
            <w:vAlign w:val="bottom"/>
          </w:tcPr>
          <w:p>
            <w:pPr>
              <w:spacing w:after="0"/>
              <w:rPr>
                <w:sz w:val="14"/>
                <w:szCs w:val="14"/>
                <w:color w:val="auto"/>
              </w:rPr>
            </w:pPr>
          </w:p>
        </w:tc>
        <w:tc>
          <w:tcPr>
            <w:tcW w:w="1780" w:type="dxa"/>
            <w:vAlign w:val="bottom"/>
          </w:tcPr>
          <w:p>
            <w:pPr>
              <w:jc w:val="right"/>
              <w:ind w:right="479"/>
              <w:spacing w:after="0" w:line="163" w:lineRule="exact"/>
              <w:rPr>
                <w:sz w:val="20"/>
                <w:szCs w:val="20"/>
                <w:color w:val="auto"/>
              </w:rPr>
            </w:pPr>
            <w:r>
              <w:rPr>
                <w:rFonts w:ascii="Arial" w:cs="Arial" w:eastAsia="Arial" w:hAnsi="Arial"/>
                <w:sz w:val="16"/>
                <w:szCs w:val="16"/>
                <w:b w:val="1"/>
                <w:bCs w:val="1"/>
                <w:color w:val="auto"/>
              </w:rPr>
              <w:t>Occidental</w:t>
            </w:r>
          </w:p>
        </w:tc>
        <w:tc>
          <w:tcPr>
            <w:tcW w:w="0" w:type="dxa"/>
            <w:vAlign w:val="bottom"/>
          </w:tcPr>
          <w:p>
            <w:pPr>
              <w:spacing w:after="0"/>
              <w:rPr>
                <w:sz w:val="1"/>
                <w:szCs w:val="1"/>
                <w:color w:val="auto"/>
              </w:rPr>
            </w:pPr>
          </w:p>
        </w:tc>
      </w:tr>
      <w:tr>
        <w:trPr>
          <w:trHeight w:val="141"/>
        </w:trPr>
        <w:tc>
          <w:tcPr>
            <w:tcW w:w="534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millions</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Historical</w:t>
            </w:r>
          </w:p>
        </w:tc>
        <w:tc>
          <w:tcPr>
            <w:tcW w:w="1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Combined Pro Forma</w:t>
            </w:r>
          </w:p>
        </w:tc>
        <w:tc>
          <w:tcPr>
            <w:tcW w:w="0" w:type="dxa"/>
            <w:vAlign w:val="bottom"/>
          </w:tcPr>
          <w:p>
            <w:pPr>
              <w:spacing w:after="0"/>
              <w:rPr>
                <w:sz w:val="1"/>
                <w:szCs w:val="1"/>
                <w:color w:val="auto"/>
              </w:rPr>
            </w:pPr>
          </w:p>
        </w:tc>
      </w:tr>
      <w:tr>
        <w:trPr>
          <w:trHeight w:val="75"/>
        </w:trPr>
        <w:tc>
          <w:tcPr>
            <w:tcW w:w="534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40"/>
              <w:spacing w:after="0"/>
              <w:rPr>
                <w:sz w:val="20"/>
                <w:szCs w:val="20"/>
                <w:color w:val="auto"/>
              </w:rPr>
            </w:pPr>
            <w:r>
              <w:rPr>
                <w:rFonts w:ascii="Arial" w:cs="Arial" w:eastAsia="Arial" w:hAnsi="Arial"/>
                <w:sz w:val="16"/>
                <w:szCs w:val="16"/>
                <w:color w:val="auto"/>
              </w:rPr>
              <w:t>Beginning of year</w:t>
            </w:r>
          </w:p>
        </w:tc>
        <w:tc>
          <w:tcPr>
            <w:tcW w:w="560" w:type="dxa"/>
            <w:vAlign w:val="bottom"/>
            <w:gridSpan w:val="2"/>
          </w:tcPr>
          <w:p>
            <w:pPr>
              <w:jc w:val="center"/>
              <w:spacing w:after="0"/>
              <w:rPr>
                <w:sz w:val="20"/>
                <w:szCs w:val="20"/>
                <w:color w:val="auto"/>
              </w:rPr>
            </w:pPr>
            <w:r>
              <w:rPr>
                <w:rFonts w:ascii="Arial" w:cs="Arial" w:eastAsia="Arial" w:hAnsi="Arial"/>
                <w:sz w:val="16"/>
                <w:szCs w:val="16"/>
                <w:b w:val="1"/>
                <w:bCs w:val="1"/>
                <w:color w:val="00497F"/>
              </w:rPr>
              <w:t>$</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00497F"/>
              </w:rPr>
              <w:t>58,152</w:t>
            </w:r>
          </w:p>
        </w:tc>
        <w:tc>
          <w:tcPr>
            <w:tcW w:w="780" w:type="dxa"/>
            <w:vAlign w:val="bottom"/>
          </w:tcPr>
          <w:p>
            <w:pPr>
              <w:jc w:val="right"/>
              <w:ind w:right="539"/>
              <w:spacing w:after="0"/>
              <w:rPr>
                <w:sz w:val="20"/>
                <w:szCs w:val="20"/>
                <w:color w:val="auto"/>
              </w:rPr>
            </w:pPr>
            <w:r>
              <w:rPr>
                <w:rFonts w:ascii="Arial" w:cs="Arial" w:eastAsia="Arial" w:hAnsi="Arial"/>
                <w:sz w:val="16"/>
                <w:szCs w:val="16"/>
                <w:b w:val="1"/>
                <w:bCs w:val="1"/>
                <w:color w:val="00497F"/>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97F"/>
              </w:rPr>
              <w:t>12,263</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00497F"/>
                <w:w w:val="89"/>
              </w:rPr>
              <w:t>$</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00497F"/>
              </w:rPr>
              <w:t>70,415</w:t>
            </w:r>
          </w:p>
        </w:tc>
        <w:tc>
          <w:tcPr>
            <w:tcW w:w="0" w:type="dxa"/>
            <w:vAlign w:val="bottom"/>
          </w:tcPr>
          <w:p>
            <w:pPr>
              <w:spacing w:after="0"/>
              <w:rPr>
                <w:sz w:val="1"/>
                <w:szCs w:val="1"/>
                <w:color w:val="auto"/>
              </w:rPr>
            </w:pPr>
          </w:p>
        </w:tc>
      </w:tr>
      <w:tr>
        <w:trPr>
          <w:trHeight w:val="175"/>
        </w:trPr>
        <w:tc>
          <w:tcPr>
            <w:tcW w:w="5340" w:type="dxa"/>
            <w:vAlign w:val="bottom"/>
          </w:tcPr>
          <w:p>
            <w:pPr>
              <w:ind w:left="220"/>
              <w:spacing w:after="0" w:line="175" w:lineRule="exact"/>
              <w:rPr>
                <w:sz w:val="20"/>
                <w:szCs w:val="20"/>
                <w:color w:val="auto"/>
              </w:rPr>
            </w:pPr>
            <w:r>
              <w:rPr>
                <w:rFonts w:ascii="Arial" w:cs="Arial" w:eastAsia="Arial" w:hAnsi="Arial"/>
                <w:sz w:val="16"/>
                <w:szCs w:val="16"/>
                <w:color w:val="auto"/>
              </w:rPr>
              <w:t>Sales and transfers of oil and gas produced, net of production costs</w:t>
            </w:r>
          </w:p>
        </w:tc>
        <w:tc>
          <w:tcPr>
            <w:tcW w:w="2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420"/>
              <w:spacing w:after="0"/>
              <w:rPr>
                <w:sz w:val="20"/>
                <w:szCs w:val="20"/>
                <w:color w:val="auto"/>
              </w:rPr>
            </w:pPr>
            <w:r>
              <w:rPr>
                <w:rFonts w:ascii="Arial" w:cs="Arial" w:eastAsia="Arial" w:hAnsi="Arial"/>
                <w:sz w:val="16"/>
                <w:szCs w:val="16"/>
                <w:color w:val="auto"/>
              </w:rPr>
              <w:t>and other operating expenses</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00497F"/>
              </w:rPr>
              <w:t>(14,318)</w:t>
            </w:r>
          </w:p>
        </w:tc>
        <w:tc>
          <w:tcPr>
            <w:tcW w:w="7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97F"/>
              </w:rPr>
              <w:t>(1,858)</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00497F"/>
              </w:rPr>
              <w:t>(16,176)</w:t>
            </w:r>
          </w:p>
        </w:tc>
        <w:tc>
          <w:tcPr>
            <w:tcW w:w="0" w:type="dxa"/>
            <w:vAlign w:val="bottom"/>
          </w:tcPr>
          <w:p>
            <w:pPr>
              <w:spacing w:after="0"/>
              <w:rPr>
                <w:sz w:val="1"/>
                <w:szCs w:val="1"/>
                <w:color w:val="auto"/>
              </w:rPr>
            </w:pPr>
          </w:p>
        </w:tc>
      </w:tr>
      <w:tr>
        <w:trPr>
          <w:trHeight w:val="189"/>
        </w:trPr>
        <w:tc>
          <w:tcPr>
            <w:tcW w:w="5340" w:type="dxa"/>
            <w:vAlign w:val="bottom"/>
          </w:tcPr>
          <w:p>
            <w:pPr>
              <w:ind w:left="220"/>
              <w:spacing w:after="0"/>
              <w:rPr>
                <w:sz w:val="20"/>
                <w:szCs w:val="20"/>
                <w:color w:val="auto"/>
              </w:rPr>
            </w:pPr>
            <w:r>
              <w:rPr>
                <w:rFonts w:ascii="Arial" w:cs="Arial" w:eastAsia="Arial" w:hAnsi="Arial"/>
                <w:sz w:val="16"/>
                <w:szCs w:val="16"/>
                <w:color w:val="auto"/>
              </w:rPr>
              <w:t>Net change in prices received per barrel, net of production costs and</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420"/>
              <w:spacing w:after="0"/>
              <w:rPr>
                <w:sz w:val="20"/>
                <w:szCs w:val="20"/>
                <w:color w:val="auto"/>
              </w:rPr>
            </w:pPr>
            <w:r>
              <w:rPr>
                <w:rFonts w:ascii="Arial" w:cs="Arial" w:eastAsia="Arial" w:hAnsi="Arial"/>
                <w:sz w:val="16"/>
                <w:szCs w:val="16"/>
                <w:color w:val="auto"/>
              </w:rPr>
              <w:t>other operating expenses</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00497F"/>
              </w:rPr>
              <w:t>(23,774)</w:t>
            </w:r>
          </w:p>
        </w:tc>
        <w:tc>
          <w:tcPr>
            <w:tcW w:w="7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97F"/>
              </w:rPr>
              <w:t>(4,255)</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00497F"/>
              </w:rPr>
              <w:t>(28,029)</w:t>
            </w:r>
          </w:p>
        </w:tc>
        <w:tc>
          <w:tcPr>
            <w:tcW w:w="0" w:type="dxa"/>
            <w:vAlign w:val="bottom"/>
          </w:tcPr>
          <w:p>
            <w:pPr>
              <w:spacing w:after="0"/>
              <w:rPr>
                <w:sz w:val="1"/>
                <w:szCs w:val="1"/>
                <w:color w:val="auto"/>
              </w:rPr>
            </w:pPr>
          </w:p>
        </w:tc>
      </w:tr>
      <w:tr>
        <w:trPr>
          <w:trHeight w:val="189"/>
        </w:trPr>
        <w:tc>
          <w:tcPr>
            <w:tcW w:w="5340" w:type="dxa"/>
            <w:vAlign w:val="bottom"/>
          </w:tcPr>
          <w:p>
            <w:pPr>
              <w:ind w:left="220"/>
              <w:spacing w:after="0"/>
              <w:rPr>
                <w:sz w:val="20"/>
                <w:szCs w:val="20"/>
                <w:color w:val="auto"/>
              </w:rPr>
            </w:pPr>
            <w:r>
              <w:rPr>
                <w:rFonts w:ascii="Arial" w:cs="Arial" w:eastAsia="Arial" w:hAnsi="Arial"/>
                <w:sz w:val="16"/>
                <w:szCs w:val="16"/>
                <w:color w:val="auto"/>
              </w:rPr>
              <w:t>Extensions, discoveries and improved recovery, net of future</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420"/>
              <w:spacing w:after="0"/>
              <w:rPr>
                <w:sz w:val="20"/>
                <w:szCs w:val="20"/>
                <w:color w:val="auto"/>
              </w:rPr>
            </w:pPr>
            <w:r>
              <w:rPr>
                <w:rFonts w:ascii="Arial" w:cs="Arial" w:eastAsia="Arial" w:hAnsi="Arial"/>
                <w:sz w:val="16"/>
                <w:szCs w:val="16"/>
                <w:color w:val="auto"/>
              </w:rPr>
              <w:t>production and development costs</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00497F"/>
              </w:rPr>
              <w:t>2,910</w:t>
            </w:r>
          </w:p>
        </w:tc>
        <w:tc>
          <w:tcPr>
            <w:tcW w:w="7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97F"/>
              </w:rPr>
              <w:t>1,553</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00497F"/>
              </w:rPr>
              <w:t>4,463</w:t>
            </w:r>
          </w:p>
        </w:tc>
        <w:tc>
          <w:tcPr>
            <w:tcW w:w="0" w:type="dxa"/>
            <w:vAlign w:val="bottom"/>
          </w:tcPr>
          <w:p>
            <w:pPr>
              <w:spacing w:after="0"/>
              <w:rPr>
                <w:sz w:val="1"/>
                <w:szCs w:val="1"/>
                <w:color w:val="auto"/>
              </w:rPr>
            </w:pPr>
          </w:p>
        </w:tc>
      </w:tr>
      <w:tr>
        <w:trPr>
          <w:trHeight w:val="230"/>
        </w:trPr>
        <w:tc>
          <w:tcPr>
            <w:tcW w:w="5340" w:type="dxa"/>
            <w:vAlign w:val="bottom"/>
          </w:tcPr>
          <w:p>
            <w:pPr>
              <w:ind w:left="200"/>
              <w:spacing w:after="0"/>
              <w:rPr>
                <w:sz w:val="20"/>
                <w:szCs w:val="20"/>
                <w:color w:val="auto"/>
              </w:rPr>
            </w:pPr>
            <w:r>
              <w:rPr>
                <w:rFonts w:ascii="Arial" w:cs="Arial" w:eastAsia="Arial" w:hAnsi="Arial"/>
                <w:sz w:val="16"/>
                <w:szCs w:val="16"/>
                <w:color w:val="auto"/>
              </w:rPr>
              <w:t>Change in estimated future development costs</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00497F"/>
              </w:rPr>
              <w:t>(3,430)</w:t>
            </w:r>
          </w:p>
        </w:tc>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97F"/>
              </w:rPr>
              <w:t>965</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00497F"/>
              </w:rPr>
              <w:t>(2,465)</w:t>
            </w:r>
          </w:p>
        </w:tc>
        <w:tc>
          <w:tcPr>
            <w:tcW w:w="0" w:type="dxa"/>
            <w:vAlign w:val="bottom"/>
          </w:tcPr>
          <w:p>
            <w:pPr>
              <w:spacing w:after="0"/>
              <w:rPr>
                <w:sz w:val="1"/>
                <w:szCs w:val="1"/>
                <w:color w:val="auto"/>
              </w:rPr>
            </w:pPr>
          </w:p>
        </w:tc>
      </w:tr>
      <w:tr>
        <w:trPr>
          <w:trHeight w:val="229"/>
        </w:trPr>
        <w:tc>
          <w:tcPr>
            <w:tcW w:w="5340" w:type="dxa"/>
            <w:vAlign w:val="bottom"/>
          </w:tcPr>
          <w:p>
            <w:pPr>
              <w:ind w:left="200"/>
              <w:spacing w:after="0"/>
              <w:rPr>
                <w:sz w:val="20"/>
                <w:szCs w:val="20"/>
                <w:color w:val="auto"/>
              </w:rPr>
            </w:pPr>
            <w:r>
              <w:rPr>
                <w:rFonts w:ascii="Arial" w:cs="Arial" w:eastAsia="Arial" w:hAnsi="Arial"/>
                <w:sz w:val="16"/>
                <w:szCs w:val="16"/>
                <w:color w:val="auto"/>
              </w:rPr>
              <w:t>Revisions of quantity estimates</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00497F"/>
              </w:rPr>
              <w:t>6,313</w:t>
            </w:r>
          </w:p>
        </w:tc>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97F"/>
              </w:rPr>
              <w:t>(589)</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00497F"/>
              </w:rPr>
              <w:t>5,724</w:t>
            </w:r>
          </w:p>
        </w:tc>
        <w:tc>
          <w:tcPr>
            <w:tcW w:w="0" w:type="dxa"/>
            <w:vAlign w:val="bottom"/>
          </w:tcPr>
          <w:p>
            <w:pPr>
              <w:spacing w:after="0"/>
              <w:rPr>
                <w:sz w:val="1"/>
                <w:szCs w:val="1"/>
                <w:color w:val="auto"/>
              </w:rPr>
            </w:pPr>
          </w:p>
        </w:tc>
      </w:tr>
      <w:tr>
        <w:trPr>
          <w:trHeight w:val="230"/>
        </w:trPr>
        <w:tc>
          <w:tcPr>
            <w:tcW w:w="5340" w:type="dxa"/>
            <w:vAlign w:val="bottom"/>
          </w:tcPr>
          <w:p>
            <w:pPr>
              <w:ind w:left="200"/>
              <w:spacing w:after="0"/>
              <w:rPr>
                <w:sz w:val="20"/>
                <w:szCs w:val="20"/>
                <w:color w:val="auto"/>
              </w:rPr>
            </w:pPr>
            <w:r>
              <w:rPr>
                <w:rFonts w:ascii="Arial" w:cs="Arial" w:eastAsia="Arial" w:hAnsi="Arial"/>
                <w:sz w:val="16"/>
                <w:szCs w:val="16"/>
                <w:color w:val="auto"/>
              </w:rPr>
              <w:t>Previously estimated development costs incurred during the period</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00497F"/>
              </w:rPr>
              <w:t>2,584</w:t>
            </w:r>
          </w:p>
        </w:tc>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97F"/>
              </w:rPr>
              <w:t>—</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00497F"/>
              </w:rPr>
              <w:t>2,584</w:t>
            </w:r>
          </w:p>
        </w:tc>
        <w:tc>
          <w:tcPr>
            <w:tcW w:w="0" w:type="dxa"/>
            <w:vAlign w:val="bottom"/>
          </w:tcPr>
          <w:p>
            <w:pPr>
              <w:spacing w:after="0"/>
              <w:rPr>
                <w:sz w:val="1"/>
                <w:szCs w:val="1"/>
                <w:color w:val="auto"/>
              </w:rPr>
            </w:pPr>
          </w:p>
        </w:tc>
      </w:tr>
      <w:tr>
        <w:trPr>
          <w:trHeight w:val="230"/>
        </w:trPr>
        <w:tc>
          <w:tcPr>
            <w:tcW w:w="5340" w:type="dxa"/>
            <w:vAlign w:val="bottom"/>
          </w:tcPr>
          <w:p>
            <w:pPr>
              <w:ind w:left="200"/>
              <w:spacing w:after="0"/>
              <w:rPr>
                <w:sz w:val="20"/>
                <w:szCs w:val="20"/>
                <w:color w:val="auto"/>
              </w:rPr>
            </w:pPr>
            <w:r>
              <w:rPr>
                <w:rFonts w:ascii="Arial" w:cs="Arial" w:eastAsia="Arial" w:hAnsi="Arial"/>
                <w:sz w:val="16"/>
                <w:szCs w:val="16"/>
                <w:color w:val="auto"/>
              </w:rPr>
              <w:t>Accretion of discount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00497F"/>
              </w:rPr>
              <w:t>6,152</w:t>
            </w:r>
          </w:p>
        </w:tc>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97F"/>
              </w:rPr>
              <w:t>1,226</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00497F"/>
              </w:rPr>
              <w:t>7,378</w:t>
            </w:r>
          </w:p>
        </w:tc>
        <w:tc>
          <w:tcPr>
            <w:tcW w:w="0" w:type="dxa"/>
            <w:vAlign w:val="bottom"/>
          </w:tcPr>
          <w:p>
            <w:pPr>
              <w:spacing w:after="0"/>
              <w:rPr>
                <w:sz w:val="1"/>
                <w:szCs w:val="1"/>
                <w:color w:val="auto"/>
              </w:rPr>
            </w:pPr>
          </w:p>
        </w:tc>
      </w:tr>
      <w:tr>
        <w:trPr>
          <w:trHeight w:val="230"/>
        </w:trPr>
        <w:tc>
          <w:tcPr>
            <w:tcW w:w="5340" w:type="dxa"/>
            <w:vAlign w:val="bottom"/>
          </w:tcPr>
          <w:p>
            <w:pPr>
              <w:ind w:left="200"/>
              <w:spacing w:after="0"/>
              <w:rPr>
                <w:sz w:val="20"/>
                <w:szCs w:val="20"/>
                <w:color w:val="auto"/>
              </w:rPr>
            </w:pPr>
            <w:r>
              <w:rPr>
                <w:rFonts w:ascii="Arial" w:cs="Arial" w:eastAsia="Arial" w:hAnsi="Arial"/>
                <w:sz w:val="16"/>
                <w:szCs w:val="16"/>
                <w:color w:val="auto"/>
              </w:rPr>
              <w:t>Net change in income taxes</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00497F"/>
              </w:rPr>
              <w:t>5,575</w:t>
            </w:r>
          </w:p>
        </w:tc>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97F"/>
              </w:rPr>
              <w:t>—</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00497F"/>
              </w:rPr>
              <w:t>5,575</w:t>
            </w:r>
          </w:p>
        </w:tc>
        <w:tc>
          <w:tcPr>
            <w:tcW w:w="0" w:type="dxa"/>
            <w:vAlign w:val="bottom"/>
          </w:tcPr>
          <w:p>
            <w:pPr>
              <w:spacing w:after="0"/>
              <w:rPr>
                <w:sz w:val="1"/>
                <w:szCs w:val="1"/>
                <w:color w:val="auto"/>
              </w:rPr>
            </w:pPr>
          </w:p>
        </w:tc>
      </w:tr>
      <w:tr>
        <w:trPr>
          <w:trHeight w:val="229"/>
        </w:trPr>
        <w:tc>
          <w:tcPr>
            <w:tcW w:w="5340" w:type="dxa"/>
            <w:vAlign w:val="bottom"/>
          </w:tcPr>
          <w:p>
            <w:pPr>
              <w:ind w:left="200"/>
              <w:spacing w:after="0"/>
              <w:rPr>
                <w:sz w:val="20"/>
                <w:szCs w:val="20"/>
                <w:color w:val="auto"/>
              </w:rPr>
            </w:pPr>
            <w:r>
              <w:rPr>
                <w:rFonts w:ascii="Arial" w:cs="Arial" w:eastAsia="Arial" w:hAnsi="Arial"/>
                <w:sz w:val="16"/>
                <w:szCs w:val="16"/>
                <w:color w:val="auto"/>
              </w:rPr>
              <w:t>Purchases and sales of reserves in place, net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00497F"/>
              </w:rPr>
              <w:t>404</w:t>
            </w:r>
          </w:p>
        </w:tc>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97F"/>
              </w:rPr>
              <w:t>(4)</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00497F"/>
              </w:rPr>
              <w:t>400</w:t>
            </w:r>
          </w:p>
        </w:tc>
        <w:tc>
          <w:tcPr>
            <w:tcW w:w="0" w:type="dxa"/>
            <w:vAlign w:val="bottom"/>
          </w:tcPr>
          <w:p>
            <w:pPr>
              <w:spacing w:after="0"/>
              <w:rPr>
                <w:sz w:val="1"/>
                <w:szCs w:val="1"/>
                <w:color w:val="auto"/>
              </w:rPr>
            </w:pPr>
          </w:p>
        </w:tc>
      </w:tr>
      <w:tr>
        <w:trPr>
          <w:trHeight w:val="230"/>
        </w:trPr>
        <w:tc>
          <w:tcPr>
            <w:tcW w:w="5340" w:type="dxa"/>
            <w:vAlign w:val="bottom"/>
          </w:tcPr>
          <w:p>
            <w:pPr>
              <w:ind w:left="200"/>
              <w:spacing w:after="0"/>
              <w:rPr>
                <w:sz w:val="20"/>
                <w:szCs w:val="20"/>
                <w:color w:val="auto"/>
              </w:rPr>
            </w:pPr>
            <w:r>
              <w:rPr>
                <w:rFonts w:ascii="Arial" w:cs="Arial" w:eastAsia="Arial" w:hAnsi="Arial"/>
                <w:sz w:val="16"/>
                <w:szCs w:val="16"/>
                <w:color w:val="auto"/>
              </w:rPr>
              <w:t>Changes in production rates and other</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(266)</w:t>
            </w:r>
          </w:p>
        </w:tc>
        <w:tc>
          <w:tcPr>
            <w:tcW w:w="7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(927)</w:t>
            </w:r>
          </w:p>
        </w:tc>
        <w:tc>
          <w:tcPr>
            <w:tcW w:w="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(1,193)</w:t>
            </w:r>
          </w:p>
        </w:tc>
        <w:tc>
          <w:tcPr>
            <w:tcW w:w="0" w:type="dxa"/>
            <w:vAlign w:val="bottom"/>
          </w:tcPr>
          <w:p>
            <w:pPr>
              <w:spacing w:after="0"/>
              <w:rPr>
                <w:sz w:val="1"/>
                <w:szCs w:val="1"/>
                <w:color w:val="auto"/>
              </w:rPr>
            </w:pPr>
          </w:p>
        </w:tc>
      </w:tr>
      <w:tr>
        <w:trPr>
          <w:trHeight w:val="210"/>
        </w:trPr>
        <w:tc>
          <w:tcPr>
            <w:tcW w:w="5340" w:type="dxa"/>
            <w:vAlign w:val="bottom"/>
          </w:tcPr>
          <w:p>
            <w:pPr>
              <w:ind w:left="40"/>
              <w:spacing w:after="0"/>
              <w:rPr>
                <w:sz w:val="20"/>
                <w:szCs w:val="20"/>
                <w:color w:val="auto"/>
              </w:rPr>
            </w:pPr>
            <w:r>
              <w:rPr>
                <w:rFonts w:ascii="Arial" w:cs="Arial" w:eastAsia="Arial" w:hAnsi="Arial"/>
                <w:sz w:val="16"/>
                <w:szCs w:val="16"/>
                <w:color w:val="auto"/>
              </w:rPr>
              <w:t>Net change</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(17,850)</w:t>
            </w:r>
          </w:p>
        </w:tc>
        <w:tc>
          <w:tcPr>
            <w:tcW w:w="7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(3,889)</w:t>
            </w:r>
          </w:p>
        </w:tc>
        <w:tc>
          <w:tcPr>
            <w:tcW w:w="1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(21,739)</w:t>
            </w:r>
          </w:p>
        </w:tc>
        <w:tc>
          <w:tcPr>
            <w:tcW w:w="0" w:type="dxa"/>
            <w:vAlign w:val="bottom"/>
          </w:tcPr>
          <w:p>
            <w:pPr>
              <w:spacing w:after="0"/>
              <w:rPr>
                <w:sz w:val="1"/>
                <w:szCs w:val="1"/>
                <w:color w:val="auto"/>
              </w:rPr>
            </w:pPr>
          </w:p>
        </w:tc>
      </w:tr>
      <w:tr>
        <w:trPr>
          <w:trHeight w:val="222"/>
        </w:trPr>
        <w:tc>
          <w:tcPr>
            <w:tcW w:w="5340" w:type="dxa"/>
            <w:vAlign w:val="bottom"/>
          </w:tcPr>
          <w:p>
            <w:pPr>
              <w:ind w:left="40"/>
              <w:spacing w:after="0"/>
              <w:rPr>
                <w:sz w:val="20"/>
                <w:szCs w:val="20"/>
                <w:color w:val="auto"/>
              </w:rPr>
            </w:pPr>
            <w:r>
              <w:rPr>
                <w:rFonts w:ascii="Arial" w:cs="Arial" w:eastAsia="Arial" w:hAnsi="Arial"/>
                <w:sz w:val="16"/>
                <w:szCs w:val="16"/>
                <w:color w:val="auto"/>
              </w:rPr>
              <w:t>End of year</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00497F"/>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40,302</w:t>
            </w:r>
          </w:p>
        </w:tc>
        <w:tc>
          <w:tcPr>
            <w:tcW w:w="7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00497F"/>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8,374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48,676</w:t>
            </w:r>
          </w:p>
        </w:tc>
        <w:tc>
          <w:tcPr>
            <w:tcW w:w="0" w:type="dxa"/>
            <w:vAlign w:val="bottom"/>
          </w:tcPr>
          <w:p>
            <w:pPr>
              <w:spacing w:after="0"/>
              <w:rPr>
                <w:sz w:val="1"/>
                <w:szCs w:val="1"/>
                <w:color w:val="auto"/>
              </w:rPr>
            </w:pPr>
          </w:p>
        </w:tc>
      </w:tr>
      <w:tr>
        <w:trPr>
          <w:trHeight w:val="22"/>
        </w:trPr>
        <w:tc>
          <w:tcPr>
            <w:tcW w:w="5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4"/>
        </w:trPr>
        <w:tc>
          <w:tcPr>
            <w:tcW w:w="5340" w:type="dxa"/>
            <w:vAlign w:val="bottom"/>
          </w:tcPr>
          <w:p>
            <w:pPr>
              <w:spacing w:after="0"/>
              <w:rPr>
                <w:sz w:val="24"/>
                <w:szCs w:val="24"/>
                <w:color w:val="auto"/>
              </w:rPr>
            </w:pPr>
          </w:p>
        </w:tc>
        <w:tc>
          <w:tcPr>
            <w:tcW w:w="560" w:type="dxa"/>
            <w:vAlign w:val="bottom"/>
            <w:gridSpan w:val="2"/>
          </w:tcPr>
          <w:p>
            <w:pPr>
              <w:jc w:val="center"/>
              <w:spacing w:after="0"/>
              <w:rPr>
                <w:sz w:val="20"/>
                <w:szCs w:val="20"/>
                <w:color w:val="auto"/>
              </w:rPr>
            </w:pPr>
            <w:r>
              <w:rPr>
                <w:rFonts w:ascii="Arial" w:cs="Arial" w:eastAsia="Arial" w:hAnsi="Arial"/>
                <w:sz w:val="16"/>
                <w:szCs w:val="16"/>
                <w:color w:val="auto"/>
              </w:rPr>
              <w:t>15</w:t>
            </w: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lowerLetter"/>
      <w:start w:val="4"/>
    </w:lvl>
  </w:abstractNum>
  <w:abstractNum w:abstractNumId="4">
    <w:nsid w:val="1BEFD79F"/>
    <w:multiLevelType w:val="hybridMultilevel"/>
    <w:lvl w:ilvl="0">
      <w:lvlJc w:val="left"/>
      <w:lvlText w:val="%1."/>
      <w:numFmt w:val="upperLetter"/>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upperLetter"/>
      <w:start w:val="3"/>
    </w:lvl>
  </w:abstractNum>
  <w:abstractNum w:abstractNumId="11">
    <w:nsid w:val="3F2DBA31"/>
    <w:multiLevelType w:val="hybridMultilevel"/>
    <w:lvl w:ilvl="0">
      <w:lvlJc w:val="left"/>
      <w:lvlText w:val="%1."/>
      <w:numFmt w:val="upperLetter"/>
      <w:start w:val="3"/>
    </w:lvl>
  </w:abstractNum>
  <w:abstractNum w:abstractNumId="12">
    <w:nsid w:val="7C83E458"/>
    <w:multiLevelType w:val="hybridMultilevel"/>
    <w:lvl w:ilvl="0">
      <w:lvlJc w:val="left"/>
      <w:lvlText w:val="%1."/>
      <w:numFmt w:val="upperLetter"/>
      <w:start w:val="4"/>
    </w:lvl>
  </w:abstractNum>
  <w:abstractNum w:abstractNumId="13">
    <w:nsid w:val="257130A3"/>
    <w:multiLevelType w:val="hybridMultilevel"/>
    <w:lvl w:ilvl="0">
      <w:lvlJc w:val="left"/>
      <w:lvlText w:val="•"/>
      <w:numFmt w:val="bullet"/>
      <w:start w:val="1"/>
    </w:lvl>
    <w:lvl w:ilvl="1">
      <w:lvlJc w:val="left"/>
      <w:lvlText w:val="(%2)"/>
      <w:numFmt w:val="lowerRoman"/>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upperLetter"/>
      <w:start w:val="12"/>
    </w:lvl>
    <w:lvl w:ilvl="1">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lowerLetter"/>
      <w:start w:val="1"/>
    </w:lvl>
    <w:lvl w:ilvl="1">
      <w:lvlJc w:val="left"/>
      <w:lvlText w:val="1"/>
      <w:numFmt w:val="bullet"/>
      <w:start w:val="1"/>
    </w:lvl>
  </w:abstractNum>
  <w:abstractNum w:abstractNumId="20">
    <w:nsid w:val="2D1D5AE9"/>
    <w:multiLevelType w:val="hybridMultilevel"/>
    <w:lvl w:ilvl="0">
      <w:lvlJc w:val="left"/>
      <w:lvlText w:val="1"/>
      <w:numFmt w:val="bullet"/>
      <w:start w:val="1"/>
    </w:lvl>
  </w:abstractNum>
  <w:abstractNum w:abstractNumId="21">
    <w:nsid w:val="6763845E"/>
    <w:multiLevelType w:val="hybridMultilevel"/>
    <w:lvl w:ilvl="0">
      <w:lvlJc w:val="left"/>
      <w:lvlText w:val="%1)"/>
      <w:numFmt w:val="lowerLetter"/>
      <w:start w:val="4"/>
    </w:lvl>
  </w:abstractNum>
  <w:abstractNum w:abstractNumId="22">
    <w:nsid w:val="75A2A8D4"/>
    <w:multiLevelType w:val="hybridMultilevel"/>
    <w:lvl w:ilvl="0">
      <w:lvlJc w:val="left"/>
      <w:lvlText w:val="%1)"/>
      <w:numFmt w:val="lowerLetter"/>
      <w:start w:val="6"/>
    </w:lvl>
  </w:abstractNum>
  <w:abstractNum w:abstractNumId="23">
    <w:nsid w:val="8EDBDAB"/>
    <w:multiLevelType w:val="hybridMultilevel"/>
    <w:lvl w:ilvl="0">
      <w:lvlJc w:val="left"/>
      <w:lvlText w:val="%1)"/>
      <w:numFmt w:val="lowerLetter"/>
      <w:start w:val="8"/>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2024-08-12T15:13:53Z</dcterms:created>
  <dcterms:modified xsi:type="dcterms:W3CDTF">2024-08-12T15:13:53Z</dcterms:modified>
</cp:coreProperties>
</file>