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UNITED STATES SECURITIES AND EXCHANGE COMMISSION</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539B"/>
          <w:sz w:val="32"/>
        </w:rPr>
      </w:pPr>
      <w:r>
        <w:rPr>
          <w:rFonts w:ascii="Arial;sans-serif" w:hAnsi="Arial;sans-serif"/>
          <w:b/>
          <w:color w:val="00539B"/>
          <w:sz w:val="32"/>
        </w:rPr>
        <w:t xml:space="preserve">FORM 10-Q </w:t>
      </w:r>
    </w:p>
    <w:p>
      <w:pPr>
        <w:pStyle w:val="TextBody"/>
        <w:bidi w:val="0"/>
        <w:spacing w:lineRule="auto" w:line="288" w:before="0" w:after="0"/>
        <w:jc w:val="center"/>
        <w:rPr/>
      </w:pPr>
      <w:r>
        <w:rPr>
          <w:color w:val="000000"/>
        </w:rPr>
        <w:t xml:space="preserve">☑ </w:t>
      </w:r>
      <w:r>
        <w:rPr>
          <w:rFonts w:ascii="Arial;sans-serif" w:hAnsi="Arial;sans-serif"/>
          <w:b/>
          <w:color w:val="000000"/>
          <w:sz w:val="18"/>
        </w:rPr>
        <w:t>QUARTERLY REPORT PURSUANT TO SECTION 13 OR 15(d)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 xml:space="preserve">For the quarterly period ended June 30, 2026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OR</w:t>
      </w:r>
    </w:p>
    <w:p>
      <w:pPr>
        <w:pStyle w:val="TextBody"/>
        <w:bidi w:val="0"/>
        <w:spacing w:lineRule="auto" w:line="288" w:before="0" w:after="0"/>
        <w:jc w:val="center"/>
        <w:rPr/>
      </w:pPr>
      <w:r>
        <w:rPr>
          <w:color w:val="000000"/>
        </w:rPr>
        <w:t xml:space="preserve">☐ </w:t>
      </w:r>
      <w:r>
        <w:rPr>
          <w:rFonts w:ascii="Arial;sans-serif" w:hAnsi="Arial;sans-serif"/>
          <w:b/>
          <w:color w:val="000000"/>
          <w:sz w:val="18"/>
        </w:rPr>
        <w:t>TRANSITION REPORT PURSUANT TO SECTION 13 OR 15(d)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For the transition period from ___________ to ___________</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 xml:space="preserve">Commission file number 1-9210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_____________________</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539B"/>
          <w:sz w:val="32"/>
        </w:rPr>
      </w:pPr>
      <w:r>
        <w:rPr>
          <w:rFonts w:ascii="Arial;sans-serif" w:hAnsi="Arial;sans-serif"/>
          <w:b/>
          <w:color w:val="00539B"/>
          <w:sz w:val="32"/>
        </w:rPr>
        <w:t>OCCIDENTAL PETROLEUM CORPORATION</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bl>
      <w:tblPr>
        <w:tblW w:w="4736" w:type="dxa"/>
        <w:jc w:val="center"/>
        <w:tblInd w:w="0" w:type="dxa"/>
        <w:tblLayout w:type="fixed"/>
        <w:tblCellMar>
          <w:top w:w="28" w:type="dxa"/>
          <w:left w:w="28" w:type="dxa"/>
          <w:bottom w:w="28" w:type="dxa"/>
          <w:right w:w="28" w:type="dxa"/>
        </w:tblCellMar>
      </w:tblPr>
      <w:tblGrid>
        <w:gridCol w:w="466"/>
        <w:gridCol w:w="409"/>
        <w:gridCol w:w="409"/>
        <w:gridCol w:w="409"/>
        <w:gridCol w:w="409"/>
        <w:gridCol w:w="430"/>
        <w:gridCol w:w="210"/>
        <w:gridCol w:w="210"/>
        <w:gridCol w:w="211"/>
        <w:gridCol w:w="244"/>
        <w:gridCol w:w="244"/>
        <w:gridCol w:w="244"/>
        <w:gridCol w:w="244"/>
        <w:gridCol w:w="244"/>
        <w:gridCol w:w="353"/>
      </w:tblGrid>
      <w:tr>
        <w:trPr/>
        <w:tc>
          <w:tcPr>
            <w:tcW w:w="46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253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95-4035997</w:t>
            </w:r>
          </w:p>
        </w:tc>
      </w:tr>
      <w:tr>
        <w:trPr/>
        <w:tc>
          <w:tcPr>
            <w:tcW w:w="253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xml:space="preserve">(State or other jurisdiction of </w:t>
              <w:br/>
              <w:t>incorporation or organization)</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xml:space="preserve">(I.R.S. Employer </w:t>
              <w:br/>
              <w:t>Identification No.)</w:t>
            </w:r>
          </w:p>
        </w:tc>
      </w:tr>
      <w:tr>
        <w:trPr/>
        <w:tc>
          <w:tcPr>
            <w:tcW w:w="4736"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5 Greenway Plaza, Suite 110</w:t>
            </w:r>
          </w:p>
        </w:tc>
      </w:tr>
      <w:tr>
        <w:trPr/>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Houston,</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Texas</w:t>
            </w:r>
          </w:p>
        </w:tc>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77046</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 (Zip Code)</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(713) 215-7000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9928" w:type="dxa"/>
        <w:jc w:val="center"/>
        <w:tblInd w:w="0" w:type="dxa"/>
        <w:tblLayout w:type="fixed"/>
        <w:tblCellMar>
          <w:top w:w="28" w:type="dxa"/>
          <w:left w:w="28" w:type="dxa"/>
          <w:bottom w:w="28" w:type="dxa"/>
          <w:right w:w="28" w:type="dxa"/>
        </w:tblCellMar>
      </w:tblPr>
      <w:tblGrid>
        <w:gridCol w:w="1640"/>
        <w:gridCol w:w="1442"/>
        <w:gridCol w:w="1447"/>
        <w:gridCol w:w="534"/>
        <w:gridCol w:w="534"/>
        <w:gridCol w:w="536"/>
        <w:gridCol w:w="1108"/>
        <w:gridCol w:w="1108"/>
        <w:gridCol w:w="1579"/>
      </w:tblGrid>
      <w:tr>
        <w:trPr/>
        <w:tc>
          <w:tcPr>
            <w:tcW w:w="1640"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$0.20 par value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OXY</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Warrants to Purchase Common Stock, $0.20 par value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OXY WS</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bl>
    <w:p>
      <w:pPr>
        <w:pStyle w:val="TextBody"/>
        <w:bidi w:val="0"/>
        <w:spacing w:lineRule="auto" w:line="288" w:before="0" w:after="0"/>
        <w:jc w:val="both"/>
        <w:rPr/>
      </w:pPr>
      <w:r>
        <w:rPr>
          <w:rFonts w:ascii="Arial;sans-serif" w:hAnsi="Arial;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Arial;sans-serif" w:hAnsi="Arial;sans-serif"/>
          <w:b w:val="false"/>
          <w:color w:val="000000"/>
          <w:sz w:val="18"/>
        </w:rPr>
        <w:t>Yes   </w:t>
      </w:r>
      <w:r>
        <w:rPr>
          <w:color w:val="000000"/>
        </w:rPr>
        <w:t xml:space="preserve">☐ </w:t>
      </w:r>
      <w:r>
        <w:rPr>
          <w:rFonts w:ascii="Arial;sans-serif" w:hAnsi="Arial;sans-serif"/>
          <w:b w:val="false"/>
          <w:color w:val="000000"/>
          <w:sz w:val="18"/>
        </w:rPr>
        <w:t>No</w:t>
      </w:r>
    </w:p>
    <w:p>
      <w:pPr>
        <w:pStyle w:val="TextBody"/>
        <w:bidi w:val="0"/>
        <w:spacing w:lineRule="auto" w:line="288" w:before="0" w:after="0"/>
        <w:jc w:val="both"/>
        <w:rPr/>
      </w:pPr>
      <w:r>
        <w:rPr>
          <w:rFonts w:ascii="Arial;sans-serif" w:hAnsi="Arial;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xml:space="preserve">☑ </w:t>
      </w:r>
      <w:r>
        <w:rPr>
          <w:rFonts w:ascii="Arial;sans-serif" w:hAnsi="Arial;sans-serif"/>
          <w:b w:val="false"/>
          <w:color w:val="000000"/>
          <w:sz w:val="18"/>
        </w:rPr>
        <w:t>Yes   </w:t>
      </w:r>
      <w:r>
        <w:rPr>
          <w:color w:val="000000"/>
        </w:rPr>
        <w:t xml:space="preserve">☐ </w:t>
      </w:r>
      <w:r>
        <w:rPr>
          <w:rFonts w:ascii="Arial;sans-serif" w:hAnsi="Arial;sans-serif"/>
          <w:b w:val="false"/>
          <w:color w:val="000000"/>
          <w:sz w:val="18"/>
        </w:rPr>
        <w:t>No</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0" w:after="0"/>
        <w:jc w:val="center"/>
        <w:rPr/>
      </w:pPr>
      <w:r>
        <w:rPr>
          <w:rFonts w:ascii="Arial;sans-serif" w:hAnsi="Arial;sans-serif"/>
          <w:b w:val="false"/>
          <w:color w:val="000000"/>
          <w:sz w:val="18"/>
        </w:rPr>
        <w:t>Large Accelerated Filer        </w:t>
      </w:r>
      <w:r>
        <w:rPr>
          <w:color w:val="000000"/>
        </w:rPr>
        <w:t>☑    </w:t>
      </w:r>
      <w:r>
        <w:rPr>
          <w:rFonts w:ascii="Arial;sans-serif" w:hAnsi="Arial;sans-serif"/>
          <w:b w:val="false"/>
          <w:color w:val="000000"/>
          <w:sz w:val="18"/>
        </w:rPr>
        <w:t>Accelerated Filer        </w:t>
      </w:r>
      <w:r>
        <w:rPr>
          <w:color w:val="000000"/>
        </w:rPr>
        <w:t>☐    </w:t>
      </w:r>
      <w:r>
        <w:rPr>
          <w:rFonts w:ascii="Arial;sans-serif" w:hAnsi="Arial;sans-serif"/>
          <w:b w:val="false"/>
          <w:color w:val="000000"/>
          <w:sz w:val="18"/>
        </w:rPr>
        <w:t>Non-Accelerated Filer     </w:t>
      </w:r>
      <w:r>
        <w:rPr>
          <w:color w:val="000000"/>
        </w:rPr>
        <w:t>☐</w:t>
      </w:r>
    </w:p>
    <w:p>
      <w:pPr>
        <w:pStyle w:val="TextBody"/>
        <w:bidi w:val="0"/>
        <w:spacing w:lineRule="auto" w:line="288" w:before="0" w:after="0"/>
        <w:jc w:val="center"/>
        <w:rPr/>
      </w:pPr>
      <w:r>
        <w:rPr>
          <w:rFonts w:ascii="Arial;sans-serif" w:hAnsi="Arial;sans-serif"/>
          <w:b w:val="false"/>
          <w:color w:val="000000"/>
          <w:sz w:val="18"/>
        </w:rPr>
        <w:t>Smaller Reporting Company    </w:t>
      </w:r>
      <w:r>
        <w:rPr>
          <w:color w:val="000000"/>
        </w:rPr>
        <w:t>☐    </w:t>
      </w:r>
      <w:r>
        <w:rPr>
          <w:rFonts w:ascii="Arial;sans-serif" w:hAnsi="Arial;sans-serif"/>
          <w:b w:val="false"/>
          <w:color w:val="000000"/>
          <w:sz w:val="18"/>
        </w:rPr>
        <w:t>Emerging Growth Company    </w:t>
      </w:r>
      <w:r>
        <w:rPr>
          <w:color w:val="000000"/>
        </w:rPr>
        <w:t xml:space="preserve">☐ </w:t>
      </w:r>
    </w:p>
    <w:p>
      <w:pPr>
        <w:pStyle w:val="TextBody"/>
        <w:bidi w:val="0"/>
        <w:spacing w:lineRule="auto" w:line="288" w:before="0" w:after="0"/>
        <w:jc w:val="both"/>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jc w:val="left"/>
        <w:rPr/>
      </w:pPr>
      <w:r>
        <w:rPr>
          <w:rFonts w:ascii="Arial;sans-serif" w:hAnsi="Arial;sans-serif"/>
          <w:b w:val="false"/>
          <w:color w:val="000000"/>
          <w:sz w:val="18"/>
        </w:rPr>
        <w:t xml:space="preserve">Indicate by check mark whether the registrant is a shell company (as defined in Rule 12b-2 of the Exchange Act). </w:t>
      </w:r>
      <w:r>
        <w:rPr>
          <w:color w:val="000000"/>
        </w:rPr>
        <w:t xml:space="preserve">☐ </w:t>
      </w:r>
      <w:r>
        <w:rPr>
          <w:rFonts w:ascii="Arial;sans-serif" w:hAnsi="Arial;sans-serif"/>
          <w:b w:val="false"/>
          <w:color w:val="000000"/>
          <w:sz w:val="18"/>
        </w:rPr>
        <w:t>Yes   </w:t>
      </w:r>
      <w:r>
        <w:rPr>
          <w:color w:val="000000"/>
        </w:rPr>
        <w:t xml:space="preserve">☑ </w:t>
      </w:r>
      <w:r>
        <w:rPr>
          <w:rFonts w:ascii="Arial;sans-serif" w:hAnsi="Arial;sans-serif"/>
          <w:b w:val="false"/>
          <w:color w:val="000000"/>
          <w:sz w:val="18"/>
        </w:rPr>
        <w:t>No</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Indicate the number of shares outstanding of each of the issuer's classes of common stock, as of the latest practicable date.</w:t>
      </w:r>
    </w:p>
    <w:tbl>
      <w:tblPr>
        <w:tblW w:w="6635" w:type="dxa"/>
        <w:jc w:val="left"/>
        <w:tblInd w:w="0" w:type="dxa"/>
        <w:tblLayout w:type="fixed"/>
        <w:tblCellMar>
          <w:top w:w="28" w:type="dxa"/>
          <w:left w:w="28" w:type="dxa"/>
          <w:bottom w:w="28" w:type="dxa"/>
          <w:right w:w="28" w:type="dxa"/>
        </w:tblCellMar>
      </w:tblPr>
      <w:tblGrid>
        <w:gridCol w:w="124"/>
        <w:gridCol w:w="109"/>
        <w:gridCol w:w="109"/>
        <w:gridCol w:w="901"/>
        <w:gridCol w:w="901"/>
        <w:gridCol w:w="913"/>
        <w:gridCol w:w="109"/>
        <w:gridCol w:w="109"/>
        <w:gridCol w:w="109"/>
        <w:gridCol w:w="959"/>
        <w:gridCol w:w="959"/>
        <w:gridCol w:w="9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Outstanding as of July 31,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$0.20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999,637,371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76"/>
        <w:gridCol w:w="507"/>
        <w:gridCol w:w="507"/>
        <w:gridCol w:w="2747"/>
        <w:gridCol w:w="2494"/>
        <w:gridCol w:w="2530"/>
        <w:gridCol w:w="246"/>
        <w:gridCol w:w="246"/>
        <w:gridCol w:w="352"/>
      </w:tblGrid>
      <w:tr>
        <w:trPr/>
        <w:tc>
          <w:tcPr>
            <w:tcW w:w="57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c>
          <w:tcPr>
            <w:tcW w:w="2494" w:type="dxa"/>
            <w:tcBorders/>
            <w:vAlign w:val="center"/>
          </w:tcPr>
          <w:p>
            <w:pPr>
              <w:pStyle w:val="TableContents"/>
              <w:bidi w:val="0"/>
              <w:spacing w:before="0" w:after="283"/>
              <w:jc w:val="left"/>
              <w:rPr>
                <w:sz w:val="4"/>
                <w:szCs w:val="4"/>
              </w:rPr>
            </w:pPr>
            <w:r>
              <w:rPr>
                <w:sz w:val="4"/>
                <w:szCs w:val="4"/>
              </w:rPr>
            </w:r>
          </w:p>
        </w:tc>
        <w:tc>
          <w:tcPr>
            <w:tcW w:w="253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936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24"/>
              </w:rPr>
            </w:pPr>
            <w:r>
              <w:rPr>
                <w:rFonts w:ascii="Arial;sans-serif" w:hAnsi="Arial;sans-serif"/>
                <w:b/>
                <w:color w:val="00539B"/>
                <w:sz w:val="24"/>
              </w:rPr>
              <w:t>TABLE OF CONTENTS</w:t>
            </w:r>
          </w:p>
        </w:tc>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539B"/>
                <w:sz w:val="24"/>
              </w:rPr>
            </w:pPr>
            <w:r>
              <w:rPr>
                <w:rFonts w:ascii="Arial;sans-serif" w:hAnsi="Arial;sans-serif"/>
                <w:b/>
                <w:color w:val="00539B"/>
                <w:sz w:val="24"/>
              </w:rPr>
              <w:t>PAGE</w:t>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7771"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9361" w:type="dxa"/>
            <w:gridSpan w:val="6"/>
            <w:tcBorders>
              <w:bottom w:val="single" w:sz="12" w:space="0" w:color="00539B"/>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 xml:space="preserve">Part I - Financial Information </w:t>
            </w:r>
          </w:p>
        </w:tc>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1" w:type="dxa"/>
            <w:gridSpan w:val="6"/>
            <w:tcBorders>
              <w:top w:val="single" w:sz="12" w:space="0" w:color="00539B"/>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9"/>
              </w:rPr>
              <w:t xml:space="preserve">Item 1. </w:t>
            </w:r>
            <w:hyperlink w:anchor="i3d54dccfbfc2441b99c01f1c1099ad60_19">
              <w:r>
                <w:rPr>
                  <w:rStyle w:val="InternetLink"/>
                  <w:rFonts w:ascii="Arial;sans-serif" w:hAnsi="Arial;sans-serif"/>
                  <w:b/>
                  <w:strike w:val="false"/>
                  <w:dstrike w:val="false"/>
                  <w:color w:val="000000"/>
                  <w:sz w:val="19"/>
                  <w:u w:val="none"/>
                  <w:effect w:val="none"/>
                </w:rPr>
                <w:t>Financial Statements (unaudited)</w:t>
              </w:r>
            </w:hyperlink>
          </w:p>
        </w:tc>
        <w:tc>
          <w:tcPr>
            <w:tcW w:w="844" w:type="dxa"/>
            <w:gridSpan w:val="3"/>
            <w:tcBorders>
              <w:top w:val="single" w:sz="12" w:space="0" w:color="0053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1"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3d54dccfbfc2441b99c01f1c1099ad60_25">
              <w:r>
                <w:rPr>
                  <w:rStyle w:val="InternetLink"/>
                  <w:rFonts w:ascii="Arial;sans-serif" w:hAnsi="Arial;sans-serif"/>
                  <w:b w:val="false"/>
                  <w:strike w:val="false"/>
                  <w:dstrike w:val="false"/>
                  <w:color w:val="000000"/>
                  <w:sz w:val="19"/>
                  <w:u w:val="none"/>
                  <w:effect w:val="none"/>
                </w:rPr>
                <w:t xml:space="preserve">Consolidated Condensed Balance Sheets — </w:t>
              </w:r>
            </w:hyperlink>
            <w:r>
              <w:rPr>
                <w:rFonts w:ascii="Arial;sans-serif" w:hAnsi="Arial;sans-serif"/>
                <w:b w:val="false"/>
                <w:color w:val="000000"/>
                <w:sz w:val="19"/>
              </w:rPr>
              <w:t>June 30, 2026</w:t>
            </w:r>
            <w:hyperlink w:anchor="i3d54dccfbfc2441b99c01f1c1099ad60_22">
              <w:r>
                <w:rPr>
                  <w:rStyle w:val="InternetLink"/>
                  <w:rFonts w:ascii="Arial;sans-serif" w:hAnsi="Arial;sans-serif"/>
                  <w:b w:val="false"/>
                  <w:strike w:val="false"/>
                  <w:dstrike w:val="false"/>
                  <w:color w:val="000000"/>
                  <w:sz w:val="19"/>
                  <w:u w:val="none"/>
                  <w:effect w:val="none"/>
                </w:rPr>
                <w:t xml:space="preserve"> and </w:t>
              </w:r>
            </w:hyperlink>
            <w:r>
              <w:rPr>
                <w:rFonts w:ascii="Arial;sans-serif" w:hAnsi="Arial;sans-serif"/>
                <w:b w:val="false"/>
                <w:color w:val="000000"/>
                <w:sz w:val="19"/>
              </w:rPr>
              <w:t>December 31, 2025</w:t>
            </w:r>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d54dccfbfc2441b99c01f1c1099ad60_25">
              <w:r>
                <w:rPr>
                  <w:rStyle w:val="InternetLink"/>
                  <w:rFonts w:ascii="Arial;sans-serif" w:hAnsi="Arial;sans-serif"/>
                  <w:b w:val="false"/>
                  <w:strike w:val="false"/>
                  <w:dstrike w:val="false"/>
                  <w:color w:val="000000"/>
                  <w:sz w:val="19"/>
                  <w:u w:val="none"/>
                  <w:effect w:val="none"/>
                </w:rPr>
                <w:t>2</w:t>
              </w:r>
            </w:hyperlink>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1"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3d54dccfbfc2441b99c01f1c1099ad60_28">
              <w:r>
                <w:rPr>
                  <w:rStyle w:val="InternetLink"/>
                  <w:rFonts w:ascii="Arial;sans-serif" w:hAnsi="Arial;sans-serif"/>
                  <w:b w:val="false"/>
                  <w:strike w:val="false"/>
                  <w:dstrike w:val="false"/>
                  <w:color w:val="000000"/>
                  <w:sz w:val="19"/>
                  <w:u w:val="none"/>
                  <w:effect w:val="none"/>
                </w:rPr>
                <w:t xml:space="preserve">Consolidated Condensed Statements of Operations — </w:t>
              </w:r>
            </w:hyperlink>
            <w:r>
              <w:rPr>
                <w:rFonts w:ascii="Arial;sans-serif" w:hAnsi="Arial;sans-serif"/>
                <w:b w:val="false"/>
                <w:color w:val="000000"/>
                <w:sz w:val="19"/>
              </w:rPr>
              <w:t>Three and six months ended June 30, 2026</w:t>
            </w:r>
            <w:hyperlink w:anchor="i3d54dccfbfc2441b99c01f1c1099ad60_28">
              <w:r>
                <w:rPr>
                  <w:rStyle w:val="InternetLink"/>
                  <w:rFonts w:ascii="Arial;sans-serif" w:hAnsi="Arial;sans-serif"/>
                  <w:b w:val="false"/>
                  <w:strike w:val="false"/>
                  <w:dstrike w:val="false"/>
                  <w:color w:val="000000"/>
                  <w:sz w:val="19"/>
                  <w:u w:val="none"/>
                  <w:effect w:val="none"/>
                </w:rPr>
                <w:t xml:space="preserve"> and </w:t>
              </w:r>
            </w:hyperlink>
            <w:r>
              <w:rPr>
                <w:rFonts w:ascii="Arial;sans-serif" w:hAnsi="Arial;sans-serif"/>
                <w:b w:val="false"/>
                <w:color w:val="000000"/>
                <w:sz w:val="19"/>
              </w:rPr>
              <w:t>2025</w:t>
            </w:r>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d54dccfbfc2441b99c01f1c1099ad60_28">
              <w:r>
                <w:rPr>
                  <w:rStyle w:val="InternetLink"/>
                  <w:rFonts w:ascii="Arial;sans-serif" w:hAnsi="Arial;sans-serif"/>
                  <w:b w:val="false"/>
                  <w:strike w:val="false"/>
                  <w:dstrike w:val="false"/>
                  <w:color w:val="000000"/>
                  <w:sz w:val="19"/>
                  <w:u w:val="none"/>
                  <w:effect w:val="none"/>
                </w:rPr>
                <w:t>3</w:t>
              </w:r>
            </w:hyperlink>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1"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3d54dccfbfc2441b99c01f1c1099ad60_31">
              <w:r>
                <w:rPr>
                  <w:rStyle w:val="InternetLink"/>
                  <w:rFonts w:ascii="Arial;sans-serif" w:hAnsi="Arial;sans-serif"/>
                  <w:b w:val="false"/>
                  <w:strike w:val="false"/>
                  <w:dstrike w:val="false"/>
                  <w:color w:val="000000"/>
                  <w:sz w:val="19"/>
                  <w:u w:val="none"/>
                  <w:effect w:val="none"/>
                </w:rPr>
                <w:t xml:space="preserve">Consolidated Condensed Statements of Comprehensive Income — </w:t>
              </w:r>
            </w:hyperlink>
            <w:r>
              <w:rPr>
                <w:rFonts w:ascii="Arial;sans-serif" w:hAnsi="Arial;sans-serif"/>
                <w:b w:val="false"/>
                <w:color w:val="000000"/>
                <w:sz w:val="19"/>
              </w:rPr>
              <w:t>Three and six months ended June 30, 2026</w:t>
            </w:r>
            <w:hyperlink w:anchor="i3d54dccfbfc2441b99c01f1c1099ad60_28">
              <w:r>
                <w:rPr>
                  <w:rStyle w:val="InternetLink"/>
                  <w:rFonts w:ascii="Arial;sans-serif" w:hAnsi="Arial;sans-serif"/>
                  <w:b w:val="false"/>
                  <w:strike w:val="false"/>
                  <w:dstrike w:val="false"/>
                  <w:color w:val="000000"/>
                  <w:sz w:val="19"/>
                  <w:u w:val="none"/>
                  <w:effect w:val="none"/>
                </w:rPr>
                <w:t xml:space="preserve"> and </w:t>
              </w:r>
            </w:hyperlink>
            <w:r>
              <w:rPr>
                <w:rFonts w:ascii="Arial;sans-serif" w:hAnsi="Arial;sans-serif"/>
                <w:b w:val="false"/>
                <w:color w:val="000000"/>
                <w:sz w:val="19"/>
              </w:rPr>
              <w:t>2025</w:t>
            </w:r>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d54dccfbfc2441b99c01f1c1099ad60_31">
              <w:r>
                <w:rPr>
                  <w:rStyle w:val="InternetLink"/>
                  <w:rFonts w:ascii="Arial;sans-serif" w:hAnsi="Arial;sans-serif"/>
                  <w:b w:val="false"/>
                  <w:strike w:val="false"/>
                  <w:dstrike w:val="false"/>
                  <w:color w:val="000000"/>
                  <w:sz w:val="19"/>
                  <w:u w:val="none"/>
                  <w:effect w:val="none"/>
                </w:rPr>
                <w:t>4</w:t>
              </w:r>
            </w:hyperlink>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1"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3d54dccfbfc2441b99c01f1c1099ad60_34">
              <w:r>
                <w:rPr>
                  <w:rStyle w:val="InternetLink"/>
                  <w:rFonts w:ascii="Arial;sans-serif" w:hAnsi="Arial;sans-serif"/>
                  <w:b w:val="false"/>
                  <w:strike w:val="false"/>
                  <w:dstrike w:val="false"/>
                  <w:color w:val="000000"/>
                  <w:sz w:val="19"/>
                  <w:u w:val="none"/>
                  <w:effect w:val="none"/>
                </w:rPr>
                <w:t xml:space="preserve">Consolidated Condensed Statements of Equity — </w:t>
              </w:r>
            </w:hyperlink>
            <w:r>
              <w:rPr>
                <w:rFonts w:ascii="Arial;sans-serif" w:hAnsi="Arial;sans-serif"/>
                <w:b w:val="false"/>
                <w:color w:val="000000"/>
                <w:sz w:val="19"/>
              </w:rPr>
              <w:t>Three and six months ended June 30, 2026</w:t>
            </w:r>
            <w:hyperlink w:anchor="i3d54dccfbfc2441b99c01f1c1099ad60_28">
              <w:r>
                <w:rPr>
                  <w:rStyle w:val="InternetLink"/>
                  <w:rFonts w:ascii="Arial;sans-serif" w:hAnsi="Arial;sans-serif"/>
                  <w:b w:val="false"/>
                  <w:strike w:val="false"/>
                  <w:dstrike w:val="false"/>
                  <w:color w:val="000000"/>
                  <w:sz w:val="19"/>
                  <w:u w:val="none"/>
                  <w:effect w:val="none"/>
                </w:rPr>
                <w:t xml:space="preserve"> and </w:t>
              </w:r>
            </w:hyperlink>
            <w:r>
              <w:rPr>
                <w:rFonts w:ascii="Arial;sans-serif" w:hAnsi="Arial;sans-serif"/>
                <w:b w:val="false"/>
                <w:color w:val="000000"/>
                <w:sz w:val="19"/>
              </w:rPr>
              <w:t>2025</w:t>
            </w:r>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d54dccfbfc2441b99c01f1c1099ad60_34">
              <w:r>
                <w:rPr>
                  <w:rStyle w:val="InternetLink"/>
                  <w:rFonts w:ascii="Arial;sans-serif" w:hAnsi="Arial;sans-serif"/>
                  <w:b w:val="false"/>
                  <w:strike w:val="false"/>
                  <w:dstrike w:val="false"/>
                  <w:color w:val="000000"/>
                  <w:sz w:val="19"/>
                  <w:u w:val="none"/>
                  <w:effect w:val="none"/>
                </w:rPr>
                <w:t>5</w:t>
              </w:r>
            </w:hyperlink>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1"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3d54dccfbfc2441b99c01f1c1099ad60_43">
              <w:r>
                <w:rPr>
                  <w:rStyle w:val="InternetLink"/>
                  <w:rFonts w:ascii="Arial;sans-serif" w:hAnsi="Arial;sans-serif"/>
                  <w:b w:val="false"/>
                  <w:strike w:val="false"/>
                  <w:dstrike w:val="false"/>
                  <w:color w:val="000000"/>
                  <w:sz w:val="19"/>
                  <w:u w:val="none"/>
                  <w:effect w:val="none"/>
                </w:rPr>
                <w:t>Consolidated Condensed Statements of Cash Flows —</w:t>
              </w:r>
            </w:hyperlink>
            <w:r>
              <w:rPr>
                <w:rFonts w:ascii="Arial;sans-serif" w:hAnsi="Arial;sans-serif"/>
                <w:b w:val="false"/>
                <w:color w:val="000000"/>
                <w:sz w:val="19"/>
              </w:rPr>
              <w:t xml:space="preserve"> Six months ended June 30, 2026 and 2025</w:t>
            </w:r>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d54dccfbfc2441b99c01f1c1099ad60_43">
              <w:r>
                <w:rPr>
                  <w:rStyle w:val="InternetLink"/>
                  <w:rFonts w:ascii="Arial;sans-serif" w:hAnsi="Arial;sans-serif"/>
                  <w:b w:val="false"/>
                  <w:strike w:val="false"/>
                  <w:dstrike w:val="false"/>
                  <w:color w:val="000000"/>
                  <w:sz w:val="19"/>
                  <w:u w:val="none"/>
                  <w:effect w:val="none"/>
                </w:rPr>
                <w:t>7</w:t>
              </w:r>
            </w:hyperlink>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54dccfbfc2441b99c01f1c1099ad60_46">
              <w:r>
                <w:rPr>
                  <w:rStyle w:val="InternetLink"/>
                  <w:rFonts w:ascii="Arial;sans-serif" w:hAnsi="Arial;sans-serif"/>
                  <w:b w:val="false"/>
                  <w:strike w:val="false"/>
                  <w:dstrike w:val="false"/>
                  <w:color w:val="000000"/>
                  <w:sz w:val="19"/>
                  <w:u w:val="none"/>
                  <w:effect w:val="none"/>
                </w:rPr>
                <w:t>Notes to Consolidated Condensed Financial Statements</w:t>
              </w:r>
            </w:hyperlink>
          </w:p>
        </w:tc>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54dccfbfc2441b99c01f1c1099ad60_49">
              <w:r>
                <w:rPr>
                  <w:rStyle w:val="InternetLink"/>
                  <w:rFonts w:ascii="Arial;sans-serif" w:hAnsi="Arial;sans-serif"/>
                  <w:b w:val="false"/>
                  <w:strike w:val="false"/>
                  <w:dstrike w:val="false"/>
                  <w:color w:val="000000"/>
                  <w:sz w:val="19"/>
                  <w:u w:val="none"/>
                  <w:effect w:val="none"/>
                </w:rPr>
                <w:t>Note 1—General</w:t>
              </w:r>
            </w:hyperlink>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d54dccfbfc2441b99c01f1c1099ad60_49">
              <w:r>
                <w:rPr>
                  <w:rStyle w:val="InternetLink"/>
                  <w:rFonts w:ascii="Arial;sans-serif" w:hAnsi="Arial;sans-serif"/>
                  <w:b w:val="false"/>
                  <w:strike w:val="false"/>
                  <w:dstrike w:val="false"/>
                  <w:color w:val="000000"/>
                  <w:sz w:val="19"/>
                  <w:u w:val="none"/>
                  <w:effect w:val="none"/>
                </w:rPr>
                <w:t>8</w:t>
              </w:r>
            </w:hyperlink>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54dccfbfc2441b99c01f1c1099ad60_52">
              <w:r>
                <w:rPr>
                  <w:rStyle w:val="InternetLink"/>
                  <w:rFonts w:ascii="Arial;sans-serif" w:hAnsi="Arial;sans-serif"/>
                  <w:b w:val="false"/>
                  <w:strike w:val="false"/>
                  <w:dstrike w:val="false"/>
                  <w:color w:val="000080"/>
                  <w:sz w:val="19"/>
                  <w:u w:val="single"/>
                  <w:effect w:val="none"/>
                </w:rPr>
                <w:t xml:space="preserve">Note </w:t>
              </w:r>
            </w:hyperlink>
            <w:hyperlink w:anchor="i3d54dccfbfc2441b99c01f1c1099ad60_52">
              <w:r>
                <w:rPr>
                  <w:rStyle w:val="InternetLink"/>
                  <w:rFonts w:ascii="Arial;sans-serif" w:hAnsi="Arial;sans-serif"/>
                  <w:b w:val="false"/>
                  <w:strike w:val="false"/>
                  <w:dstrike w:val="false"/>
                  <w:color w:val="000080"/>
                  <w:sz w:val="19"/>
                  <w:u w:val="single"/>
                  <w:effect w:val="none"/>
                </w:rPr>
                <w:t>2</w:t>
              </w:r>
            </w:hyperlink>
            <w:hyperlink w:anchor="i3d54dccfbfc2441b99c01f1c1099ad60_52">
              <w:r>
                <w:rPr>
                  <w:rStyle w:val="InternetLink"/>
                  <w:rFonts w:ascii="Arial;sans-serif" w:hAnsi="Arial;sans-serif"/>
                  <w:b w:val="false"/>
                  <w:strike w:val="false"/>
                  <w:dstrike w:val="false"/>
                  <w:color w:val="000080"/>
                  <w:sz w:val="19"/>
                  <w:u w:val="single"/>
                  <w:effect w:val="none"/>
                </w:rPr>
                <w:t>—Revenue</w:t>
              </w:r>
            </w:hyperlink>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d54dccfbfc2441b99c01f1c1099ad60_52">
              <w:r>
                <w:rPr>
                  <w:rStyle w:val="InternetLink"/>
                  <w:rFonts w:ascii="Arial;sans-serif" w:hAnsi="Arial;sans-serif"/>
                  <w:b w:val="false"/>
                  <w:strike w:val="false"/>
                  <w:dstrike w:val="false"/>
                  <w:color w:val="000000"/>
                  <w:sz w:val="19"/>
                  <w:u w:val="none"/>
                  <w:effect w:val="none"/>
                </w:rPr>
                <w:t>10</w:t>
              </w:r>
            </w:hyperlink>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54dccfbfc2441b99c01f1c1099ad60_61">
              <w:r>
                <w:rPr>
                  <w:rStyle w:val="InternetLink"/>
                  <w:rFonts w:ascii="Arial;sans-serif" w:hAnsi="Arial;sans-serif"/>
                  <w:b w:val="false"/>
                  <w:strike w:val="false"/>
                  <w:dstrike w:val="false"/>
                  <w:color w:val="000000"/>
                  <w:sz w:val="19"/>
                  <w:u w:val="none"/>
                  <w:effect w:val="none"/>
                </w:rPr>
                <w:t>Note 3—Long-Term Deb</w:t>
              </w:r>
            </w:hyperlink>
            <w:r>
              <w:rPr>
                <w:rFonts w:ascii="Arial;sans-serif" w:hAnsi="Arial;sans-serif"/>
                <w:b w:val="false"/>
                <w:color w:val="000000"/>
                <w:sz w:val="19"/>
              </w:rPr>
              <w:t>t</w:t>
            </w:r>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d54dccfbfc2441b99c01f1c1099ad60_61">
              <w:r>
                <w:rPr>
                  <w:rStyle w:val="InternetLink"/>
                  <w:rFonts w:ascii="Arial;sans-serif" w:hAnsi="Arial;sans-serif"/>
                  <w:b w:val="false"/>
                  <w:strike w:val="false"/>
                  <w:dstrike w:val="false"/>
                  <w:color w:val="000000"/>
                  <w:sz w:val="19"/>
                  <w:u w:val="none"/>
                  <w:effect w:val="none"/>
                </w:rPr>
                <w:t>13</w:t>
              </w:r>
            </w:hyperlink>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54dccfbfc2441b99c01f1c1099ad60_64">
              <w:r>
                <w:rPr>
                  <w:rStyle w:val="InternetLink"/>
                  <w:rFonts w:ascii="Arial;sans-serif" w:hAnsi="Arial;sans-serif"/>
                  <w:b w:val="false"/>
                  <w:strike w:val="false"/>
                  <w:dstrike w:val="false"/>
                  <w:color w:val="000000"/>
                  <w:sz w:val="19"/>
                  <w:u w:val="none"/>
                  <w:effect w:val="none"/>
                </w:rPr>
                <w:t>Note 4—Acquisitions</w:t>
              </w:r>
            </w:hyperlink>
            <w:r>
              <w:rPr>
                <w:rFonts w:ascii="Arial;sans-serif" w:hAnsi="Arial;sans-serif"/>
                <w:b w:val="false"/>
                <w:color w:val="000000"/>
                <w:sz w:val="19"/>
              </w:rPr>
              <w:t>, Divestitures and Other Transactions</w:t>
            </w:r>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d54dccfbfc2441b99c01f1c1099ad60_64">
              <w:r>
                <w:rPr>
                  <w:rStyle w:val="InternetLink"/>
                  <w:rFonts w:ascii="Arial;sans-serif" w:hAnsi="Arial;sans-serif"/>
                  <w:b w:val="false"/>
                  <w:strike w:val="false"/>
                  <w:dstrike w:val="false"/>
                  <w:color w:val="000000"/>
                  <w:sz w:val="19"/>
                  <w:u w:val="none"/>
                  <w:effect w:val="none"/>
                </w:rPr>
                <w:t>16</w:t>
              </w:r>
            </w:hyperlink>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54dccfbfc2441b99c01f1c1099ad60_67">
              <w:r>
                <w:rPr>
                  <w:rStyle w:val="InternetLink"/>
                  <w:rFonts w:ascii="Arial;sans-serif" w:hAnsi="Arial;sans-serif"/>
                  <w:b w:val="false"/>
                  <w:strike w:val="false"/>
                  <w:dstrike w:val="false"/>
                  <w:color w:val="000000"/>
                  <w:sz w:val="19"/>
                  <w:u w:val="none"/>
                  <w:effect w:val="none"/>
                </w:rPr>
                <w:t>Note 5—Derivatives</w:t>
              </w:r>
            </w:hyperlink>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d54dccfbfc2441b99c01f1c1099ad60_67">
              <w:r>
                <w:rPr>
                  <w:rStyle w:val="InternetLink"/>
                  <w:rFonts w:ascii="Arial;sans-serif" w:hAnsi="Arial;sans-serif"/>
                  <w:b w:val="false"/>
                  <w:strike w:val="false"/>
                  <w:dstrike w:val="false"/>
                  <w:color w:val="000000"/>
                  <w:sz w:val="19"/>
                  <w:u w:val="none"/>
                  <w:effect w:val="none"/>
                </w:rPr>
                <w:t>17</w:t>
              </w:r>
            </w:hyperlink>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54dccfbfc2441b99c01f1c1099ad60_70">
              <w:r>
                <w:rPr>
                  <w:rStyle w:val="InternetLink"/>
                  <w:rFonts w:ascii="Arial;sans-serif" w:hAnsi="Arial;sans-serif"/>
                  <w:b w:val="false"/>
                  <w:strike w:val="false"/>
                  <w:dstrike w:val="false"/>
                  <w:color w:val="000000"/>
                  <w:sz w:val="19"/>
                  <w:u w:val="none"/>
                  <w:effect w:val="none"/>
                </w:rPr>
                <w:t>Note 6—Income Taxes</w:t>
              </w:r>
            </w:hyperlink>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d54dccfbfc2441b99c01f1c1099ad60_70">
              <w:r>
                <w:rPr>
                  <w:rStyle w:val="InternetLink"/>
                  <w:rFonts w:ascii="Arial;sans-serif" w:hAnsi="Arial;sans-serif"/>
                  <w:b w:val="false"/>
                  <w:strike w:val="false"/>
                  <w:dstrike w:val="false"/>
                  <w:color w:val="000000"/>
                  <w:sz w:val="19"/>
                  <w:u w:val="none"/>
                  <w:effect w:val="none"/>
                </w:rPr>
                <w:t>19</w:t>
              </w:r>
            </w:hyperlink>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7771"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54dccfbfc2441b99c01f1c1099ad60_73">
              <w:r>
                <w:rPr>
                  <w:rStyle w:val="InternetLink"/>
                  <w:rFonts w:ascii="Arial;sans-serif" w:hAnsi="Arial;sans-serif"/>
                  <w:b w:val="false"/>
                  <w:strike w:val="false"/>
                  <w:dstrike w:val="false"/>
                  <w:color w:val="000000"/>
                  <w:sz w:val="19"/>
                  <w:u w:val="none"/>
                  <w:effect w:val="none"/>
                </w:rPr>
                <w:t>Note 7—Environmental Liabilities and Expenditures</w:t>
              </w:r>
            </w:hyperlink>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d54dccfbfc2441b99c01f1c1099ad60_73">
              <w:r>
                <w:rPr>
                  <w:rStyle w:val="InternetLink"/>
                  <w:rFonts w:ascii="Arial;sans-serif" w:hAnsi="Arial;sans-serif"/>
                  <w:b w:val="false"/>
                  <w:strike w:val="false"/>
                  <w:dstrike w:val="false"/>
                  <w:color w:val="000000"/>
                  <w:sz w:val="19"/>
                  <w:u w:val="none"/>
                  <w:effect w:val="none"/>
                </w:rPr>
                <w:t>20</w:t>
              </w:r>
            </w:hyperlink>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54dccfbfc2441b99c01f1c1099ad60_76">
              <w:r>
                <w:rPr>
                  <w:rStyle w:val="InternetLink"/>
                  <w:rFonts w:ascii="Arial;sans-serif" w:hAnsi="Arial;sans-serif"/>
                  <w:b w:val="false"/>
                  <w:strike w:val="false"/>
                  <w:dstrike w:val="false"/>
                  <w:color w:val="000000"/>
                  <w:sz w:val="19"/>
                  <w:u w:val="none"/>
                  <w:effect w:val="none"/>
                </w:rPr>
                <w:t>Note 8—Lawsuits, Claims, Commitments and Contingencies</w:t>
              </w:r>
            </w:hyperlink>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d54dccfbfc2441b99c01f1c1099ad60_76">
              <w:r>
                <w:rPr>
                  <w:rStyle w:val="InternetLink"/>
                  <w:rFonts w:ascii="Arial;sans-serif" w:hAnsi="Arial;sans-serif"/>
                  <w:b w:val="false"/>
                  <w:strike w:val="false"/>
                  <w:dstrike w:val="false"/>
                  <w:color w:val="000000"/>
                  <w:sz w:val="19"/>
                  <w:u w:val="none"/>
                  <w:effect w:val="none"/>
                </w:rPr>
                <w:t>22</w:t>
              </w:r>
            </w:hyperlink>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54dccfbfc2441b99c01f1c1099ad60_79">
              <w:r>
                <w:rPr>
                  <w:rStyle w:val="InternetLink"/>
                  <w:rFonts w:ascii="Arial;sans-serif" w:hAnsi="Arial;sans-serif"/>
                  <w:b w:val="false"/>
                  <w:strike w:val="false"/>
                  <w:dstrike w:val="false"/>
                  <w:color w:val="000000"/>
                  <w:sz w:val="19"/>
                  <w:u w:val="none"/>
                  <w:effect w:val="none"/>
                </w:rPr>
                <w:t>Note 9—Earnings Per Share and Equity</w:t>
              </w:r>
            </w:hyperlink>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d54dccfbfc2441b99c01f1c1099ad60_79">
              <w:r>
                <w:rPr>
                  <w:rStyle w:val="InternetLink"/>
                  <w:rFonts w:ascii="Arial;sans-serif" w:hAnsi="Arial;sans-serif"/>
                  <w:b w:val="false"/>
                  <w:strike w:val="false"/>
                  <w:dstrike w:val="false"/>
                  <w:color w:val="000000"/>
                  <w:sz w:val="19"/>
                  <w:u w:val="none"/>
                  <w:effect w:val="none"/>
                </w:rPr>
                <w:t>24</w:t>
              </w:r>
            </w:hyperlink>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54dccfbfc2441b99c01f1c1099ad60_82">
              <w:r>
                <w:rPr>
                  <w:rStyle w:val="InternetLink"/>
                  <w:rFonts w:ascii="Arial;sans-serif" w:hAnsi="Arial;sans-serif"/>
                  <w:b w:val="false"/>
                  <w:strike w:val="false"/>
                  <w:dstrike w:val="false"/>
                  <w:color w:val="000000"/>
                  <w:sz w:val="19"/>
                  <w:u w:val="none"/>
                  <w:effect w:val="none"/>
                </w:rPr>
                <w:t>Note 10—Segments</w:t>
              </w:r>
            </w:hyperlink>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d54dccfbfc2441b99c01f1c1099ad60_82">
              <w:r>
                <w:rPr>
                  <w:rStyle w:val="InternetLink"/>
                  <w:rFonts w:ascii="Arial;sans-serif" w:hAnsi="Arial;sans-serif"/>
                  <w:b w:val="false"/>
                  <w:strike w:val="false"/>
                  <w:dstrike w:val="false"/>
                  <w:color w:val="000000"/>
                  <w:sz w:val="19"/>
                  <w:u w:val="none"/>
                  <w:effect w:val="none"/>
                </w:rPr>
                <w:t>25</w:t>
              </w:r>
            </w:hyperlink>
          </w:p>
        </w:tc>
      </w:tr>
      <w:tr>
        <w:trPr/>
        <w:tc>
          <w:tcPr>
            <w:tcW w:w="9361" w:type="dxa"/>
            <w:gridSpan w:val="6"/>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Arial;sans-serif" w:hAnsi="Arial;sans-serif"/>
                <w:b/>
                <w:color w:val="000000"/>
                <w:sz w:val="19"/>
              </w:rPr>
              <w:t xml:space="preserve">Item 2. </w:t>
            </w:r>
            <w:hyperlink w:anchor="i3d54dccfbfc2441b99c01f1c1099ad60_85">
              <w:r>
                <w:rPr>
                  <w:rStyle w:val="InternetLink"/>
                  <w:rFonts w:ascii="Arial;sans-serif" w:hAnsi="Arial;sans-serif"/>
                  <w:b/>
                  <w:strike w:val="false"/>
                  <w:dstrike w:val="false"/>
                  <w:color w:val="000080"/>
                  <w:sz w:val="19"/>
                  <w:u w:val="single"/>
                  <w:effect w:val="none"/>
                </w:rPr>
                <w:t>Management</w:t>
              </w:r>
            </w:hyperlink>
            <w:hyperlink w:anchor="i3d54dccfbfc2441b99c01f1c1099ad60_85">
              <w:r>
                <w:rPr>
                  <w:rStyle w:val="InternetLink"/>
                  <w:rFonts w:ascii="Arial;sans-serif" w:hAnsi="Arial;sans-serif"/>
                  <w:b/>
                  <w:strike w:val="false"/>
                  <w:dstrike w:val="false"/>
                  <w:color w:val="000080"/>
                  <w:sz w:val="19"/>
                  <w:u w:val="single"/>
                  <w:effect w:val="none"/>
                </w:rPr>
                <w:t>'</w:t>
              </w:r>
            </w:hyperlink>
            <w:hyperlink w:anchor="i3d54dccfbfc2441b99c01f1c1099ad60_85">
              <w:r>
                <w:rPr>
                  <w:rStyle w:val="InternetLink"/>
                  <w:rFonts w:ascii="Arial;sans-serif" w:hAnsi="Arial;sans-serif"/>
                  <w:b/>
                  <w:strike w:val="false"/>
                  <w:dstrike w:val="false"/>
                  <w:color w:val="000080"/>
                  <w:sz w:val="19"/>
                  <w:u w:val="single"/>
                  <w:effect w:val="none"/>
                </w:rPr>
                <w:t>s Discussion and Analysis of Financial Condition and Results of Operations</w:t>
              </w:r>
            </w:hyperlink>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d54dccfbfc2441b99c01f1c1099ad60_85">
              <w:r>
                <w:rPr>
                  <w:rStyle w:val="InternetLink"/>
                  <w:rFonts w:ascii="Arial;sans-serif" w:hAnsi="Arial;sans-serif"/>
                  <w:b w:val="false"/>
                  <w:strike w:val="false"/>
                  <w:dstrike w:val="false"/>
                  <w:color w:val="000000"/>
                  <w:sz w:val="19"/>
                  <w:u w:val="none"/>
                  <w:effect w:val="none"/>
                </w:rPr>
                <w:t>28</w:t>
              </w:r>
            </w:hyperlink>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54dccfbfc2441b99c01f1c1099ad60_91">
              <w:r>
                <w:rPr>
                  <w:rStyle w:val="InternetLink"/>
                  <w:rFonts w:ascii="Arial;sans-serif" w:hAnsi="Arial;sans-serif"/>
                  <w:b w:val="false"/>
                  <w:strike w:val="false"/>
                  <w:dstrike w:val="false"/>
                  <w:color w:val="000000"/>
                  <w:sz w:val="19"/>
                  <w:u w:val="none"/>
                  <w:effect w:val="none"/>
                </w:rPr>
                <w:t>Cautionary Statement Regarding Forward-Looking Statements</w:t>
              </w:r>
            </w:hyperlink>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d54dccfbfc2441b99c01f1c1099ad60_91">
              <w:r>
                <w:rPr>
                  <w:rStyle w:val="InternetLink"/>
                  <w:rFonts w:ascii="Arial;sans-serif" w:hAnsi="Arial;sans-serif"/>
                  <w:b w:val="false"/>
                  <w:strike w:val="false"/>
                  <w:dstrike w:val="false"/>
                  <w:color w:val="000000"/>
                  <w:sz w:val="19"/>
                  <w:u w:val="none"/>
                  <w:effect w:val="none"/>
                </w:rPr>
                <w:t>28</w:t>
              </w:r>
            </w:hyperlink>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54dccfbfc2441b99c01f1c1099ad60_97">
              <w:r>
                <w:rPr>
                  <w:rStyle w:val="InternetLink"/>
                  <w:rFonts w:ascii="Arial;sans-serif" w:hAnsi="Arial;sans-serif"/>
                  <w:b w:val="false"/>
                  <w:strike w:val="false"/>
                  <w:dstrike w:val="false"/>
                  <w:color w:val="000000"/>
                  <w:sz w:val="19"/>
                  <w:u w:val="none"/>
                  <w:effect w:val="none"/>
                </w:rPr>
                <w:t>Current Business Outlook</w:t>
              </w:r>
            </w:hyperlink>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d54dccfbfc2441b99c01f1c1099ad60_97">
              <w:r>
                <w:rPr>
                  <w:rStyle w:val="InternetLink"/>
                  <w:rFonts w:ascii="Arial;sans-serif" w:hAnsi="Arial;sans-serif"/>
                  <w:b w:val="false"/>
                  <w:strike w:val="false"/>
                  <w:dstrike w:val="false"/>
                  <w:color w:val="000000"/>
                  <w:sz w:val="19"/>
                  <w:u w:val="none"/>
                  <w:effect w:val="none"/>
                </w:rPr>
                <w:t>29</w:t>
              </w:r>
            </w:hyperlink>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54dccfbfc2441b99c01f1c1099ad60_100">
              <w:r>
                <w:rPr>
                  <w:rStyle w:val="InternetLink"/>
                  <w:rFonts w:ascii="Arial;sans-serif" w:hAnsi="Arial;sans-serif"/>
                  <w:b w:val="false"/>
                  <w:strike w:val="false"/>
                  <w:dstrike w:val="false"/>
                  <w:color w:val="000000"/>
                  <w:sz w:val="19"/>
                  <w:u w:val="none"/>
                  <w:effect w:val="none"/>
                </w:rPr>
                <w:t>Consolidated Results of Operations</w:t>
              </w:r>
            </w:hyperlink>
            <w:r>
              <w:rPr>
                <w:rFonts w:ascii="Arial;sans-serif" w:hAnsi="Arial;sans-serif"/>
                <w:b w:val="false"/>
                <w:color w:val="000000"/>
                <w:sz w:val="19"/>
              </w:rPr>
              <w:t xml:space="preserve"> and Items Affecting Comparability</w:t>
            </w:r>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d54dccfbfc2441b99c01f1c1099ad60_100">
              <w:r>
                <w:rPr>
                  <w:rStyle w:val="InternetLink"/>
                  <w:rFonts w:ascii="Arial;sans-serif" w:hAnsi="Arial;sans-serif"/>
                  <w:b w:val="false"/>
                  <w:strike w:val="false"/>
                  <w:dstrike w:val="false"/>
                  <w:color w:val="000000"/>
                  <w:sz w:val="19"/>
                  <w:u w:val="none"/>
                  <w:effect w:val="none"/>
                </w:rPr>
                <w:t>30</w:t>
              </w:r>
            </w:hyperlink>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54dccfbfc2441b99c01f1c1099ad60_112">
              <w:r>
                <w:rPr>
                  <w:rStyle w:val="InternetLink"/>
                  <w:rFonts w:ascii="Arial;sans-serif" w:hAnsi="Arial;sans-serif"/>
                  <w:b w:val="false"/>
                  <w:strike w:val="false"/>
                  <w:dstrike w:val="false"/>
                  <w:color w:val="000000"/>
                  <w:sz w:val="19"/>
                  <w:u w:val="none"/>
                  <w:effect w:val="none"/>
                </w:rPr>
                <w:t>Segment Results of Operations</w:t>
              </w:r>
            </w:hyperlink>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d54dccfbfc2441b99c01f1c1099ad60_112">
              <w:r>
                <w:rPr>
                  <w:rStyle w:val="InternetLink"/>
                  <w:rFonts w:ascii="Arial;sans-serif" w:hAnsi="Arial;sans-serif"/>
                  <w:b w:val="false"/>
                  <w:strike w:val="false"/>
                  <w:dstrike w:val="false"/>
                  <w:color w:val="000000"/>
                  <w:sz w:val="19"/>
                  <w:u w:val="none"/>
                  <w:effect w:val="none"/>
                </w:rPr>
                <w:t>32</w:t>
              </w:r>
            </w:hyperlink>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54dccfbfc2441b99c01f1c1099ad60_130">
              <w:r>
                <w:rPr>
                  <w:rStyle w:val="InternetLink"/>
                  <w:rFonts w:ascii="Arial;sans-serif" w:hAnsi="Arial;sans-serif"/>
                  <w:b w:val="false"/>
                  <w:strike w:val="false"/>
                  <w:dstrike w:val="false"/>
                  <w:color w:val="000000"/>
                  <w:sz w:val="19"/>
                  <w:u w:val="none"/>
                  <w:effect w:val="none"/>
                </w:rPr>
                <w:t>Income Taxes</w:t>
              </w:r>
            </w:hyperlink>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d54dccfbfc2441b99c01f1c1099ad60_130">
              <w:r>
                <w:rPr>
                  <w:rStyle w:val="InternetLink"/>
                  <w:rFonts w:ascii="Arial;sans-serif" w:hAnsi="Arial;sans-serif"/>
                  <w:b w:val="false"/>
                  <w:strike w:val="false"/>
                  <w:dstrike w:val="false"/>
                  <w:color w:val="000000"/>
                  <w:sz w:val="19"/>
                  <w:u w:val="none"/>
                  <w:effect w:val="none"/>
                </w:rPr>
                <w:t>35</w:t>
              </w:r>
            </w:hyperlink>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54dccfbfc2441b99c01f1c1099ad60_133">
              <w:r>
                <w:rPr>
                  <w:rStyle w:val="InternetLink"/>
                  <w:rFonts w:ascii="Arial;sans-serif" w:hAnsi="Arial;sans-serif"/>
                  <w:b w:val="false"/>
                  <w:strike w:val="false"/>
                  <w:dstrike w:val="false"/>
                  <w:color w:val="000000"/>
                  <w:sz w:val="19"/>
                  <w:u w:val="none"/>
                  <w:effect w:val="none"/>
                </w:rPr>
                <w:t>Liquidity and Capital Resources</w:t>
              </w:r>
            </w:hyperlink>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d54dccfbfc2441b99c01f1c1099ad60_133">
              <w:r>
                <w:rPr>
                  <w:rStyle w:val="InternetLink"/>
                  <w:rFonts w:ascii="Arial;sans-serif" w:hAnsi="Arial;sans-serif"/>
                  <w:b w:val="false"/>
                  <w:strike w:val="false"/>
                  <w:dstrike w:val="false"/>
                  <w:color w:val="000000"/>
                  <w:sz w:val="19"/>
                  <w:u w:val="none"/>
                  <w:effect w:val="none"/>
                </w:rPr>
                <w:t>35</w:t>
              </w:r>
            </w:hyperlink>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54dccfbfc2441b99c01f1c1099ad60_136">
              <w:r>
                <w:rPr>
                  <w:rStyle w:val="InternetLink"/>
                  <w:rFonts w:ascii="Arial;sans-serif" w:hAnsi="Arial;sans-serif"/>
                  <w:b w:val="false"/>
                  <w:strike w:val="false"/>
                  <w:dstrike w:val="false"/>
                  <w:color w:val="000000"/>
                  <w:sz w:val="19"/>
                  <w:u w:val="none"/>
                  <w:effect w:val="none"/>
                </w:rPr>
                <w:t>Environmental Liabilities and Expenditures</w:t>
              </w:r>
            </w:hyperlink>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d54dccfbfc2441b99c01f1c1099ad60_136">
              <w:r>
                <w:rPr>
                  <w:rStyle w:val="InternetLink"/>
                  <w:rFonts w:ascii="Arial;sans-serif" w:hAnsi="Arial;sans-serif"/>
                  <w:b w:val="false"/>
                  <w:strike w:val="false"/>
                  <w:dstrike w:val="false"/>
                  <w:color w:val="000000"/>
                  <w:sz w:val="19"/>
                  <w:u w:val="none"/>
                  <w:effect w:val="none"/>
                </w:rPr>
                <w:t>36</w:t>
              </w:r>
            </w:hyperlink>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54dccfbfc2441b99c01f1c1099ad60_139">
              <w:r>
                <w:rPr>
                  <w:rStyle w:val="InternetLink"/>
                  <w:rFonts w:ascii="Arial;sans-serif" w:hAnsi="Arial;sans-serif"/>
                  <w:b w:val="false"/>
                  <w:strike w:val="false"/>
                  <w:dstrike w:val="false"/>
                  <w:color w:val="000000"/>
                  <w:sz w:val="19"/>
                  <w:u w:val="none"/>
                  <w:effect w:val="none"/>
                </w:rPr>
                <w:t>Lawsuits, Claims, Commitments and Contingencies</w:t>
              </w:r>
            </w:hyperlink>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d54dccfbfc2441b99c01f1c1099ad60_139">
              <w:r>
                <w:rPr>
                  <w:rStyle w:val="InternetLink"/>
                  <w:rFonts w:ascii="Arial;sans-serif" w:hAnsi="Arial;sans-serif"/>
                  <w:b w:val="false"/>
                  <w:strike w:val="false"/>
                  <w:dstrike w:val="false"/>
                  <w:color w:val="000000"/>
                  <w:sz w:val="19"/>
                  <w:u w:val="none"/>
                  <w:effect w:val="none"/>
                </w:rPr>
                <w:t>36</w:t>
              </w:r>
            </w:hyperlink>
          </w:p>
        </w:tc>
      </w:tr>
      <w:tr>
        <w:trPr/>
        <w:tc>
          <w:tcPr>
            <w:tcW w:w="9361"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9"/>
              </w:rPr>
              <w:t xml:space="preserve">Item 3. </w:t>
            </w:r>
            <w:hyperlink w:anchor="i3d54dccfbfc2441b99c01f1c1099ad60_142">
              <w:r>
                <w:rPr>
                  <w:rStyle w:val="InternetLink"/>
                  <w:rFonts w:ascii="Arial;sans-serif" w:hAnsi="Arial;sans-serif"/>
                  <w:b/>
                  <w:strike w:val="false"/>
                  <w:dstrike w:val="false"/>
                  <w:color w:val="000000"/>
                  <w:sz w:val="19"/>
                  <w:u w:val="none"/>
                  <w:effect w:val="none"/>
                </w:rPr>
                <w:t>Quantitative and Qualitative Disclosures About Market Risk</w:t>
              </w:r>
            </w:hyperlink>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d54dccfbfc2441b99c01f1c1099ad60_142">
              <w:r>
                <w:rPr>
                  <w:rStyle w:val="InternetLink"/>
                  <w:rFonts w:ascii="Arial;sans-serif" w:hAnsi="Arial;sans-serif"/>
                  <w:b w:val="false"/>
                  <w:strike w:val="false"/>
                  <w:dstrike w:val="false"/>
                  <w:color w:val="000000"/>
                  <w:sz w:val="19"/>
                  <w:u w:val="none"/>
                  <w:effect w:val="none"/>
                </w:rPr>
                <w:t>37</w:t>
              </w:r>
            </w:hyperlink>
          </w:p>
        </w:tc>
      </w:tr>
      <w:tr>
        <w:trPr/>
        <w:tc>
          <w:tcPr>
            <w:tcW w:w="9361" w:type="dxa"/>
            <w:gridSpan w:val="6"/>
            <w:tcBorders>
              <w:bottom w:val="single" w:sz="12" w:space="0" w:color="00539B"/>
            </w:tcBorders>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19"/>
              </w:rPr>
              <w:t xml:space="preserve">Item 4. </w:t>
            </w:r>
            <w:hyperlink w:anchor="i3d54dccfbfc2441b99c01f1c1099ad60_145">
              <w:r>
                <w:rPr>
                  <w:rStyle w:val="InternetLink"/>
                  <w:rFonts w:ascii="Arial;sans-serif" w:hAnsi="Arial;sans-serif"/>
                  <w:b/>
                  <w:strike w:val="false"/>
                  <w:dstrike w:val="false"/>
                  <w:color w:val="000000"/>
                  <w:sz w:val="19"/>
                  <w:u w:val="none"/>
                  <w:effect w:val="none"/>
                </w:rPr>
                <w:t>Controls and Procedures</w:t>
              </w:r>
            </w:hyperlink>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d54dccfbfc2441b99c01f1c1099ad60_145">
              <w:r>
                <w:rPr>
                  <w:rStyle w:val="InternetLink"/>
                  <w:rFonts w:ascii="Arial;sans-serif" w:hAnsi="Arial;sans-serif"/>
                  <w:b w:val="false"/>
                  <w:strike w:val="false"/>
                  <w:dstrike w:val="false"/>
                  <w:color w:val="000000"/>
                  <w:sz w:val="19"/>
                  <w:u w:val="none"/>
                  <w:effect w:val="none"/>
                </w:rPr>
                <w:t>37</w:t>
              </w:r>
            </w:hyperlink>
          </w:p>
        </w:tc>
      </w:tr>
      <w:tr>
        <w:trPr/>
        <w:tc>
          <w:tcPr>
            <w:tcW w:w="9361" w:type="dxa"/>
            <w:gridSpan w:val="6"/>
            <w:tcBorders>
              <w:top w:val="single" w:sz="12" w:space="0" w:color="00539B"/>
              <w:bottom w:val="single" w:sz="12" w:space="0" w:color="00539B"/>
            </w:tcBorders>
            <w:tcMar>
              <w:top w:w="52" w:type="dxa"/>
              <w:left w:w="0" w:type="dxa"/>
              <w:bottom w:w="30" w:type="dxa"/>
              <w:right w:w="0" w:type="dxa"/>
            </w:tcMar>
            <w:vAlign w:val="center"/>
          </w:tcPr>
          <w:p>
            <w:pPr>
              <w:pStyle w:val="TableContents"/>
              <w:bidi w:val="0"/>
              <w:spacing w:lineRule="auto" w:line="240" w:before="0" w:after="0"/>
              <w:jc w:val="left"/>
              <w:rPr/>
            </w:pPr>
            <w:hyperlink w:anchor="i3d54dccfbfc2441b99c01f1c1099ad60_148">
              <w:r>
                <w:rPr>
                  <w:rStyle w:val="InternetLink"/>
                  <w:rFonts w:ascii="Arial;sans-serif" w:hAnsi="Arial;sans-serif"/>
                  <w:b/>
                  <w:strike w:val="false"/>
                  <w:dstrike w:val="false"/>
                  <w:color w:val="000000"/>
                  <w:sz w:val="19"/>
                  <w:u w:val="none"/>
                  <w:effect w:val="none"/>
                </w:rPr>
                <w:t>Part II - Other Information</w:t>
              </w:r>
            </w:hyperlink>
          </w:p>
        </w:tc>
        <w:tc>
          <w:tcPr>
            <w:tcW w:w="844" w:type="dxa"/>
            <w:gridSpan w:val="3"/>
            <w:tcBorders>
              <w:top w:val="single" w:sz="12" w:space="0" w:color="00539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1" w:type="dxa"/>
            <w:gridSpan w:val="6"/>
            <w:tcBorders>
              <w:top w:val="single" w:sz="12" w:space="0" w:color="00539B"/>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9"/>
              </w:rPr>
              <w:t xml:space="preserve">Item 1. </w:t>
            </w:r>
            <w:hyperlink w:anchor="i3d54dccfbfc2441b99c01f1c1099ad60_151">
              <w:r>
                <w:rPr>
                  <w:rStyle w:val="InternetLink"/>
                  <w:rFonts w:ascii="Arial;sans-serif" w:hAnsi="Arial;sans-serif"/>
                  <w:b/>
                  <w:strike w:val="false"/>
                  <w:dstrike w:val="false"/>
                  <w:color w:val="000000"/>
                  <w:sz w:val="19"/>
                  <w:u w:val="none"/>
                  <w:effect w:val="none"/>
                </w:rPr>
                <w:t>Legal Proceedings</w:t>
              </w:r>
            </w:hyperlink>
          </w:p>
        </w:tc>
        <w:tc>
          <w:tcPr>
            <w:tcW w:w="844" w:type="dxa"/>
            <w:gridSpan w:val="3"/>
            <w:tcBorders>
              <w:top w:val="single" w:sz="12" w:space="0" w:color="00539B"/>
            </w:tcBorders>
            <w:tcMar>
              <w:top w:w="52" w:type="dxa"/>
              <w:left w:w="0" w:type="dxa"/>
              <w:bottom w:w="0" w:type="dxa"/>
              <w:right w:w="0" w:type="dxa"/>
            </w:tcMar>
            <w:vAlign w:val="center"/>
          </w:tcPr>
          <w:p>
            <w:pPr>
              <w:pStyle w:val="TableContents"/>
              <w:bidi w:val="0"/>
              <w:spacing w:lineRule="auto" w:line="240" w:before="0" w:after="0"/>
              <w:jc w:val="center"/>
              <w:rPr/>
            </w:pPr>
            <w:hyperlink w:anchor="i3d54dccfbfc2441b99c01f1c1099ad60_151">
              <w:r>
                <w:rPr>
                  <w:rStyle w:val="InternetLink"/>
                  <w:rFonts w:ascii="Arial;sans-serif" w:hAnsi="Arial;sans-serif"/>
                  <w:b w:val="false"/>
                  <w:strike w:val="false"/>
                  <w:dstrike w:val="false"/>
                  <w:color w:val="000000"/>
                  <w:sz w:val="19"/>
                  <w:u w:val="none"/>
                  <w:effect w:val="none"/>
                </w:rPr>
                <w:t>37</w:t>
              </w:r>
            </w:hyperlink>
          </w:p>
        </w:tc>
      </w:tr>
      <w:tr>
        <w:trPr/>
        <w:tc>
          <w:tcPr>
            <w:tcW w:w="9361"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9"/>
              </w:rPr>
              <w:t xml:space="preserve">Item 1A. </w:t>
            </w:r>
            <w:hyperlink w:anchor="i3d54dccfbfc2441b99c01f1c1099ad60_154">
              <w:r>
                <w:rPr>
                  <w:rStyle w:val="InternetLink"/>
                  <w:rFonts w:ascii="Arial;sans-serif" w:hAnsi="Arial;sans-serif"/>
                  <w:b/>
                  <w:strike w:val="false"/>
                  <w:dstrike w:val="false"/>
                  <w:color w:val="000000"/>
                  <w:sz w:val="19"/>
                  <w:u w:val="none"/>
                  <w:effect w:val="none"/>
                </w:rPr>
                <w:t>Risk Factors</w:t>
              </w:r>
            </w:hyperlink>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d54dccfbfc2441b99c01f1c1099ad60_154">
              <w:r>
                <w:rPr>
                  <w:rStyle w:val="InternetLink"/>
                  <w:rFonts w:ascii="Arial;sans-serif" w:hAnsi="Arial;sans-serif"/>
                  <w:b w:val="false"/>
                  <w:strike w:val="false"/>
                  <w:dstrike w:val="false"/>
                  <w:color w:val="000000"/>
                  <w:sz w:val="19"/>
                  <w:u w:val="none"/>
                  <w:effect w:val="none"/>
                </w:rPr>
                <w:t>37</w:t>
              </w:r>
            </w:hyperlink>
          </w:p>
        </w:tc>
      </w:tr>
      <w:tr>
        <w:trPr/>
        <w:tc>
          <w:tcPr>
            <w:tcW w:w="9361"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9"/>
              </w:rPr>
              <w:t xml:space="preserve">Item 2. </w:t>
            </w:r>
            <w:hyperlink w:anchor="i3d54dccfbfc2441b99c01f1c1099ad60_157">
              <w:r>
                <w:rPr>
                  <w:rStyle w:val="InternetLink"/>
                  <w:rFonts w:ascii="Arial;sans-serif" w:hAnsi="Arial;sans-serif"/>
                  <w:b/>
                  <w:strike w:val="false"/>
                  <w:dstrike w:val="false"/>
                  <w:color w:val="000000"/>
                  <w:sz w:val="19"/>
                  <w:u w:val="none"/>
                  <w:effect w:val="none"/>
                </w:rPr>
                <w:t>Unregistered Sales of Equity Securities</w:t>
              </w:r>
            </w:hyperlink>
            <w:r>
              <w:rPr>
                <w:rFonts w:ascii="Arial;sans-serif" w:hAnsi="Arial;sans-serif"/>
                <w:b/>
                <w:color w:val="000000"/>
                <w:sz w:val="19"/>
              </w:rPr>
              <w:t xml:space="preserve"> and Use of Proceeds</w:t>
            </w:r>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d54dccfbfc2441b99c01f1c1099ad60_157">
              <w:r>
                <w:rPr>
                  <w:rStyle w:val="InternetLink"/>
                  <w:rFonts w:ascii="Arial;sans-serif" w:hAnsi="Arial;sans-serif"/>
                  <w:b w:val="false"/>
                  <w:strike w:val="false"/>
                  <w:dstrike w:val="false"/>
                  <w:color w:val="000000"/>
                  <w:sz w:val="19"/>
                  <w:u w:val="none"/>
                  <w:effect w:val="none"/>
                </w:rPr>
                <w:t>37</w:t>
              </w:r>
            </w:hyperlink>
          </w:p>
        </w:tc>
      </w:tr>
      <w:tr>
        <w:trPr/>
        <w:tc>
          <w:tcPr>
            <w:tcW w:w="93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d54dccfbfc2441b99c01f1c1099ad60_160">
              <w:r>
                <w:rPr>
                  <w:rStyle w:val="InternetLink"/>
                  <w:rFonts w:ascii="Arial;sans-serif" w:hAnsi="Arial;sans-serif"/>
                  <w:b/>
                  <w:strike w:val="false"/>
                  <w:dstrike w:val="false"/>
                  <w:color w:val="000000"/>
                  <w:sz w:val="19"/>
                  <w:u w:val="none"/>
                  <w:effect w:val="none"/>
                </w:rPr>
                <w:t>Item 5. Other Information</w:t>
              </w:r>
            </w:hyperlink>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d54dccfbfc2441b99c01f1c1099ad60_160">
              <w:r>
                <w:rPr>
                  <w:rStyle w:val="InternetLink"/>
                  <w:rFonts w:ascii="Arial;sans-serif" w:hAnsi="Arial;sans-serif"/>
                  <w:b w:val="false"/>
                  <w:strike w:val="false"/>
                  <w:dstrike w:val="false"/>
                  <w:color w:val="000000"/>
                  <w:sz w:val="19"/>
                  <w:u w:val="none"/>
                  <w:effect w:val="none"/>
                </w:rPr>
                <w:t>37</w:t>
              </w:r>
            </w:hyperlink>
          </w:p>
        </w:tc>
      </w:tr>
      <w:tr>
        <w:trPr/>
        <w:tc>
          <w:tcPr>
            <w:tcW w:w="9361"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9"/>
              </w:rPr>
              <w:t xml:space="preserve">Item 6. </w:t>
            </w:r>
            <w:hyperlink w:anchor="i3d54dccfbfc2441b99c01f1c1099ad60_163">
              <w:r>
                <w:rPr>
                  <w:rStyle w:val="InternetLink"/>
                  <w:rFonts w:ascii="Arial;sans-serif" w:hAnsi="Arial;sans-serif"/>
                  <w:b/>
                  <w:strike w:val="false"/>
                  <w:dstrike w:val="false"/>
                  <w:color w:val="000000"/>
                  <w:sz w:val="19"/>
                  <w:u w:val="none"/>
                  <w:effect w:val="none"/>
                </w:rPr>
                <w:t>Exhibits</w:t>
              </w:r>
            </w:hyperlink>
          </w:p>
        </w:tc>
        <w:tc>
          <w:tcPr>
            <w:tcW w:w="8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d54dccfbfc2441b99c01f1c1099ad60_163">
              <w:r>
                <w:rPr>
                  <w:rStyle w:val="InternetLink"/>
                  <w:rFonts w:ascii="Arial;sans-serif" w:hAnsi="Arial;sans-serif"/>
                  <w:b w:val="false"/>
                  <w:strike w:val="false"/>
                  <w:dstrike w:val="false"/>
                  <w:color w:val="000000"/>
                  <w:sz w:val="19"/>
                  <w:u w:val="none"/>
                  <w:effect w:val="none"/>
                </w:rPr>
                <w:t>38</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539B"/>
          <w:sz w:val="23"/>
        </w:rPr>
      </w:pPr>
      <w:r>
        <w:rPr>
          <w:rFonts w:ascii="Arial;sans-serif" w:hAnsi="Arial;sans-serif"/>
          <w:b/>
          <w:color w:val="00539B"/>
          <w:sz w:val="23"/>
        </w:rPr>
        <w:t>DEFINED TERMS AND ABBREVIATIONS USED WITHIN THIS DOCUMENT    </w:t>
      </w:r>
    </w:p>
    <w:tbl>
      <w:tblPr>
        <w:tblW w:w="10205" w:type="dxa"/>
        <w:jc w:val="left"/>
        <w:tblInd w:w="0" w:type="dxa"/>
        <w:tblLayout w:type="fixed"/>
        <w:tblCellMar>
          <w:top w:w="28" w:type="dxa"/>
          <w:left w:w="28" w:type="dxa"/>
          <w:bottom w:w="28" w:type="dxa"/>
          <w:right w:w="28" w:type="dxa"/>
        </w:tblCellMar>
      </w:tblPr>
      <w:tblGrid>
        <w:gridCol w:w="620"/>
        <w:gridCol w:w="485"/>
        <w:gridCol w:w="493"/>
        <w:gridCol w:w="2631"/>
        <w:gridCol w:w="2501"/>
        <w:gridCol w:w="3475"/>
      </w:tblGrid>
      <w:tr>
        <w:trPr/>
        <w:tc>
          <w:tcPr>
            <w:tcW w:w="62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631"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sz w:val="4"/>
                <w:szCs w:val="4"/>
              </w:rPr>
            </w:pPr>
            <w:r>
              <w:rPr>
                <w:sz w:val="4"/>
                <w:szCs w:val="4"/>
              </w:rPr>
            </w:r>
          </w:p>
        </w:tc>
        <w:tc>
          <w:tcPr>
            <w:tcW w:w="3475" w:type="dxa"/>
            <w:tcBorders/>
            <w:vAlign w:val="center"/>
          </w:tcPr>
          <w:p>
            <w:pPr>
              <w:pStyle w:val="TableContents"/>
              <w:bidi w:val="0"/>
              <w:spacing w:before="0" w:after="283"/>
              <w:jc w:val="left"/>
              <w:rPr>
                <w:sz w:val="4"/>
                <w:szCs w:val="4"/>
              </w:rPr>
            </w:pPr>
            <w:r>
              <w:rPr>
                <w:sz w:val="4"/>
                <w:szCs w:val="4"/>
              </w:rPr>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$/Bbl</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price per barrel</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Anadarko</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Anadarko Petroleum Corporation and its consolidated subsidiaries</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AOC</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Administrative Order on Consent</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Bcf</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billions of cubic feet</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Berkshire Hathaway</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Berkshire Hathaway Inc.</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Berkshire Warrants</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warrants issued on August 8, 2019 to Berkshire Hathaway with a $59.59 strike price</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BlackRock</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BlackRock Inc.</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Boe</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barrels of oil equivalent</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CERCLA</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Environmental Response, Compensation, and Liability Act</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w:t>
            </w:r>
            <w:r>
              <w:rPr>
                <w:rFonts w:ascii="Arial;sans-serif" w:hAnsi="Arial;sans-serif"/>
                <w:b w:val="false"/>
                <w:color w:val="000000"/>
                <w:sz w:val="12"/>
              </w:rPr>
              <w:t>2</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carbon dioxide</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ind w:left="0" w:right="0" w:hanging="360"/>
              <w:jc w:val="left"/>
              <w:rPr>
                <w:rFonts w:ascii="Arial;sans-serif" w:hAnsi="Arial;sans-serif"/>
                <w:b w:val="false"/>
                <w:color w:val="000000"/>
                <w:sz w:val="18"/>
              </w:rPr>
            </w:pPr>
            <w:r>
              <w:rPr>
                <w:rFonts w:ascii="Arial;sans-serif" w:hAnsi="Arial;sans-serif"/>
                <w:b w:val="false"/>
                <w:color w:val="000000"/>
                <w:sz w:val="18"/>
              </w:rPr>
              <w:t>the Company</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Occidental and/or one or more entities in which it owns a controlling interest (subsidiaries)</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 Warrants</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warrants issued to holders of Occidental common stock with a strike price of $22.00, listed on the NYSE under the symbol "OXY.WS"</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DASS</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Diamond Alkali Superfund Site</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EPA</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Environmental Protection Agency</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EPS</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share</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GHG</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greenhouse gas, primarily including carbon dioxide and methane</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HSE</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health, safety and environmental</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IAC</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Items Affecting Comparability</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LOE</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operating expense</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Mbbl</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thousands of barrels</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Mboe</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thousands of barrels equivalent</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Mboe/d</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thousands of barrels equivalent per day</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Mcf</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thousands of cubic feet</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MMbbl</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millions of barrels</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MMcf</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millions of cubic feet</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NCI</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NGL</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natural gas liquids</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NPL</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National Priorities List</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ind w:left="0" w:right="0" w:hanging="360"/>
              <w:jc w:val="left"/>
              <w:rPr>
                <w:rFonts w:ascii="Arial;sans-serif" w:hAnsi="Arial;sans-serif"/>
                <w:b w:val="false"/>
                <w:color w:val="000000"/>
                <w:sz w:val="18"/>
              </w:rPr>
            </w:pPr>
            <w:r>
              <w:rPr>
                <w:rFonts w:ascii="Arial;sans-serif" w:hAnsi="Arial;sans-serif"/>
                <w:b w:val="false"/>
                <w:color w:val="000000"/>
                <w:sz w:val="18"/>
              </w:rPr>
              <w:t>Occidental</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Occidental Petroleum Corporation, a Delaware corporation</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OPEC</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Organization of the Petroleum Exporting Countries</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Operable Unit</w:t>
            </w:r>
          </w:p>
        </w:tc>
      </w:tr>
      <w:tr>
        <w:trPr/>
        <w:tc>
          <w:tcPr>
            <w:tcW w:w="159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OxyChem</w:t>
            </w:r>
          </w:p>
        </w:tc>
        <w:tc>
          <w:tcPr>
            <w:tcW w:w="860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Occidental Chemical Corporation, a Texas corporation, and its consolidated subsidiaries</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OxyChem Transaction</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sale of all of the issued and outstanding equity interests in OxyChem to Berkshire Hathaway pursuant to a purchase and sale agreement dated October 2, 2025, which closed on January 2, 2026</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RCF</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revolving credit facility</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ROD</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Record of Decision</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Securities and Exchange Commission</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Waha</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natural gas trading hub in the Permian Basin</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WES</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Western Midstream Partners, LP</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WES Operating</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Western Midstream Operating, LP</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WTI</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West Texas Intermediate</w:t>
            </w:r>
          </w:p>
        </w:tc>
      </w:tr>
      <w:tr>
        <w:trPr/>
        <w:tc>
          <w:tcPr>
            <w:tcW w:w="1598" w:type="dxa"/>
            <w:gridSpan w:val="3"/>
            <w:tcBorders/>
            <w:tcMar>
              <w:top w:w="0" w:type="dxa"/>
              <w:left w:w="0" w:type="dxa"/>
              <w:bottom w:w="0" w:type="dxa"/>
              <w:right w:w="0" w:type="dxa"/>
            </w:tcMar>
            <w:vAlign w:val="center"/>
          </w:tcPr>
          <w:p>
            <w:pPr>
              <w:pStyle w:val="TableContents"/>
              <w:bidi w:val="0"/>
              <w:spacing w:lineRule="auto" w:line="240" w:before="0" w:after="283"/>
              <w:ind w:left="0" w:right="0" w:hanging="360"/>
              <w:jc w:val="left"/>
              <w:rPr>
                <w:rFonts w:ascii="Arial;sans-serif" w:hAnsi="Arial;sans-serif"/>
                <w:b w:val="false"/>
                <w:color w:val="000000"/>
                <w:sz w:val="18"/>
              </w:rPr>
            </w:pPr>
            <w:r>
              <w:rPr>
                <w:rFonts w:ascii="Arial;sans-serif" w:hAnsi="Arial;sans-serif"/>
                <w:b w:val="false"/>
                <w:color w:val="000000"/>
                <w:sz w:val="18"/>
              </w:rPr>
              <w:t>2025 Form 10-K</w:t>
            </w:r>
          </w:p>
        </w:tc>
        <w:tc>
          <w:tcPr>
            <w:tcW w:w="8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Occidental's Annual Report on Form 10-K for the year ended December 31, 2025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539B"/>
          <w:sz w:val="24"/>
        </w:rPr>
      </w:pPr>
      <w:r>
        <w:rPr>
          <w:rFonts w:ascii="Arial;sans-serif" w:hAnsi="Arial;sans-serif"/>
          <w:b/>
          <w:color w:val="00539B"/>
          <w:sz w:val="24"/>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539B"/>
          <w:sz w:val="23"/>
        </w:rPr>
      </w:pPr>
      <w:r>
        <w:rPr>
          <w:rFonts w:ascii="Arial;sans-serif" w:hAnsi="Arial;sans-serif"/>
          <w:b/>
          <w:color w:val="00539B"/>
          <w:sz w:val="23"/>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080"/>
        <w:gridCol w:w="1829"/>
        <w:gridCol w:w="1835"/>
        <w:gridCol w:w="1305"/>
        <w:gridCol w:w="1305"/>
        <w:gridCol w:w="1851"/>
      </w:tblGrid>
      <w:tr>
        <w:trPr/>
        <w:tc>
          <w:tcPr>
            <w:tcW w:w="2080"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28"/>
              </w:rPr>
            </w:pPr>
            <w:r>
              <w:rPr>
                <w:rFonts w:ascii="Arial;sans-serif" w:hAnsi="Arial;sans-serif"/>
                <w:b/>
                <w:color w:val="00539B"/>
                <w:sz w:val="28"/>
              </w:rPr>
              <w:t>Consolidated Condensed Balance Sheets</w:t>
            </w:r>
          </w:p>
        </w:tc>
        <w:tc>
          <w:tcPr>
            <w:tcW w:w="44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Occidental Petroleum Corporation and Subsidiaries</w:t>
            </w:r>
          </w:p>
        </w:tc>
      </w:tr>
    </w:tbl>
    <w:tbl>
      <w:tblPr>
        <w:tblW w:w="7980" w:type="dxa"/>
        <w:jc w:val="left"/>
        <w:tblInd w:w="0" w:type="dxa"/>
        <w:tblLayout w:type="fixed"/>
        <w:tblCellMar>
          <w:top w:w="28" w:type="dxa"/>
          <w:left w:w="28" w:type="dxa"/>
          <w:bottom w:w="28" w:type="dxa"/>
          <w:right w:w="28" w:type="dxa"/>
        </w:tblCellMar>
      </w:tblPr>
      <w:tblGrid>
        <w:gridCol w:w="1721"/>
        <w:gridCol w:w="1507"/>
        <w:gridCol w:w="1542"/>
        <w:gridCol w:w="269"/>
        <w:gridCol w:w="957"/>
        <w:gridCol w:w="139"/>
        <w:gridCol w:w="349"/>
        <w:gridCol w:w="1242"/>
        <w:gridCol w:w="254"/>
      </w:tblGrid>
      <w:tr>
        <w:trPr/>
        <w:tc>
          <w:tcPr>
            <w:tcW w:w="1721"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13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June 30, 2026</w:t>
            </w:r>
          </w:p>
        </w:tc>
        <w:tc>
          <w:tcPr>
            <w:tcW w:w="18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December 31, 2025</w:t>
            </w:r>
          </w:p>
        </w:tc>
      </w:tr>
      <w:tr>
        <w:trPr/>
        <w:tc>
          <w:tcPr>
            <w:tcW w:w="47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ASSETS</w:t>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and cash equivalents</w:t>
            </w:r>
          </w:p>
        </w:tc>
        <w:tc>
          <w:tcPr>
            <w:tcW w:w="26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5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4,150</w:t>
            </w:r>
            <w:r>
              <w:rPr>
                <w:color w:val="00539B"/>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1,968 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Trade receivables, net of reserves</w:t>
            </w:r>
          </w:p>
        </w:tc>
        <w:tc>
          <w:tcPr>
            <w:tcW w:w="12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3,142</w:t>
            </w:r>
            <w:r>
              <w:rPr>
                <w:color w:val="00539B"/>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2,575 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Joint interest receivables</w:t>
            </w:r>
          </w:p>
        </w:tc>
        <w:tc>
          <w:tcPr>
            <w:tcW w:w="12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902</w:t>
            </w:r>
            <w:r>
              <w:rPr>
                <w:color w:val="00539B"/>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684 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Inventories</w:t>
            </w:r>
          </w:p>
        </w:tc>
        <w:tc>
          <w:tcPr>
            <w:tcW w:w="12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2,185</w:t>
            </w:r>
            <w:r>
              <w:rPr>
                <w:color w:val="00539B"/>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1,823 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current assets</w:t>
            </w:r>
          </w:p>
        </w:tc>
        <w:tc>
          <w:tcPr>
            <w:tcW w:w="12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753</w:t>
            </w:r>
            <w:r>
              <w:rPr>
                <w:color w:val="00539B"/>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601 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Current assets held for sale</w:t>
            </w:r>
          </w:p>
        </w:tc>
        <w:tc>
          <w:tcPr>
            <w:tcW w:w="12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1,176 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current assets</w:t>
            </w:r>
          </w:p>
        </w:tc>
        <w:tc>
          <w:tcPr>
            <w:tcW w:w="12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11,132</w:t>
            </w:r>
            <w:r>
              <w:rPr>
                <w:color w:val="00539B"/>
              </w:rPr>
              <w:t> </w:t>
            </w:r>
          </w:p>
        </w:tc>
        <w:tc>
          <w:tcPr>
            <w:tcW w:w="13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8,827 </w:t>
            </w:r>
          </w:p>
        </w:tc>
        <w:tc>
          <w:tcPr>
            <w:tcW w:w="2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Property, plant and equipment, gross</w:t>
            </w:r>
          </w:p>
        </w:tc>
        <w:tc>
          <w:tcPr>
            <w:tcW w:w="12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134,409</w:t>
            </w:r>
            <w:r>
              <w:rPr>
                <w:color w:val="00539B"/>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137,753 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Accumulated depreciation, depletion and amortization</w:t>
            </w:r>
          </w:p>
        </w:tc>
        <w:tc>
          <w:tcPr>
            <w:tcW w:w="12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(71,809)</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(74,110)</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property, plant and equipment, net</w:t>
            </w:r>
          </w:p>
        </w:tc>
        <w:tc>
          <w:tcPr>
            <w:tcW w:w="12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62,600</w:t>
            </w:r>
            <w:r>
              <w:rPr>
                <w:color w:val="00539B"/>
              </w:rPr>
              <w:t> </w:t>
            </w:r>
          </w:p>
        </w:tc>
        <w:tc>
          <w:tcPr>
            <w:tcW w:w="13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63,643 </w:t>
            </w:r>
          </w:p>
        </w:tc>
        <w:tc>
          <w:tcPr>
            <w:tcW w:w="2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lease assets</w:t>
            </w:r>
          </w:p>
        </w:tc>
        <w:tc>
          <w:tcPr>
            <w:tcW w:w="12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829</w:t>
            </w:r>
            <w:r>
              <w:rPr>
                <w:color w:val="00539B"/>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908 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Investments in unconsolidated entities</w:t>
            </w:r>
          </w:p>
        </w:tc>
        <w:tc>
          <w:tcPr>
            <w:tcW w:w="12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2,569</w:t>
            </w:r>
            <w:r>
              <w:rPr>
                <w:color w:val="00539B"/>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2,475 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Non-current assets held for sale</w:t>
            </w:r>
          </w:p>
        </w:tc>
        <w:tc>
          <w:tcPr>
            <w:tcW w:w="12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5,344 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long-term assets</w:t>
            </w:r>
          </w:p>
        </w:tc>
        <w:tc>
          <w:tcPr>
            <w:tcW w:w="12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3,228</w:t>
            </w:r>
            <w:r>
              <w:rPr>
                <w:color w:val="00539B"/>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2,989 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non-current assets</w:t>
            </w:r>
          </w:p>
        </w:tc>
        <w:tc>
          <w:tcPr>
            <w:tcW w:w="12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6,626</w:t>
            </w:r>
            <w:r>
              <w:rPr>
                <w:color w:val="00539B"/>
              </w:rPr>
              <w:t> </w:t>
            </w:r>
          </w:p>
        </w:tc>
        <w:tc>
          <w:tcPr>
            <w:tcW w:w="13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11,716 </w:t>
            </w:r>
          </w:p>
        </w:tc>
        <w:tc>
          <w:tcPr>
            <w:tcW w:w="2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ASSETS</w:t>
            </w:r>
          </w:p>
        </w:tc>
        <w:tc>
          <w:tcPr>
            <w:tcW w:w="26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5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80,358</w:t>
            </w:r>
            <w:r>
              <w:rPr>
                <w:color w:val="00539B"/>
              </w:rPr>
              <w:t> </w:t>
            </w:r>
          </w:p>
        </w:tc>
        <w:tc>
          <w:tcPr>
            <w:tcW w:w="13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4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84,186 </w:t>
            </w:r>
          </w:p>
        </w:tc>
        <w:tc>
          <w:tcPr>
            <w:tcW w:w="25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951"/>
        <w:gridCol w:w="2526"/>
        <w:gridCol w:w="2540"/>
        <w:gridCol w:w="211"/>
        <w:gridCol w:w="751"/>
        <w:gridCol w:w="109"/>
        <w:gridCol w:w="211"/>
        <w:gridCol w:w="751"/>
        <w:gridCol w:w="155"/>
      </w:tblGrid>
      <w:tr>
        <w:trPr/>
        <w:tc>
          <w:tcPr>
            <w:tcW w:w="2951" w:type="dxa"/>
            <w:tcBorders/>
            <w:vAlign w:val="center"/>
          </w:tcPr>
          <w:p>
            <w:pPr>
              <w:pStyle w:val="TableContents"/>
              <w:bidi w:val="0"/>
              <w:spacing w:before="0" w:after="283"/>
              <w:jc w:val="left"/>
              <w:rPr>
                <w:sz w:val="4"/>
                <w:szCs w:val="4"/>
              </w:rPr>
            </w:pPr>
            <w:r>
              <w:rPr>
                <w:sz w:val="4"/>
                <w:szCs w:val="4"/>
              </w:rPr>
            </w:r>
          </w:p>
        </w:tc>
        <w:tc>
          <w:tcPr>
            <w:tcW w:w="2526"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LIABILITIES</w:t>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Current maturities of long-term debt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203</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1,773 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Accounts payable</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3,572</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3,285 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Accrued liabilities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4,117</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3,592 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Liabilities held for sale</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current liabilities</w:t>
            </w:r>
          </w:p>
        </w:tc>
        <w:tc>
          <w:tcPr>
            <w:tcW w:w="9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7,892</w:t>
            </w:r>
            <w:r>
              <w:rPr>
                <w:color w:val="00539B"/>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9,428 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Long-term debt, net</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13,540</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20,623 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Deferred income taxes, net</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5,671</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5,636 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Asset retirement obligations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3,656</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4,172 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Non-current liabilities held for sale</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deferred credits and liabilities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7,218</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7,311 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deferred credits and other liabilities</w:t>
            </w:r>
          </w:p>
        </w:tc>
        <w:tc>
          <w:tcPr>
            <w:tcW w:w="9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16,545</w:t>
            </w:r>
            <w:r>
              <w:rPr>
                <w:color w:val="00539B"/>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17,537 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EQUITY</w:t>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9"/>
              </w:rPr>
            </w:pPr>
            <w:r>
              <w:rPr>
                <w:rFonts w:ascii="Arial;sans-serif" w:hAnsi="Arial;sans-serif"/>
                <w:b w:val="false"/>
                <w:color w:val="000000"/>
                <w:sz w:val="19"/>
              </w:rPr>
              <w:t>Preferred stock, at $1.00 per share par value, issued shares: 2026 — 84,897 and 2025 —84,897</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8,287</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8,287 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9"/>
              </w:rPr>
            </w:pPr>
            <w:r>
              <w:rPr>
                <w:rFonts w:ascii="Arial;sans-serif" w:hAnsi="Arial;sans-serif"/>
                <w:b w:val="false"/>
                <w:color w:val="000000"/>
                <w:sz w:val="19"/>
              </w:rPr>
              <w:t>Common stock, at $0.20 per share par value, authorized shares: 1.5 billion, issued shares: 2026 — 1,230,039,058 and 2025 — 1,214,337,600</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246</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9"/>
              </w:rPr>
            </w:pPr>
            <w:r>
              <w:rPr>
                <w:rFonts w:ascii="Arial;sans-serif" w:hAnsi="Arial;sans-serif"/>
                <w:b w:val="false"/>
                <w:color w:val="000000"/>
                <w:sz w:val="19"/>
              </w:rPr>
              <w:t>Treasury stock: 2026 — 230,330,507 shares and 2025 — 228,311,184 shares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(15,714)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(15,597)</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Additional paid-in capital</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21,386</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21,008 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Retained earnings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27,350</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21,891 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Accumulated other comprehensive income</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191</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stockholders' equity</w:t>
            </w:r>
          </w:p>
        </w:tc>
        <w:tc>
          <w:tcPr>
            <w:tcW w:w="9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41,746</w:t>
            </w:r>
            <w:r>
              <w:rPr>
                <w:color w:val="00539B"/>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36,034 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Noncontrolling interest</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635</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equity</w:t>
            </w:r>
          </w:p>
        </w:tc>
        <w:tc>
          <w:tcPr>
            <w:tcW w:w="9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42,381</w:t>
            </w:r>
            <w:r>
              <w:rPr>
                <w:color w:val="00539B"/>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36,598 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LIABILITIES AND EQUITY</w:t>
            </w:r>
          </w:p>
        </w:tc>
        <w:tc>
          <w:tcPr>
            <w:tcW w:w="21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75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80,358</w:t>
            </w:r>
            <w:r>
              <w:rPr>
                <w:color w:val="00539B"/>
              </w:rPr>
              <w:t> </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84,186 </w:t>
            </w:r>
          </w:p>
        </w:tc>
        <w:tc>
          <w:tcPr>
            <w:tcW w:w="15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64"/>
        <w:gridCol w:w="1991"/>
        <w:gridCol w:w="1997"/>
        <w:gridCol w:w="1156"/>
        <w:gridCol w:w="1156"/>
        <w:gridCol w:w="1641"/>
      </w:tblGrid>
      <w:tr>
        <w:trPr/>
        <w:tc>
          <w:tcPr>
            <w:tcW w:w="2264"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r>
      <w:tr>
        <w:trPr/>
        <w:tc>
          <w:tcPr>
            <w:tcW w:w="6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28"/>
              </w:rPr>
            </w:pPr>
            <w:r>
              <w:rPr>
                <w:rFonts w:ascii="Arial;sans-serif" w:hAnsi="Arial;sans-serif"/>
                <w:b/>
                <w:color w:val="00539B"/>
                <w:sz w:val="28"/>
              </w:rPr>
              <w:t>Consolidated Condensed Statements of Operations</w:t>
            </w:r>
          </w:p>
        </w:tc>
        <w:tc>
          <w:tcPr>
            <w:tcW w:w="39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Occidental Petroleum Corporation and Subsidiaries</w:t>
            </w:r>
          </w:p>
        </w:tc>
      </w:tr>
    </w:tbl>
    <w:tbl>
      <w:tblPr>
        <w:tblW w:w="10205" w:type="dxa"/>
        <w:jc w:val="left"/>
        <w:tblInd w:w="0" w:type="dxa"/>
        <w:tblLayout w:type="fixed"/>
        <w:tblCellMar>
          <w:top w:w="28" w:type="dxa"/>
          <w:left w:w="28" w:type="dxa"/>
          <w:bottom w:w="28" w:type="dxa"/>
          <w:right w:w="28" w:type="dxa"/>
        </w:tblCellMar>
      </w:tblPr>
      <w:tblGrid>
        <w:gridCol w:w="1895"/>
        <w:gridCol w:w="1497"/>
        <w:gridCol w:w="1508"/>
        <w:gridCol w:w="293"/>
        <w:gridCol w:w="900"/>
        <w:gridCol w:w="151"/>
        <w:gridCol w:w="293"/>
        <w:gridCol w:w="900"/>
        <w:gridCol w:w="151"/>
        <w:gridCol w:w="251"/>
        <w:gridCol w:w="897"/>
        <w:gridCol w:w="129"/>
        <w:gridCol w:w="251"/>
        <w:gridCol w:w="897"/>
        <w:gridCol w:w="192"/>
      </w:tblGrid>
      <w:tr>
        <w:trPr/>
        <w:tc>
          <w:tcPr>
            <w:tcW w:w="1895"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9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 xml:space="preserve">Three months ended June 30, </w:t>
            </w:r>
          </w:p>
        </w:tc>
        <w:tc>
          <w:tcPr>
            <w:tcW w:w="2617"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 xml:space="preserve">Six months ended June 30, </w:t>
            </w:r>
          </w:p>
        </w:tc>
      </w:tr>
      <w:tr>
        <w:trPr/>
        <w:tc>
          <w:tcPr>
            <w:tcW w:w="4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 except per-share amounts</w:t>
            </w:r>
          </w:p>
        </w:tc>
        <w:tc>
          <w:tcPr>
            <w:tcW w:w="13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2026</w:t>
            </w:r>
          </w:p>
        </w:tc>
        <w:tc>
          <w:tcPr>
            <w:tcW w:w="13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2025</w:t>
            </w:r>
          </w:p>
        </w:tc>
        <w:tc>
          <w:tcPr>
            <w:tcW w:w="12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2026</w:t>
            </w:r>
          </w:p>
        </w:tc>
        <w:tc>
          <w:tcPr>
            <w:tcW w:w="13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2025</w:t>
            </w:r>
          </w:p>
        </w:tc>
      </w:tr>
      <w:tr>
        <w:trPr/>
        <w:tc>
          <w:tcPr>
            <w:tcW w:w="49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REVENUES AND OTHER INCOME</w:t>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sales</w:t>
            </w:r>
          </w:p>
        </w:tc>
        <w:tc>
          <w:tcPr>
            <w:tcW w:w="29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0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8,065</w:t>
            </w:r>
            <w:r>
              <w:rPr>
                <w:color w:val="00539B"/>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5,258 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9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13,295</w:t>
            </w:r>
            <w:r>
              <w:rPr>
                <w:color w:val="00539B"/>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10,962 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dividends and other income</w:t>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82</w:t>
            </w:r>
            <w:r>
              <w:rPr>
                <w:color w:val="00539B"/>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163</w:t>
            </w:r>
            <w:r>
              <w:rPr>
                <w:color w:val="00539B"/>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101 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Gains (losses) on sales of assets and other, net</w:t>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180</w:t>
            </w:r>
            <w:r>
              <w:rPr>
                <w:color w:val="00539B"/>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(22)</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119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8,327</w:t>
            </w:r>
            <w:r>
              <w:rPr>
                <w:color w:val="00539B"/>
              </w:rPr>
              <w:t> </w:t>
            </w:r>
          </w:p>
        </w:tc>
        <w:tc>
          <w:tcPr>
            <w:tcW w:w="1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5,301 </w:t>
            </w:r>
          </w:p>
        </w:tc>
        <w:tc>
          <w:tcPr>
            <w:tcW w:w="1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13,436</w:t>
            </w:r>
            <w:r>
              <w:rPr>
                <w:color w:val="00539B"/>
              </w:rPr>
              <w:t> </w:t>
            </w:r>
          </w:p>
        </w:tc>
        <w:tc>
          <w:tcPr>
            <w:tcW w:w="12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11,039 </w:t>
            </w:r>
          </w:p>
        </w:tc>
        <w:tc>
          <w:tcPr>
            <w:tcW w:w="19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COSTS AND OTHER DEDUCTIONS</w:t>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Oil and gas lease operating expense</w:t>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1,117</w:t>
            </w:r>
            <w:r>
              <w:rPr>
                <w:color w:val="00539B"/>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1,135 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2,235</w:t>
            </w:r>
            <w:r>
              <w:rPr>
                <w:color w:val="00539B"/>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2,352 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Transportation and gathering expense</w:t>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463</w:t>
            </w:r>
            <w:r>
              <w:rPr>
                <w:color w:val="00539B"/>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448 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884</w:t>
            </w:r>
            <w:r>
              <w:rPr>
                <w:color w:val="00539B"/>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900 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General and administrative expense</w:t>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262</w:t>
            </w:r>
            <w:r>
              <w:rPr>
                <w:color w:val="00539B"/>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257 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507</w:t>
            </w:r>
            <w:r>
              <w:rPr>
                <w:color w:val="00539B"/>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498 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operating and non-operating expense</w:t>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332</w:t>
            </w:r>
            <w:r>
              <w:rPr>
                <w:color w:val="00539B"/>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445 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688</w:t>
            </w:r>
            <w:r>
              <w:rPr>
                <w:color w:val="00539B"/>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771 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Taxes other than on income</w:t>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342</w:t>
            </w:r>
            <w:r>
              <w:rPr>
                <w:color w:val="00539B"/>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269 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601</w:t>
            </w:r>
            <w:r>
              <w:rPr>
                <w:color w:val="00539B"/>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533 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Depreciation, depletion and amortization</w:t>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1,847</w:t>
            </w:r>
            <w:r>
              <w:rPr>
                <w:color w:val="00539B"/>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1,823 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3,641</w:t>
            </w:r>
            <w:r>
              <w:rPr>
                <w:color w:val="00539B"/>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3,627 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Asset impairments and other charges</w:t>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38</w:t>
            </w:r>
            <w:r>
              <w:rPr>
                <w:color w:val="00539B"/>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158</w:t>
            </w:r>
            <w:r>
              <w:rPr>
                <w:color w:val="00539B"/>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Acquisition-related costs</w:t>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Exploration expense</w:t>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37</w:t>
            </w:r>
            <w:r>
              <w:rPr>
                <w:color w:val="00539B"/>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147</w:t>
            </w:r>
            <w:r>
              <w:rPr>
                <w:color w:val="00539B"/>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138 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and debt expense, net</w:t>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108</w:t>
            </w:r>
            <w:r>
              <w:rPr>
                <w:color w:val="00539B"/>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271 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540</w:t>
            </w:r>
            <w:r>
              <w:rPr>
                <w:color w:val="00539B"/>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581 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119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4,546</w:t>
            </w:r>
            <w:r>
              <w:rPr>
                <w:color w:val="00539B"/>
              </w:rPr>
              <w:t> </w:t>
            </w:r>
          </w:p>
        </w:tc>
        <w:tc>
          <w:tcPr>
            <w:tcW w:w="1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4,737 </w:t>
            </w:r>
          </w:p>
        </w:tc>
        <w:tc>
          <w:tcPr>
            <w:tcW w:w="1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9,401</w:t>
            </w:r>
            <w:r>
              <w:rPr>
                <w:color w:val="00539B"/>
              </w:rPr>
              <w:t> </w:t>
            </w:r>
          </w:p>
        </w:tc>
        <w:tc>
          <w:tcPr>
            <w:tcW w:w="12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9,412 </w:t>
            </w:r>
          </w:p>
        </w:tc>
        <w:tc>
          <w:tcPr>
            <w:tcW w:w="19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Income before income taxes and other items</w:t>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3,781</w:t>
            </w:r>
            <w:r>
              <w:rPr>
                <w:color w:val="00539B"/>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564 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4,035</w:t>
            </w:r>
            <w:r>
              <w:rPr>
                <w:color w:val="00539B"/>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1,627 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OTHER ITEMS</w:t>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4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(loss) from equity investments and other</w:t>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134</w:t>
            </w:r>
            <w:r>
              <w:rPr>
                <w:color w:val="00539B"/>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270</w:t>
            </w:r>
            <w:r>
              <w:rPr>
                <w:color w:val="00539B"/>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110 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119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134</w:t>
            </w:r>
            <w:r>
              <w:rPr>
                <w:color w:val="00539B"/>
              </w:rPr>
              <w:t> </w:t>
            </w:r>
          </w:p>
        </w:tc>
        <w:tc>
          <w:tcPr>
            <w:tcW w:w="1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w:t>
            </w:r>
          </w:p>
        </w:tc>
        <w:tc>
          <w:tcPr>
            <w:tcW w:w="1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270</w:t>
            </w:r>
            <w:r>
              <w:rPr>
                <w:color w:val="00539B"/>
              </w:rPr>
              <w:t> </w:t>
            </w:r>
          </w:p>
        </w:tc>
        <w:tc>
          <w:tcPr>
            <w:tcW w:w="12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110 </w:t>
            </w:r>
          </w:p>
        </w:tc>
        <w:tc>
          <w:tcPr>
            <w:tcW w:w="19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Income before income taxes</w:t>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3,915</w:t>
            </w:r>
            <w:r>
              <w:rPr>
                <w:color w:val="00539B"/>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560 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4,305</w:t>
            </w:r>
            <w:r>
              <w:rPr>
                <w:color w:val="00539B"/>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1,737 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Income tax expense </w:t>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(915)</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(222)</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(1,069)</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(569)</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Income from continuing operations</w:t>
            </w:r>
          </w:p>
        </w:tc>
        <w:tc>
          <w:tcPr>
            <w:tcW w:w="119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3,000</w:t>
            </w:r>
            <w:r>
              <w:rPr>
                <w:color w:val="00539B"/>
              </w:rPr>
              <w:t> </w:t>
            </w:r>
          </w:p>
        </w:tc>
        <w:tc>
          <w:tcPr>
            <w:tcW w:w="1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338 </w:t>
            </w:r>
          </w:p>
        </w:tc>
        <w:tc>
          <w:tcPr>
            <w:tcW w:w="1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3,236</w:t>
            </w:r>
            <w:r>
              <w:rPr>
                <w:color w:val="00539B"/>
              </w:rPr>
              <w:t> </w:t>
            </w:r>
          </w:p>
        </w:tc>
        <w:tc>
          <w:tcPr>
            <w:tcW w:w="12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1,168 </w:t>
            </w:r>
          </w:p>
        </w:tc>
        <w:tc>
          <w:tcPr>
            <w:tcW w:w="19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Discontinued operations, net of tax</w:t>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(4)</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130 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3,119</w:t>
            </w:r>
            <w:r>
              <w:rPr>
                <w:color w:val="00539B"/>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245 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NET INCOME</w:t>
            </w:r>
          </w:p>
        </w:tc>
        <w:tc>
          <w:tcPr>
            <w:tcW w:w="119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2,996</w:t>
            </w:r>
            <w:r>
              <w:rPr>
                <w:color w:val="00539B"/>
              </w:rPr>
              <w:t> </w:t>
            </w:r>
          </w:p>
        </w:tc>
        <w:tc>
          <w:tcPr>
            <w:tcW w:w="1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468 </w:t>
            </w:r>
          </w:p>
        </w:tc>
        <w:tc>
          <w:tcPr>
            <w:tcW w:w="1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6,355</w:t>
            </w:r>
            <w:r>
              <w:rPr>
                <w:color w:val="00539B"/>
              </w:rPr>
              <w:t> </w:t>
            </w:r>
          </w:p>
        </w:tc>
        <w:tc>
          <w:tcPr>
            <w:tcW w:w="12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1,413 </w:t>
            </w:r>
          </w:p>
        </w:tc>
        <w:tc>
          <w:tcPr>
            <w:tcW w:w="19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Less: Net income attributable to noncontrolling interest</w:t>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(19)</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(33)</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Less: Preferred stock dividends</w:t>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(170)</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(170)</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(340)</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(340)</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NET INCOME ATTRIBUTABLE TO COMMON STOCKHOLDERS</w:t>
            </w:r>
          </w:p>
        </w:tc>
        <w:tc>
          <w:tcPr>
            <w:tcW w:w="29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2,807</w:t>
            </w:r>
            <w:r>
              <w:rPr>
                <w:color w:val="00539B"/>
              </w:rPr>
              <w:t> </w:t>
            </w:r>
          </w:p>
        </w:tc>
        <w:tc>
          <w:tcPr>
            <w:tcW w:w="1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288 </w:t>
            </w:r>
          </w:p>
        </w:tc>
        <w:tc>
          <w:tcPr>
            <w:tcW w:w="1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9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5,982</w:t>
            </w:r>
            <w:r>
              <w:rPr>
                <w:color w:val="00539B"/>
              </w:rPr>
              <w:t> </w:t>
            </w:r>
          </w:p>
        </w:tc>
        <w:tc>
          <w:tcPr>
            <w:tcW w:w="12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1,054 </w:t>
            </w:r>
          </w:p>
        </w:tc>
        <w:tc>
          <w:tcPr>
            <w:tcW w:w="19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PER COMMON SHARE</w:t>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from continuing operations—basic</w:t>
            </w:r>
          </w:p>
        </w:tc>
        <w:tc>
          <w:tcPr>
            <w:tcW w:w="29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0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2.80</w:t>
            </w:r>
            <w:r>
              <w:rPr>
                <w:color w:val="00539B"/>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0.14 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9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2.86</w:t>
            </w:r>
            <w:r>
              <w:rPr>
                <w:color w:val="00539B"/>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0.80 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Discontinued operations—basic</w:t>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0.13 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3.12</w:t>
            </w:r>
            <w:r>
              <w:rPr>
                <w:color w:val="00539B"/>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0.26 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attributable to common stockholders—basic</w:t>
            </w:r>
          </w:p>
        </w:tc>
        <w:tc>
          <w:tcPr>
            <w:tcW w:w="29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2.80</w:t>
            </w:r>
            <w:r>
              <w:rPr>
                <w:color w:val="00539B"/>
              </w:rPr>
              <w:t> </w:t>
            </w:r>
          </w:p>
        </w:tc>
        <w:tc>
          <w:tcPr>
            <w:tcW w:w="1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0.27 </w:t>
            </w:r>
          </w:p>
        </w:tc>
        <w:tc>
          <w:tcPr>
            <w:tcW w:w="1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9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5.98</w:t>
            </w:r>
            <w:r>
              <w:rPr>
                <w:color w:val="00539B"/>
              </w:rPr>
              <w:t> </w:t>
            </w:r>
          </w:p>
        </w:tc>
        <w:tc>
          <w:tcPr>
            <w:tcW w:w="12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1.06 </w:t>
            </w:r>
          </w:p>
        </w:tc>
        <w:tc>
          <w:tcPr>
            <w:tcW w:w="19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from continuing operations—diluted</w:t>
            </w:r>
          </w:p>
        </w:tc>
        <w:tc>
          <w:tcPr>
            <w:tcW w:w="29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0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2.76</w:t>
            </w:r>
            <w:r>
              <w:rPr>
                <w:color w:val="00539B"/>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0.13 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9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2.82</w:t>
            </w:r>
            <w:r>
              <w:rPr>
                <w:color w:val="00539B"/>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0.78 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Discontinued operations—diluted</w:t>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(0.01)</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0.13 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3.07</w:t>
            </w:r>
            <w:r>
              <w:rPr>
                <w:color w:val="00539B"/>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0.25 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attributable to common stockholders—diluted</w:t>
            </w:r>
          </w:p>
        </w:tc>
        <w:tc>
          <w:tcPr>
            <w:tcW w:w="29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2.75</w:t>
            </w:r>
            <w:r>
              <w:rPr>
                <w:color w:val="00539B"/>
              </w:rPr>
              <w:t> </w:t>
            </w:r>
          </w:p>
        </w:tc>
        <w:tc>
          <w:tcPr>
            <w:tcW w:w="1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0.26 </w:t>
            </w:r>
          </w:p>
        </w:tc>
        <w:tc>
          <w:tcPr>
            <w:tcW w:w="1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9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5.89</w:t>
            </w:r>
            <w:r>
              <w:rPr>
                <w:color w:val="00539B"/>
              </w:rPr>
              <w:t> </w:t>
            </w:r>
          </w:p>
        </w:tc>
        <w:tc>
          <w:tcPr>
            <w:tcW w:w="12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1.03 </w:t>
            </w:r>
          </w:p>
        </w:tc>
        <w:tc>
          <w:tcPr>
            <w:tcW w:w="19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Condensed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46"/>
        <w:gridCol w:w="2150"/>
        <w:gridCol w:w="2156"/>
        <w:gridCol w:w="1010"/>
        <w:gridCol w:w="1010"/>
        <w:gridCol w:w="1433"/>
      </w:tblGrid>
      <w:tr>
        <w:trPr/>
        <w:tc>
          <w:tcPr>
            <w:tcW w:w="2446"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28"/>
              </w:rPr>
            </w:pPr>
            <w:r>
              <w:rPr>
                <w:rFonts w:ascii="Arial;sans-serif" w:hAnsi="Arial;sans-serif"/>
                <w:b/>
                <w:color w:val="00539B"/>
                <w:sz w:val="28"/>
              </w:rPr>
              <w:t>Consolidated Condensed Statements of Comprehensive Income</w:t>
            </w:r>
          </w:p>
        </w:tc>
        <w:tc>
          <w:tcPr>
            <w:tcW w:w="34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Occidental Petroleum Corporation and Subsidiaries</w:t>
            </w:r>
          </w:p>
        </w:tc>
      </w:tr>
    </w:tbl>
    <w:tbl>
      <w:tblPr>
        <w:tblW w:w="10205" w:type="dxa"/>
        <w:jc w:val="left"/>
        <w:tblInd w:w="0" w:type="dxa"/>
        <w:tblLayout w:type="fixed"/>
        <w:tblCellMar>
          <w:top w:w="28" w:type="dxa"/>
          <w:left w:w="28" w:type="dxa"/>
          <w:bottom w:w="28" w:type="dxa"/>
          <w:right w:w="28" w:type="dxa"/>
        </w:tblCellMar>
      </w:tblPr>
      <w:tblGrid>
        <w:gridCol w:w="1884"/>
        <w:gridCol w:w="1643"/>
        <w:gridCol w:w="1675"/>
        <w:gridCol w:w="301"/>
        <w:gridCol w:w="922"/>
        <w:gridCol w:w="155"/>
        <w:gridCol w:w="301"/>
        <w:gridCol w:w="686"/>
        <w:gridCol w:w="155"/>
        <w:gridCol w:w="264"/>
        <w:gridCol w:w="810"/>
        <w:gridCol w:w="136"/>
        <w:gridCol w:w="264"/>
        <w:gridCol w:w="810"/>
        <w:gridCol w:w="199"/>
      </w:tblGrid>
      <w:tr>
        <w:trPr/>
        <w:tc>
          <w:tcPr>
            <w:tcW w:w="1884"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 xml:space="preserve">Three months ended June 30, </w:t>
            </w:r>
          </w:p>
        </w:tc>
        <w:tc>
          <w:tcPr>
            <w:tcW w:w="248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 xml:space="preserve">Six months ended June 30, </w:t>
            </w:r>
          </w:p>
        </w:tc>
      </w:tr>
      <w:tr>
        <w:trPr/>
        <w:tc>
          <w:tcPr>
            <w:tcW w:w="5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13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2026</w:t>
            </w:r>
          </w:p>
        </w:tc>
        <w:tc>
          <w:tcPr>
            <w:tcW w:w="11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2025</w:t>
            </w:r>
          </w:p>
        </w:tc>
        <w:tc>
          <w:tcPr>
            <w:tcW w:w="1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2026</w:t>
            </w:r>
          </w:p>
        </w:tc>
        <w:tc>
          <w:tcPr>
            <w:tcW w:w="12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2025</w:t>
            </w:r>
          </w:p>
        </w:tc>
      </w:tr>
      <w:tr>
        <w:trPr/>
        <w:tc>
          <w:tcPr>
            <w:tcW w:w="5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Net income</w:t>
            </w:r>
          </w:p>
        </w:tc>
        <w:tc>
          <w:tcPr>
            <w:tcW w:w="3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2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2,996</w:t>
            </w:r>
            <w:r>
              <w:rPr>
                <w:color w:val="00539B"/>
              </w:rPr>
              <w:t>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468 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6,355</w:t>
            </w:r>
            <w:r>
              <w:rPr>
                <w:color w:val="00539B"/>
              </w:rPr>
              <w:t> </w:t>
            </w:r>
          </w:p>
        </w:tc>
        <w:tc>
          <w:tcPr>
            <w:tcW w:w="1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1,413 </w:t>
            </w:r>
          </w:p>
        </w:tc>
        <w:tc>
          <w:tcPr>
            <w:tcW w:w="19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Other comprehensive income (loss) items:</w:t>
            </w:r>
          </w:p>
        </w:tc>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Gains (losses) on derivatives</w:t>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w:t>
            </w:r>
            <w:r>
              <w:rPr>
                <w:color w:val="00539B"/>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Pension and postretirement losses</w:t>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(19)</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w:t>
            </w:r>
            <w:r>
              <w:rPr>
                <w:color w:val="00539B"/>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Other comprehensive loss, net of tax</w:t>
            </w:r>
          </w:p>
        </w:tc>
        <w:tc>
          <w:tcPr>
            <w:tcW w:w="12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(11)</w:t>
            </w:r>
          </w:p>
        </w:tc>
        <w:tc>
          <w:tcPr>
            <w:tcW w:w="1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w:t>
            </w:r>
          </w:p>
        </w:tc>
        <w:tc>
          <w:tcPr>
            <w:tcW w:w="19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Comprehensive income</w:t>
            </w:r>
          </w:p>
        </w:tc>
        <w:tc>
          <w:tcPr>
            <w:tcW w:w="12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2,993</w:t>
            </w:r>
            <w:r>
              <w:rPr>
                <w:color w:val="00539B"/>
              </w:rPr>
              <w:t>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462 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6,344</w:t>
            </w:r>
            <w:r>
              <w:rPr>
                <w:color w:val="00539B"/>
              </w:rPr>
              <w:t> </w:t>
            </w:r>
          </w:p>
        </w:tc>
        <w:tc>
          <w:tcPr>
            <w:tcW w:w="1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1,398 </w:t>
            </w:r>
          </w:p>
        </w:tc>
        <w:tc>
          <w:tcPr>
            <w:tcW w:w="19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Comprehensive income attributable to noncontrolling interest</w:t>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(19)</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(33)</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w:t>
            </w:r>
          </w:p>
        </w:tc>
        <w:tc>
          <w:tcPr>
            <w:tcW w:w="19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0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Comprehensive income attributable to preferred and common stockholders</w:t>
            </w:r>
          </w:p>
        </w:tc>
        <w:tc>
          <w:tcPr>
            <w:tcW w:w="30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2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2,974</w:t>
            </w:r>
            <w:r>
              <w:rPr>
                <w:color w:val="00539B"/>
              </w:rPr>
              <w:t> </w:t>
            </w:r>
          </w:p>
        </w:tc>
        <w:tc>
          <w:tcPr>
            <w:tcW w:w="15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8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452 </w:t>
            </w:r>
          </w:p>
        </w:tc>
        <w:tc>
          <w:tcPr>
            <w:tcW w:w="15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1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6,311</w:t>
            </w:r>
            <w:r>
              <w:rPr>
                <w:color w:val="00539B"/>
              </w:rPr>
              <w:t> </w:t>
            </w:r>
          </w:p>
        </w:tc>
        <w:tc>
          <w:tcPr>
            <w:tcW w:w="13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1,379 </w:t>
            </w:r>
          </w:p>
        </w:tc>
        <w:tc>
          <w:tcPr>
            <w:tcW w:w="19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184"/>
        <w:gridCol w:w="1921"/>
        <w:gridCol w:w="1926"/>
        <w:gridCol w:w="1221"/>
        <w:gridCol w:w="1221"/>
        <w:gridCol w:w="1732"/>
      </w:tblGrid>
      <w:tr>
        <w:trPr/>
        <w:tc>
          <w:tcPr>
            <w:tcW w:w="2184"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r>
      <w:tr>
        <w:trPr/>
        <w:tc>
          <w:tcPr>
            <w:tcW w:w="6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28"/>
              </w:rPr>
            </w:pPr>
            <w:r>
              <w:rPr>
                <w:rFonts w:ascii="Arial;sans-serif" w:hAnsi="Arial;sans-serif"/>
                <w:b/>
                <w:color w:val="00539B"/>
                <w:sz w:val="28"/>
              </w:rPr>
              <w:t>Consolidated Condensed Statements of Equity</w:t>
            </w:r>
          </w:p>
        </w:tc>
        <w:tc>
          <w:tcPr>
            <w:tcW w:w="41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Occidental Petroleum Corporation and Subsidiaries</w:t>
            </w:r>
          </w:p>
        </w:tc>
      </w:tr>
    </w:tbl>
    <w:tbl>
      <w:tblPr>
        <w:tblW w:w="10205" w:type="dxa"/>
        <w:jc w:val="left"/>
        <w:tblInd w:w="0" w:type="dxa"/>
        <w:tblLayout w:type="fixed"/>
        <w:tblCellMar>
          <w:top w:w="28" w:type="dxa"/>
          <w:left w:w="28" w:type="dxa"/>
          <w:bottom w:w="28" w:type="dxa"/>
          <w:right w:w="28" w:type="dxa"/>
        </w:tblCellMar>
      </w:tblPr>
      <w:tblGrid>
        <w:gridCol w:w="756"/>
        <w:gridCol w:w="339"/>
        <w:gridCol w:w="341"/>
        <w:gridCol w:w="204"/>
        <w:gridCol w:w="580"/>
        <w:gridCol w:w="113"/>
        <w:gridCol w:w="237"/>
        <w:gridCol w:w="510"/>
        <w:gridCol w:w="133"/>
        <w:gridCol w:w="200"/>
        <w:gridCol w:w="681"/>
        <w:gridCol w:w="111"/>
        <w:gridCol w:w="216"/>
        <w:gridCol w:w="712"/>
        <w:gridCol w:w="120"/>
        <w:gridCol w:w="206"/>
        <w:gridCol w:w="680"/>
        <w:gridCol w:w="114"/>
        <w:gridCol w:w="425"/>
        <w:gridCol w:w="915"/>
        <w:gridCol w:w="238"/>
        <w:gridCol w:w="366"/>
        <w:gridCol w:w="787"/>
        <w:gridCol w:w="205"/>
        <w:gridCol w:w="197"/>
        <w:gridCol w:w="652"/>
        <w:gridCol w:w="167"/>
      </w:tblGrid>
      <w:tr>
        <w:trPr/>
        <w:tc>
          <w:tcPr>
            <w:tcW w:w="7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4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Equity Attributable to Common Stock</w:t>
            </w:r>
          </w:p>
        </w:tc>
        <w:tc>
          <w:tcPr>
            <w:tcW w:w="13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millions, except per-share amounts</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Preferred Stock</w:t>
            </w:r>
          </w:p>
        </w:tc>
        <w:tc>
          <w:tcPr>
            <w:tcW w:w="8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Common Stock</w:t>
            </w:r>
          </w:p>
        </w:tc>
        <w:tc>
          <w:tcPr>
            <w:tcW w:w="9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Treasury Stock</w:t>
            </w:r>
          </w:p>
        </w:tc>
        <w:tc>
          <w:tcPr>
            <w:tcW w:w="10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Additional Paid-in Capital</w:t>
            </w:r>
          </w:p>
        </w:tc>
        <w:tc>
          <w:tcPr>
            <w:tcW w:w="10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Retained Earnings</w:t>
            </w:r>
          </w:p>
        </w:tc>
        <w:tc>
          <w:tcPr>
            <w:tcW w:w="15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Accumulated Other Comprehensive Income (Loss)</w:t>
            </w:r>
          </w:p>
        </w:tc>
        <w:tc>
          <w:tcPr>
            <w:tcW w:w="13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Noncontrolling interest</w:t>
            </w:r>
          </w:p>
        </w:tc>
        <w:tc>
          <w:tcPr>
            <w:tcW w:w="10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Total Equity</w:t>
            </w:r>
          </w:p>
        </w:tc>
      </w:tr>
      <w:tr>
        <w:trPr/>
        <w:tc>
          <w:tcPr>
            <w:tcW w:w="14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Balance as of March 31, 2025</w:t>
            </w:r>
          </w:p>
        </w:tc>
        <w:tc>
          <w:tcPr>
            <w:tcW w:w="20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8,287 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234 </w:t>
            </w:r>
          </w:p>
        </w:tc>
        <w:tc>
          <w:tcPr>
            <w:tcW w:w="13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(15,597)</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19,892 </w:t>
            </w:r>
          </w:p>
        </w:tc>
        <w:tc>
          <w:tcPr>
            <w:tcW w:w="1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21,726 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170 </w:t>
            </w:r>
          </w:p>
        </w:tc>
        <w:tc>
          <w:tcPr>
            <w:tcW w:w="23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393 </w:t>
            </w:r>
          </w:p>
        </w:tc>
        <w:tc>
          <w:tcPr>
            <w:tcW w:w="20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35,105 </w:t>
            </w:r>
          </w:p>
        </w:tc>
        <w:tc>
          <w:tcPr>
            <w:tcW w:w="16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income</w:t>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Other comprehensive loss, net </w:t>
              <w:br/>
              <w:t>  of tax</w:t>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6"/>
              </w:rPr>
            </w:pPr>
            <w:r>
              <w:rPr>
                <w:rFonts w:ascii="Arial;sans-serif" w:hAnsi="Arial;sans-serif"/>
                <w:b w:val="false"/>
                <w:color w:val="000000"/>
                <w:sz w:val="16"/>
              </w:rPr>
              <w:t>Dividends on common stock, $0.24 per share</w:t>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6"/>
              </w:rPr>
            </w:pPr>
            <w:r>
              <w:rPr>
                <w:rFonts w:ascii="Arial;sans-serif" w:hAnsi="Arial;sans-serif"/>
                <w:b w:val="false"/>
                <w:color w:val="000000"/>
                <w:sz w:val="16"/>
              </w:rPr>
              <w:t>Dividends on preferred stock, $2,000 per share</w:t>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Shareholder warrants exercised</w:t>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884 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893 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Issuance of common stock and </w:t>
              <w:br/>
              <w:t>other, net of cancellations</w:t>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167"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 contributions</w:t>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as of June 30, 2025</w:t>
            </w:r>
          </w:p>
        </w:tc>
        <w:tc>
          <w:tcPr>
            <w:tcW w:w="20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8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8,287 </w:t>
            </w:r>
          </w:p>
        </w:tc>
        <w:tc>
          <w:tcPr>
            <w:tcW w:w="11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1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243 </w:t>
            </w:r>
          </w:p>
        </w:tc>
        <w:tc>
          <w:tcPr>
            <w:tcW w:w="13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8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(15,597)</w:t>
            </w:r>
          </w:p>
        </w:tc>
        <w:tc>
          <w:tcPr>
            <w:tcW w:w="11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1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20,849 </w:t>
            </w:r>
          </w:p>
        </w:tc>
        <w:tc>
          <w:tcPr>
            <w:tcW w:w="12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8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21,776 </w:t>
            </w:r>
          </w:p>
        </w:tc>
        <w:tc>
          <w:tcPr>
            <w:tcW w:w="11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1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164 </w:t>
            </w:r>
          </w:p>
        </w:tc>
        <w:tc>
          <w:tcPr>
            <w:tcW w:w="23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454 </w:t>
            </w:r>
          </w:p>
        </w:tc>
        <w:tc>
          <w:tcPr>
            <w:tcW w:w="20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5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36,176 </w:t>
            </w:r>
          </w:p>
        </w:tc>
        <w:tc>
          <w:tcPr>
            <w:tcW w:w="16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30"/>
        <w:gridCol w:w="317"/>
        <w:gridCol w:w="318"/>
        <w:gridCol w:w="204"/>
        <w:gridCol w:w="595"/>
        <w:gridCol w:w="113"/>
        <w:gridCol w:w="233"/>
        <w:gridCol w:w="518"/>
        <w:gridCol w:w="131"/>
        <w:gridCol w:w="200"/>
        <w:gridCol w:w="681"/>
        <w:gridCol w:w="111"/>
        <w:gridCol w:w="216"/>
        <w:gridCol w:w="728"/>
        <w:gridCol w:w="120"/>
        <w:gridCol w:w="206"/>
        <w:gridCol w:w="695"/>
        <w:gridCol w:w="114"/>
        <w:gridCol w:w="419"/>
        <w:gridCol w:w="932"/>
        <w:gridCol w:w="234"/>
        <w:gridCol w:w="359"/>
        <w:gridCol w:w="800"/>
        <w:gridCol w:w="201"/>
        <w:gridCol w:w="197"/>
        <w:gridCol w:w="666"/>
        <w:gridCol w:w="167"/>
      </w:tblGrid>
      <w:tr>
        <w:trPr/>
        <w:tc>
          <w:tcPr>
            <w:tcW w:w="73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Equity Attributable to Common Stock</w:t>
            </w:r>
          </w:p>
        </w:tc>
        <w:tc>
          <w:tcPr>
            <w:tcW w:w="1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millions, except per-share amounts</w:t>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Preferred Stock</w:t>
            </w:r>
          </w:p>
        </w:tc>
        <w:tc>
          <w:tcPr>
            <w:tcW w:w="8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Common Stock</w:t>
            </w:r>
          </w:p>
        </w:tc>
        <w:tc>
          <w:tcPr>
            <w:tcW w:w="9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Treasury Stock</w:t>
            </w:r>
          </w:p>
        </w:tc>
        <w:tc>
          <w:tcPr>
            <w:tcW w:w="10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Additional Paid-in Capital</w:t>
            </w:r>
          </w:p>
        </w:tc>
        <w:tc>
          <w:tcPr>
            <w:tcW w:w="10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Retained Earnings</w:t>
            </w:r>
          </w:p>
        </w:tc>
        <w:tc>
          <w:tcPr>
            <w:tcW w:w="15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Accumulated Other Comprehensive Income (Loss)</w:t>
            </w:r>
          </w:p>
        </w:tc>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Noncontrolling interest</w:t>
            </w:r>
          </w:p>
        </w:tc>
        <w:tc>
          <w:tcPr>
            <w:tcW w:w="10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Total Equity</w:t>
            </w:r>
          </w:p>
        </w:tc>
      </w:tr>
      <w:tr>
        <w:trPr/>
        <w:tc>
          <w:tcPr>
            <w:tcW w:w="13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Balance as of March 31, 2026</w:t>
            </w:r>
          </w:p>
        </w:tc>
        <w:tc>
          <w:tcPr>
            <w:tcW w:w="20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9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8,287 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1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244 </w:t>
            </w:r>
          </w:p>
        </w:tc>
        <w:tc>
          <w:tcPr>
            <w:tcW w:w="13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(15,676)</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21,077 </w:t>
            </w:r>
          </w:p>
        </w:tc>
        <w:tc>
          <w:tcPr>
            <w:tcW w:w="1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9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24,806 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3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194 </w:t>
            </w:r>
          </w:p>
        </w:tc>
        <w:tc>
          <w:tcPr>
            <w:tcW w:w="23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628 </w:t>
            </w:r>
          </w:p>
        </w:tc>
        <w:tc>
          <w:tcPr>
            <w:tcW w:w="20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39,560 </w:t>
            </w:r>
          </w:p>
        </w:tc>
        <w:tc>
          <w:tcPr>
            <w:tcW w:w="16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income</w:t>
            </w:r>
          </w:p>
        </w:tc>
        <w:tc>
          <w:tcPr>
            <w:tcW w:w="7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7"/>
              </w:rPr>
              <w:t>2,977</w:t>
            </w:r>
            <w:r>
              <w:rPr>
                <w:color w:val="00539B"/>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7"/>
              </w:rPr>
              <w:t>19</w:t>
            </w:r>
            <w:r>
              <w:rPr>
                <w:color w:val="00539B"/>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7"/>
              </w:rPr>
              <w:t>2,996</w:t>
            </w:r>
            <w:r>
              <w:rPr>
                <w:color w:val="00539B"/>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Other comprehensive loss, net </w:t>
              <w:br/>
              <w:t>  of tax</w:t>
            </w:r>
          </w:p>
        </w:tc>
        <w:tc>
          <w:tcPr>
            <w:tcW w:w="7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7"/>
              </w:rPr>
            </w:pPr>
            <w:r>
              <w:rPr>
                <w:rFonts w:ascii="Arial;sans-serif" w:hAnsi="Arial;sans-serif"/>
                <w:b/>
                <w:color w:val="00539B"/>
                <w:sz w:val="17"/>
              </w:rPr>
              <w:t>(3)</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7"/>
              </w:rPr>
            </w:pPr>
            <w:r>
              <w:rPr>
                <w:rFonts w:ascii="Arial;sans-serif" w:hAnsi="Arial;sans-serif"/>
                <w:b/>
                <w:color w:val="00539B"/>
                <w:sz w:val="17"/>
              </w:rPr>
              <w:t>(3)</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Dividends on common stock, </w:t>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$0.26 per share</w:t>
            </w:r>
          </w:p>
        </w:tc>
        <w:tc>
          <w:tcPr>
            <w:tcW w:w="7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7"/>
              </w:rPr>
            </w:pPr>
            <w:r>
              <w:rPr>
                <w:rFonts w:ascii="Arial;sans-serif" w:hAnsi="Arial;sans-serif"/>
                <w:b/>
                <w:color w:val="00539B"/>
                <w:sz w:val="17"/>
              </w:rPr>
              <w:t>(263)</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7"/>
              </w:rPr>
            </w:pPr>
            <w:r>
              <w:rPr>
                <w:rFonts w:ascii="Arial;sans-serif" w:hAnsi="Arial;sans-serif"/>
                <w:b/>
                <w:color w:val="00539B"/>
                <w:sz w:val="17"/>
              </w:rPr>
              <w:t>(263)</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Dividends on preferred stock, </w:t>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$2,000 per share</w:t>
            </w:r>
          </w:p>
        </w:tc>
        <w:tc>
          <w:tcPr>
            <w:tcW w:w="7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7"/>
              </w:rPr>
            </w:pPr>
            <w:r>
              <w:rPr>
                <w:rFonts w:ascii="Arial;sans-serif" w:hAnsi="Arial;sans-serif"/>
                <w:b/>
                <w:color w:val="00539B"/>
                <w:sz w:val="17"/>
              </w:rPr>
              <w:t>(170)</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7"/>
              </w:rPr>
            </w:pPr>
            <w:r>
              <w:rPr>
                <w:rFonts w:ascii="Arial;sans-serif" w:hAnsi="Arial;sans-serif"/>
                <w:b/>
                <w:color w:val="00539B"/>
                <w:sz w:val="17"/>
              </w:rPr>
              <w:t>(170)</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Shareholder warrants exercised</w:t>
            </w:r>
          </w:p>
        </w:tc>
        <w:tc>
          <w:tcPr>
            <w:tcW w:w="7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7"/>
              </w:rPr>
              <w:t>2</w:t>
            </w:r>
            <w:r>
              <w:rPr>
                <w:color w:val="00539B"/>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7"/>
              </w:rPr>
              <w:t>195</w:t>
            </w:r>
            <w:r>
              <w:rPr>
                <w:color w:val="00539B"/>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7"/>
              </w:rPr>
              <w:t>197</w:t>
            </w:r>
            <w:r>
              <w:rPr>
                <w:color w:val="00539B"/>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Options exercised</w:t>
            </w:r>
          </w:p>
        </w:tc>
        <w:tc>
          <w:tcPr>
            <w:tcW w:w="7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7"/>
              </w:rPr>
              <w:t>3</w:t>
            </w:r>
            <w:r>
              <w:rPr>
                <w:color w:val="00539B"/>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7"/>
              </w:rPr>
              <w:t>3</w:t>
            </w:r>
            <w:r>
              <w:rPr>
                <w:color w:val="00539B"/>
              </w:rPr>
              <w:t> </w:t>
            </w:r>
          </w:p>
        </w:tc>
        <w:tc>
          <w:tcPr>
            <w:tcW w:w="167"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Issuance of common stock and </w:t>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other, net of cancellations</w:t>
            </w:r>
          </w:p>
        </w:tc>
        <w:tc>
          <w:tcPr>
            <w:tcW w:w="7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7"/>
              </w:rPr>
              <w:t>111</w:t>
            </w:r>
            <w:r>
              <w:rPr>
                <w:color w:val="00539B"/>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7"/>
              </w:rPr>
              <w:t>111</w:t>
            </w:r>
            <w:r>
              <w:rPr>
                <w:color w:val="00539B"/>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Purchases of treasury stock</w:t>
            </w:r>
          </w:p>
        </w:tc>
        <w:tc>
          <w:tcPr>
            <w:tcW w:w="7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7"/>
              </w:rPr>
            </w:pPr>
            <w:r>
              <w:rPr>
                <w:rFonts w:ascii="Arial;sans-serif" w:hAnsi="Arial;sans-serif"/>
                <w:b/>
                <w:color w:val="00539B"/>
                <w:sz w:val="17"/>
              </w:rPr>
              <w:t>(38)</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7"/>
              </w:rPr>
            </w:pPr>
            <w:r>
              <w:rPr>
                <w:rFonts w:ascii="Arial;sans-serif" w:hAnsi="Arial;sans-serif"/>
                <w:b/>
                <w:color w:val="00539B"/>
                <w:sz w:val="17"/>
              </w:rPr>
              <w:t>(38)</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 distributions</w:t>
            </w:r>
          </w:p>
        </w:tc>
        <w:tc>
          <w:tcPr>
            <w:tcW w:w="7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7"/>
              </w:rPr>
            </w:pPr>
            <w:r>
              <w:rPr>
                <w:rFonts w:ascii="Arial;sans-serif" w:hAnsi="Arial;sans-serif"/>
                <w:b/>
                <w:color w:val="00539B"/>
                <w:sz w:val="17"/>
              </w:rPr>
              <w:t>(12)</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7"/>
              </w:rPr>
            </w:pPr>
            <w:r>
              <w:rPr>
                <w:rFonts w:ascii="Arial;sans-serif" w:hAnsi="Arial;sans-serif"/>
                <w:b/>
                <w:color w:val="00539B"/>
                <w:sz w:val="17"/>
              </w:rPr>
              <w:t>(12)</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6"/>
              </w:rPr>
            </w:pPr>
            <w:r>
              <w:rPr>
                <w:rFonts w:ascii="Arial;sans-serif" w:hAnsi="Arial;sans-serif"/>
                <w:b/>
                <w:color w:val="00539B"/>
                <w:sz w:val="16"/>
              </w:rPr>
              <w:t>Balance as of June 30, 2026</w:t>
            </w:r>
          </w:p>
        </w:tc>
        <w:tc>
          <w:tcPr>
            <w:tcW w:w="20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7"/>
              </w:rPr>
            </w:pPr>
            <w:r>
              <w:rPr>
                <w:rFonts w:ascii="Arial;sans-serif" w:hAnsi="Arial;sans-serif"/>
                <w:b/>
                <w:color w:val="00539B"/>
                <w:sz w:val="17"/>
              </w:rPr>
              <w:t>$</w:t>
            </w:r>
          </w:p>
        </w:tc>
        <w:tc>
          <w:tcPr>
            <w:tcW w:w="59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7"/>
              </w:rPr>
              <w:t>8,287</w:t>
            </w:r>
            <w:r>
              <w:rPr>
                <w:color w:val="00539B"/>
              </w:rPr>
              <w:t> </w:t>
            </w:r>
          </w:p>
        </w:tc>
        <w:tc>
          <w:tcPr>
            <w:tcW w:w="11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7"/>
              </w:rPr>
            </w:pPr>
            <w:r>
              <w:rPr>
                <w:rFonts w:ascii="Arial;sans-serif" w:hAnsi="Arial;sans-serif"/>
                <w:b/>
                <w:color w:val="00539B"/>
                <w:sz w:val="17"/>
              </w:rPr>
              <w:t>$</w:t>
            </w:r>
          </w:p>
        </w:tc>
        <w:tc>
          <w:tcPr>
            <w:tcW w:w="51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7"/>
              </w:rPr>
              <w:t>246</w:t>
            </w:r>
            <w:r>
              <w:rPr>
                <w:color w:val="00539B"/>
              </w:rPr>
              <w:t> </w:t>
            </w:r>
          </w:p>
        </w:tc>
        <w:tc>
          <w:tcPr>
            <w:tcW w:w="13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7"/>
              </w:rPr>
            </w:pPr>
            <w:r>
              <w:rPr>
                <w:rFonts w:ascii="Arial;sans-serif" w:hAnsi="Arial;sans-serif"/>
                <w:b/>
                <w:color w:val="00539B"/>
                <w:sz w:val="17"/>
              </w:rPr>
              <w:t>$</w:t>
            </w:r>
          </w:p>
        </w:tc>
        <w:tc>
          <w:tcPr>
            <w:tcW w:w="68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539B"/>
                <w:sz w:val="17"/>
              </w:rPr>
            </w:pPr>
            <w:r>
              <w:rPr>
                <w:rFonts w:ascii="Arial;sans-serif" w:hAnsi="Arial;sans-serif"/>
                <w:b/>
                <w:color w:val="00539B"/>
                <w:sz w:val="17"/>
              </w:rPr>
              <w:t>(15,714)</w:t>
            </w:r>
          </w:p>
        </w:tc>
        <w:tc>
          <w:tcPr>
            <w:tcW w:w="11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7"/>
              </w:rPr>
            </w:pPr>
            <w:r>
              <w:rPr>
                <w:rFonts w:ascii="Arial;sans-serif" w:hAnsi="Arial;sans-serif"/>
                <w:b/>
                <w:color w:val="00539B"/>
                <w:sz w:val="17"/>
              </w:rPr>
              <w:t>$</w:t>
            </w:r>
          </w:p>
        </w:tc>
        <w:tc>
          <w:tcPr>
            <w:tcW w:w="72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7"/>
              </w:rPr>
              <w:t>21,386</w:t>
            </w:r>
            <w:r>
              <w:rPr>
                <w:color w:val="00539B"/>
              </w:rPr>
              <w:t> </w:t>
            </w:r>
          </w:p>
        </w:tc>
        <w:tc>
          <w:tcPr>
            <w:tcW w:w="12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7"/>
              </w:rPr>
            </w:pPr>
            <w:r>
              <w:rPr>
                <w:rFonts w:ascii="Arial;sans-serif" w:hAnsi="Arial;sans-serif"/>
                <w:b/>
                <w:color w:val="00539B"/>
                <w:sz w:val="17"/>
              </w:rPr>
              <w:t>$</w:t>
            </w:r>
          </w:p>
        </w:tc>
        <w:tc>
          <w:tcPr>
            <w:tcW w:w="69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7"/>
              </w:rPr>
              <w:t>27,350</w:t>
            </w:r>
            <w:r>
              <w:rPr>
                <w:color w:val="00539B"/>
              </w:rPr>
              <w:t> </w:t>
            </w:r>
          </w:p>
        </w:tc>
        <w:tc>
          <w:tcPr>
            <w:tcW w:w="11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7"/>
              </w:rPr>
            </w:pPr>
            <w:r>
              <w:rPr>
                <w:rFonts w:ascii="Arial;sans-serif" w:hAnsi="Arial;sans-serif"/>
                <w:b/>
                <w:color w:val="00539B"/>
                <w:sz w:val="17"/>
              </w:rPr>
              <w:t>$</w:t>
            </w:r>
          </w:p>
        </w:tc>
        <w:tc>
          <w:tcPr>
            <w:tcW w:w="93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7"/>
              </w:rPr>
              <w:t>191</w:t>
            </w:r>
            <w:r>
              <w:rPr>
                <w:color w:val="00539B"/>
              </w:rPr>
              <w:t> </w:t>
            </w:r>
          </w:p>
        </w:tc>
        <w:tc>
          <w:tcPr>
            <w:tcW w:w="23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7"/>
              </w:rPr>
            </w:pPr>
            <w:r>
              <w:rPr>
                <w:rFonts w:ascii="Arial;sans-serif" w:hAnsi="Arial;sans-serif"/>
                <w:b/>
                <w:color w:val="00539B"/>
                <w:sz w:val="17"/>
              </w:rPr>
              <w:t>$</w:t>
            </w:r>
          </w:p>
        </w:tc>
        <w:tc>
          <w:tcPr>
            <w:tcW w:w="80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7"/>
              </w:rPr>
              <w:t>635</w:t>
            </w:r>
            <w:r>
              <w:rPr>
                <w:color w:val="00539B"/>
              </w:rPr>
              <w:t> </w:t>
            </w:r>
          </w:p>
        </w:tc>
        <w:tc>
          <w:tcPr>
            <w:tcW w:w="20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7"/>
              </w:rPr>
            </w:pPr>
            <w:r>
              <w:rPr>
                <w:rFonts w:ascii="Arial;sans-serif" w:hAnsi="Arial;sans-serif"/>
                <w:b/>
                <w:color w:val="00539B"/>
                <w:sz w:val="17"/>
              </w:rPr>
              <w:t>$</w:t>
            </w:r>
          </w:p>
        </w:tc>
        <w:tc>
          <w:tcPr>
            <w:tcW w:w="66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7"/>
              </w:rPr>
              <w:t>42,381</w:t>
            </w:r>
            <w:r>
              <w:rPr>
                <w:color w:val="00539B"/>
              </w:rPr>
              <w:t> </w:t>
            </w:r>
          </w:p>
        </w:tc>
        <w:tc>
          <w:tcPr>
            <w:tcW w:w="16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Condensed Financial Statements.</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84"/>
        <w:gridCol w:w="1921"/>
        <w:gridCol w:w="1926"/>
        <w:gridCol w:w="1221"/>
        <w:gridCol w:w="1221"/>
        <w:gridCol w:w="1732"/>
      </w:tblGrid>
      <w:tr>
        <w:trPr/>
        <w:tc>
          <w:tcPr>
            <w:tcW w:w="2184"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r>
      <w:tr>
        <w:trPr/>
        <w:tc>
          <w:tcPr>
            <w:tcW w:w="6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28"/>
              </w:rPr>
            </w:pPr>
            <w:r>
              <w:rPr>
                <w:rFonts w:ascii="Arial;sans-serif" w:hAnsi="Arial;sans-serif"/>
                <w:b/>
                <w:color w:val="00539B"/>
                <w:sz w:val="28"/>
              </w:rPr>
              <w:t>Consolidated Condensed Statements of Equity</w:t>
            </w:r>
          </w:p>
        </w:tc>
        <w:tc>
          <w:tcPr>
            <w:tcW w:w="41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Occidental Petroleum Corporation and Subsidiaries</w:t>
            </w:r>
          </w:p>
        </w:tc>
      </w:tr>
    </w:tbl>
    <w:tbl>
      <w:tblPr>
        <w:tblW w:w="10205" w:type="dxa"/>
        <w:jc w:val="left"/>
        <w:tblInd w:w="0" w:type="dxa"/>
        <w:tblLayout w:type="fixed"/>
        <w:tblCellMar>
          <w:top w:w="28" w:type="dxa"/>
          <w:left w:w="28" w:type="dxa"/>
          <w:bottom w:w="28" w:type="dxa"/>
          <w:right w:w="28" w:type="dxa"/>
        </w:tblCellMar>
      </w:tblPr>
      <w:tblGrid>
        <w:gridCol w:w="737"/>
        <w:gridCol w:w="324"/>
        <w:gridCol w:w="326"/>
        <w:gridCol w:w="205"/>
        <w:gridCol w:w="582"/>
        <w:gridCol w:w="114"/>
        <w:gridCol w:w="238"/>
        <w:gridCol w:w="512"/>
        <w:gridCol w:w="133"/>
        <w:gridCol w:w="200"/>
        <w:gridCol w:w="683"/>
        <w:gridCol w:w="111"/>
        <w:gridCol w:w="217"/>
        <w:gridCol w:w="718"/>
        <w:gridCol w:w="121"/>
        <w:gridCol w:w="207"/>
        <w:gridCol w:w="683"/>
        <w:gridCol w:w="115"/>
        <w:gridCol w:w="431"/>
        <w:gridCol w:w="927"/>
        <w:gridCol w:w="241"/>
        <w:gridCol w:w="367"/>
        <w:gridCol w:w="790"/>
        <w:gridCol w:w="205"/>
        <w:gridCol w:w="197"/>
        <w:gridCol w:w="652"/>
        <w:gridCol w:w="169"/>
      </w:tblGrid>
      <w:tr>
        <w:trPr/>
        <w:tc>
          <w:tcPr>
            <w:tcW w:w="73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Equity Attributable to Common Stock</w:t>
            </w:r>
          </w:p>
        </w:tc>
        <w:tc>
          <w:tcPr>
            <w:tcW w:w="13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millions, except per-share amounts</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Preferred Stock</w:t>
            </w:r>
          </w:p>
        </w:tc>
        <w:tc>
          <w:tcPr>
            <w:tcW w:w="8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Common Stock</w:t>
            </w:r>
          </w:p>
        </w:tc>
        <w:tc>
          <w:tcPr>
            <w:tcW w:w="9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Treasury Stock</w:t>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Additional Paid-in Capital</w:t>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Retained Earnings</w:t>
            </w:r>
          </w:p>
        </w:tc>
        <w:tc>
          <w:tcPr>
            <w:tcW w:w="15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Accumulated Other Comprehensive Income (Loss)</w:t>
            </w:r>
          </w:p>
        </w:tc>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Noncontrolling interest</w:t>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Total Equity</w:t>
            </w:r>
          </w:p>
        </w:tc>
      </w:tr>
      <w:tr>
        <w:trPr/>
        <w:tc>
          <w:tcPr>
            <w:tcW w:w="13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as of December 31, 2024</w:t>
            </w:r>
          </w:p>
        </w:tc>
        <w:tc>
          <w:tcPr>
            <w:tcW w:w="20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8,287 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233 </w:t>
            </w:r>
          </w:p>
        </w:tc>
        <w:tc>
          <w:tcPr>
            <w:tcW w:w="13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(15,597)</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19,868 </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21,189 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321 </w:t>
            </w:r>
          </w:p>
        </w:tc>
        <w:tc>
          <w:tcPr>
            <w:tcW w:w="20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34,480 </w:t>
            </w:r>
          </w:p>
        </w:tc>
        <w:tc>
          <w:tcPr>
            <w:tcW w:w="16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7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1,394 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1,413 </w:t>
            </w:r>
          </w:p>
        </w:tc>
        <w:tc>
          <w:tcPr>
            <w:tcW w:w="169"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 net of tax</w:t>
            </w:r>
          </w:p>
        </w:tc>
        <w:tc>
          <w:tcPr>
            <w:tcW w:w="7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Dividends on common stock, </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$0.48 per share</w:t>
            </w:r>
          </w:p>
        </w:tc>
        <w:tc>
          <w:tcPr>
            <w:tcW w:w="7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(467)</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(467)</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6"/>
              </w:rPr>
            </w:pPr>
            <w:r>
              <w:rPr>
                <w:rFonts w:ascii="Arial;sans-serif" w:hAnsi="Arial;sans-serif"/>
                <w:b w:val="false"/>
                <w:color w:val="000000"/>
                <w:sz w:val="16"/>
              </w:rPr>
              <w:t>Dividends on preferred stock,</w:t>
            </w:r>
          </w:p>
          <w:p>
            <w:pPr>
              <w:pStyle w:val="TableContents"/>
              <w:bidi w:val="0"/>
              <w:spacing w:lineRule="auto" w:line="240" w:before="0" w:after="0"/>
              <w:ind w:left="0" w:right="0" w:hanging="90"/>
              <w:jc w:val="left"/>
              <w:rPr>
                <w:rFonts w:ascii="Arial;sans-serif" w:hAnsi="Arial;sans-serif"/>
                <w:b w:val="false"/>
                <w:color w:val="000000"/>
                <w:sz w:val="16"/>
              </w:rPr>
            </w:pPr>
            <w:r>
              <w:rPr>
                <w:rFonts w:ascii="Arial;sans-serif" w:hAnsi="Arial;sans-serif"/>
                <w:b w:val="false"/>
                <w:color w:val="000000"/>
                <w:sz w:val="16"/>
              </w:rPr>
              <w:t>$4,000 per share</w:t>
            </w:r>
          </w:p>
        </w:tc>
        <w:tc>
          <w:tcPr>
            <w:tcW w:w="7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138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138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1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Shareholder warrants exercised</w:t>
            </w:r>
          </w:p>
        </w:tc>
        <w:tc>
          <w:tcPr>
            <w:tcW w:w="7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896 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1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Issuance of common stock and </w:t>
              <w:br/>
              <w:t>other, net of cancellations</w:t>
            </w:r>
          </w:p>
        </w:tc>
        <w:tc>
          <w:tcPr>
            <w:tcW w:w="7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 contributions</w:t>
            </w:r>
          </w:p>
        </w:tc>
        <w:tc>
          <w:tcPr>
            <w:tcW w:w="7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as of June 30, 2025</w:t>
            </w:r>
          </w:p>
        </w:tc>
        <w:tc>
          <w:tcPr>
            <w:tcW w:w="20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8,287 </w:t>
            </w:r>
          </w:p>
        </w:tc>
        <w:tc>
          <w:tcPr>
            <w:tcW w:w="11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243 </w:t>
            </w:r>
          </w:p>
        </w:tc>
        <w:tc>
          <w:tcPr>
            <w:tcW w:w="13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(15,597)</w:t>
            </w:r>
          </w:p>
        </w:tc>
        <w:tc>
          <w:tcPr>
            <w:tcW w:w="11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20,849 </w:t>
            </w:r>
          </w:p>
        </w:tc>
        <w:tc>
          <w:tcPr>
            <w:tcW w:w="12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21,776 </w:t>
            </w:r>
          </w:p>
        </w:tc>
        <w:tc>
          <w:tcPr>
            <w:tcW w:w="11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164 </w:t>
            </w:r>
          </w:p>
        </w:tc>
        <w:tc>
          <w:tcPr>
            <w:tcW w:w="24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454 </w:t>
            </w:r>
          </w:p>
        </w:tc>
        <w:tc>
          <w:tcPr>
            <w:tcW w:w="20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36,176 </w:t>
            </w:r>
          </w:p>
        </w:tc>
        <w:tc>
          <w:tcPr>
            <w:tcW w:w="16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40"/>
        <w:gridCol w:w="324"/>
        <w:gridCol w:w="325"/>
        <w:gridCol w:w="204"/>
        <w:gridCol w:w="594"/>
        <w:gridCol w:w="113"/>
        <w:gridCol w:w="232"/>
        <w:gridCol w:w="517"/>
        <w:gridCol w:w="130"/>
        <w:gridCol w:w="200"/>
        <w:gridCol w:w="680"/>
        <w:gridCol w:w="111"/>
        <w:gridCol w:w="215"/>
        <w:gridCol w:w="725"/>
        <w:gridCol w:w="119"/>
        <w:gridCol w:w="205"/>
        <w:gridCol w:w="694"/>
        <w:gridCol w:w="114"/>
        <w:gridCol w:w="416"/>
        <w:gridCol w:w="926"/>
        <w:gridCol w:w="233"/>
        <w:gridCol w:w="358"/>
        <w:gridCol w:w="798"/>
        <w:gridCol w:w="200"/>
        <w:gridCol w:w="197"/>
        <w:gridCol w:w="666"/>
        <w:gridCol w:w="169"/>
      </w:tblGrid>
      <w:tr>
        <w:trPr/>
        <w:tc>
          <w:tcPr>
            <w:tcW w:w="74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3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Equity Attributable to Common Stock</w:t>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millions, except per-share amounts</w:t>
            </w:r>
          </w:p>
        </w:tc>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Preferred Stock</w:t>
            </w:r>
          </w:p>
        </w:tc>
        <w:tc>
          <w:tcPr>
            <w:tcW w:w="8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Common Stock</w:t>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Treasury Stock</w:t>
            </w:r>
          </w:p>
        </w:tc>
        <w:tc>
          <w:tcPr>
            <w:tcW w:w="10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Additional Paid-in Capital</w:t>
            </w:r>
          </w:p>
        </w:tc>
        <w:tc>
          <w:tcPr>
            <w:tcW w:w="10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Retained Earnings</w:t>
            </w:r>
          </w:p>
        </w:tc>
        <w:tc>
          <w:tcPr>
            <w:tcW w:w="15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Accumulated Other Comprehensive Income (Loss)</w:t>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Noncontrolling interest</w:t>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Total Equity</w:t>
            </w:r>
          </w:p>
        </w:tc>
      </w:tr>
      <w:tr>
        <w:trPr/>
        <w:tc>
          <w:tcPr>
            <w:tcW w:w="13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as of December 31, 2025</w:t>
            </w:r>
          </w:p>
        </w:tc>
        <w:tc>
          <w:tcPr>
            <w:tcW w:w="20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8,287 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243 </w:t>
            </w:r>
          </w:p>
        </w:tc>
        <w:tc>
          <w:tcPr>
            <w:tcW w:w="13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(15,597)</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21,008 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21,891 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202 </w:t>
            </w:r>
          </w:p>
        </w:tc>
        <w:tc>
          <w:tcPr>
            <w:tcW w:w="23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564 </w:t>
            </w:r>
          </w:p>
        </w:tc>
        <w:tc>
          <w:tcPr>
            <w:tcW w:w="20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36,598 </w:t>
            </w:r>
          </w:p>
        </w:tc>
        <w:tc>
          <w:tcPr>
            <w:tcW w:w="16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7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6"/>
              </w:rPr>
              <w:t>6,322</w:t>
            </w:r>
            <w:r>
              <w:rPr>
                <w:color w:val="00539B"/>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6"/>
              </w:rPr>
              <w:t>33</w:t>
            </w:r>
            <w:r>
              <w:rPr>
                <w:color w:val="00539B"/>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6"/>
              </w:rPr>
              <w:t>6,355</w:t>
            </w:r>
            <w:r>
              <w:rPr>
                <w:color w:val="00539B"/>
              </w:rPr>
              <w:t> </w:t>
            </w:r>
          </w:p>
        </w:tc>
        <w:tc>
          <w:tcPr>
            <w:tcW w:w="169"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 net of tax</w:t>
            </w:r>
          </w:p>
        </w:tc>
        <w:tc>
          <w:tcPr>
            <w:tcW w:w="7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6"/>
              </w:rPr>
            </w:pPr>
            <w:r>
              <w:rPr>
                <w:rFonts w:ascii="Arial;sans-serif" w:hAnsi="Arial;sans-serif"/>
                <w:b/>
                <w:color w:val="00539B"/>
                <w:sz w:val="16"/>
              </w:rPr>
              <w:t>(11)</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6"/>
              </w:rPr>
            </w:pPr>
            <w:r>
              <w:rPr>
                <w:rFonts w:ascii="Arial;sans-serif" w:hAnsi="Arial;sans-serif"/>
                <w:b/>
                <w:color w:val="00539B"/>
                <w:sz w:val="16"/>
              </w:rPr>
              <w:t>(11)</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Dividends on common stock, </w:t>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$0.52 per share</w:t>
            </w:r>
          </w:p>
        </w:tc>
        <w:tc>
          <w:tcPr>
            <w:tcW w:w="7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6"/>
              </w:rPr>
            </w:pPr>
            <w:r>
              <w:rPr>
                <w:rFonts w:ascii="Arial;sans-serif" w:hAnsi="Arial;sans-serif"/>
                <w:b/>
                <w:color w:val="00539B"/>
                <w:sz w:val="16"/>
              </w:rPr>
              <w:t>(523)</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6"/>
              </w:rPr>
            </w:pPr>
            <w:r>
              <w:rPr>
                <w:rFonts w:ascii="Arial;sans-serif" w:hAnsi="Arial;sans-serif"/>
                <w:b/>
                <w:color w:val="00539B"/>
                <w:sz w:val="16"/>
              </w:rPr>
              <w:t>(523)</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Dividends on preferred stock, </w:t>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$4,000 per share</w:t>
            </w:r>
          </w:p>
        </w:tc>
        <w:tc>
          <w:tcPr>
            <w:tcW w:w="7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6"/>
              </w:rPr>
            </w:pPr>
            <w:r>
              <w:rPr>
                <w:rFonts w:ascii="Arial;sans-serif" w:hAnsi="Arial;sans-serif"/>
                <w:b/>
                <w:color w:val="00539B"/>
                <w:sz w:val="16"/>
              </w:rPr>
              <w:t>(340)</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6"/>
              </w:rPr>
            </w:pPr>
            <w:r>
              <w:rPr>
                <w:rFonts w:ascii="Arial;sans-serif" w:hAnsi="Arial;sans-serif"/>
                <w:b/>
                <w:color w:val="00539B"/>
                <w:sz w:val="16"/>
              </w:rPr>
              <w:t>(340)</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1389"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1389"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Shareholder warrants exercised</w:t>
            </w:r>
          </w:p>
        </w:tc>
        <w:tc>
          <w:tcPr>
            <w:tcW w:w="7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6"/>
              </w:rPr>
              <w:t>3</w:t>
            </w:r>
            <w:r>
              <w:rPr>
                <w:color w:val="00539B"/>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6"/>
              </w:rPr>
              <w:t>273</w:t>
            </w:r>
            <w:r>
              <w:rPr>
                <w:color w:val="00539B"/>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6"/>
              </w:rPr>
              <w:t>276</w:t>
            </w:r>
            <w:r>
              <w:rPr>
                <w:color w:val="00539B"/>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Options exercised</w:t>
            </w:r>
          </w:p>
        </w:tc>
        <w:tc>
          <w:tcPr>
            <w:tcW w:w="7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6"/>
              </w:rPr>
              <w:t>9</w:t>
            </w:r>
            <w:r>
              <w:rPr>
                <w:color w:val="00539B"/>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6"/>
              </w:rPr>
              <w:t>9</w:t>
            </w:r>
            <w:r>
              <w:rPr>
                <w:color w:val="00539B"/>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Issuance of common stock and </w:t>
              <w:br/>
              <w:t>  other, net of cancellations</w:t>
            </w:r>
          </w:p>
        </w:tc>
        <w:tc>
          <w:tcPr>
            <w:tcW w:w="7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6"/>
              </w:rPr>
              <w:t>96</w:t>
            </w:r>
            <w:r>
              <w:rPr>
                <w:color w:val="00539B"/>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6"/>
              </w:rPr>
              <w:t>96</w:t>
            </w:r>
            <w:r>
              <w:rPr>
                <w:color w:val="00539B"/>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treasury stock</w:t>
            </w:r>
          </w:p>
        </w:tc>
        <w:tc>
          <w:tcPr>
            <w:tcW w:w="7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6"/>
              </w:rPr>
            </w:pPr>
            <w:r>
              <w:rPr>
                <w:rFonts w:ascii="Arial;sans-serif" w:hAnsi="Arial;sans-serif"/>
                <w:b/>
                <w:color w:val="00539B"/>
                <w:sz w:val="16"/>
              </w:rPr>
              <w:t>(117)</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6"/>
              </w:rPr>
            </w:pPr>
            <w:r>
              <w:rPr>
                <w:rFonts w:ascii="Arial;sans-serif" w:hAnsi="Arial;sans-serif"/>
                <w:b/>
                <w:color w:val="00539B"/>
                <w:sz w:val="16"/>
              </w:rPr>
              <w:t>(117)</w:t>
            </w:r>
          </w:p>
        </w:tc>
        <w:tc>
          <w:tcPr>
            <w:tcW w:w="169"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 contributions, net</w:t>
            </w:r>
          </w:p>
        </w:tc>
        <w:tc>
          <w:tcPr>
            <w:tcW w:w="7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6"/>
              </w:rPr>
              <w:t>38</w:t>
            </w:r>
            <w:r>
              <w:rPr>
                <w:color w:val="00539B"/>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6"/>
              </w:rPr>
              <w:t>38</w:t>
            </w:r>
            <w:r>
              <w:rPr>
                <w:color w:val="00539B"/>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6"/>
              </w:rPr>
            </w:pPr>
            <w:r>
              <w:rPr>
                <w:rFonts w:ascii="Arial;sans-serif" w:hAnsi="Arial;sans-serif"/>
                <w:b/>
                <w:color w:val="00539B"/>
                <w:sz w:val="16"/>
              </w:rPr>
              <w:t>Balance as of June 30, 2026</w:t>
            </w:r>
          </w:p>
        </w:tc>
        <w:tc>
          <w:tcPr>
            <w:tcW w:w="20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6"/>
              </w:rPr>
            </w:pPr>
            <w:r>
              <w:rPr>
                <w:rFonts w:ascii="Arial;sans-serif" w:hAnsi="Arial;sans-serif"/>
                <w:b/>
                <w:color w:val="00539B"/>
                <w:sz w:val="16"/>
              </w:rPr>
              <w:t>$</w:t>
            </w:r>
          </w:p>
        </w:tc>
        <w:tc>
          <w:tcPr>
            <w:tcW w:w="59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6"/>
              </w:rPr>
              <w:t>8,287</w:t>
            </w:r>
            <w:r>
              <w:rPr>
                <w:color w:val="00539B"/>
              </w:rPr>
              <w:t> </w:t>
            </w:r>
          </w:p>
        </w:tc>
        <w:tc>
          <w:tcPr>
            <w:tcW w:w="11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6"/>
              </w:rPr>
            </w:pPr>
            <w:r>
              <w:rPr>
                <w:rFonts w:ascii="Arial;sans-serif" w:hAnsi="Arial;sans-serif"/>
                <w:b/>
                <w:color w:val="00539B"/>
                <w:sz w:val="16"/>
              </w:rPr>
              <w:t>$</w:t>
            </w:r>
          </w:p>
        </w:tc>
        <w:tc>
          <w:tcPr>
            <w:tcW w:w="51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6"/>
              </w:rPr>
              <w:t>246</w:t>
            </w:r>
            <w:r>
              <w:rPr>
                <w:color w:val="00539B"/>
              </w:rPr>
              <w:t> </w:t>
            </w:r>
          </w:p>
        </w:tc>
        <w:tc>
          <w:tcPr>
            <w:tcW w:w="13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6"/>
              </w:rPr>
            </w:pPr>
            <w:r>
              <w:rPr>
                <w:rFonts w:ascii="Arial;sans-serif" w:hAnsi="Arial;sans-serif"/>
                <w:b/>
                <w:color w:val="00539B"/>
                <w:sz w:val="16"/>
              </w:rPr>
              <w:t>$</w:t>
            </w:r>
          </w:p>
        </w:tc>
        <w:tc>
          <w:tcPr>
            <w:tcW w:w="68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539B"/>
                <w:sz w:val="16"/>
              </w:rPr>
            </w:pPr>
            <w:r>
              <w:rPr>
                <w:rFonts w:ascii="Arial;sans-serif" w:hAnsi="Arial;sans-serif"/>
                <w:b/>
                <w:color w:val="00539B"/>
                <w:sz w:val="16"/>
              </w:rPr>
              <w:t>(15,714)</w:t>
            </w:r>
          </w:p>
        </w:tc>
        <w:tc>
          <w:tcPr>
            <w:tcW w:w="11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6"/>
              </w:rPr>
            </w:pPr>
            <w:r>
              <w:rPr>
                <w:rFonts w:ascii="Arial;sans-serif" w:hAnsi="Arial;sans-serif"/>
                <w:b/>
                <w:color w:val="00539B"/>
                <w:sz w:val="16"/>
              </w:rPr>
              <w:t>$</w:t>
            </w:r>
          </w:p>
        </w:tc>
        <w:tc>
          <w:tcPr>
            <w:tcW w:w="72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6"/>
              </w:rPr>
              <w:t>21,386</w:t>
            </w:r>
            <w:r>
              <w:rPr>
                <w:color w:val="00539B"/>
              </w:rPr>
              <w:t> </w:t>
            </w:r>
          </w:p>
        </w:tc>
        <w:tc>
          <w:tcPr>
            <w:tcW w:w="11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6"/>
              </w:rPr>
            </w:pPr>
            <w:r>
              <w:rPr>
                <w:rFonts w:ascii="Arial;sans-serif" w:hAnsi="Arial;sans-serif"/>
                <w:b/>
                <w:color w:val="00539B"/>
                <w:sz w:val="16"/>
              </w:rPr>
              <w:t>$</w:t>
            </w:r>
          </w:p>
        </w:tc>
        <w:tc>
          <w:tcPr>
            <w:tcW w:w="69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6"/>
              </w:rPr>
              <w:t>27,350</w:t>
            </w:r>
            <w:r>
              <w:rPr>
                <w:color w:val="00539B"/>
              </w:rPr>
              <w:t> </w:t>
            </w:r>
          </w:p>
        </w:tc>
        <w:tc>
          <w:tcPr>
            <w:tcW w:w="11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6"/>
              </w:rPr>
            </w:pPr>
            <w:r>
              <w:rPr>
                <w:rFonts w:ascii="Arial;sans-serif" w:hAnsi="Arial;sans-serif"/>
                <w:b/>
                <w:color w:val="00539B"/>
                <w:sz w:val="16"/>
              </w:rPr>
              <w:t>$</w:t>
            </w:r>
          </w:p>
        </w:tc>
        <w:tc>
          <w:tcPr>
            <w:tcW w:w="92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6"/>
              </w:rPr>
              <w:t>191</w:t>
            </w:r>
            <w:r>
              <w:rPr>
                <w:color w:val="00539B"/>
              </w:rPr>
              <w:t> </w:t>
            </w:r>
          </w:p>
        </w:tc>
        <w:tc>
          <w:tcPr>
            <w:tcW w:w="23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6"/>
              </w:rPr>
            </w:pPr>
            <w:r>
              <w:rPr>
                <w:rFonts w:ascii="Arial;sans-serif" w:hAnsi="Arial;sans-serif"/>
                <w:b/>
                <w:color w:val="00539B"/>
                <w:sz w:val="16"/>
              </w:rPr>
              <w:t>$</w:t>
            </w:r>
          </w:p>
        </w:tc>
        <w:tc>
          <w:tcPr>
            <w:tcW w:w="79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6"/>
              </w:rPr>
              <w:t>635</w:t>
            </w:r>
            <w:r>
              <w:rPr>
                <w:color w:val="00539B"/>
              </w:rPr>
              <w:t> </w:t>
            </w:r>
          </w:p>
        </w:tc>
        <w:tc>
          <w:tcPr>
            <w:tcW w:w="20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6"/>
              </w:rPr>
            </w:pPr>
            <w:r>
              <w:rPr>
                <w:rFonts w:ascii="Arial;sans-serif" w:hAnsi="Arial;sans-serif"/>
                <w:b/>
                <w:color w:val="00539B"/>
                <w:sz w:val="16"/>
              </w:rPr>
              <w:t>$</w:t>
            </w:r>
          </w:p>
        </w:tc>
        <w:tc>
          <w:tcPr>
            <w:tcW w:w="66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6"/>
              </w:rPr>
              <w:t>42,381</w:t>
            </w:r>
            <w:r>
              <w:rPr>
                <w:color w:val="00539B"/>
              </w:rPr>
              <w:t> </w:t>
            </w:r>
          </w:p>
        </w:tc>
        <w:tc>
          <w:tcPr>
            <w:tcW w:w="16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75"/>
        <w:gridCol w:w="2000"/>
        <w:gridCol w:w="2006"/>
        <w:gridCol w:w="1148"/>
        <w:gridCol w:w="1148"/>
        <w:gridCol w:w="1628"/>
      </w:tblGrid>
      <w:tr>
        <w:trPr/>
        <w:tc>
          <w:tcPr>
            <w:tcW w:w="2275"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r>
      <w:tr>
        <w:trPr/>
        <w:tc>
          <w:tcPr>
            <w:tcW w:w="62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28"/>
              </w:rPr>
            </w:pPr>
            <w:r>
              <w:rPr>
                <w:rFonts w:ascii="Arial;sans-serif" w:hAnsi="Arial;sans-serif"/>
                <w:b/>
                <w:color w:val="00539B"/>
                <w:sz w:val="28"/>
              </w:rPr>
              <w:t>Consolidated Condensed Statements of Cash Flows</w:t>
            </w:r>
          </w:p>
        </w:tc>
        <w:tc>
          <w:tcPr>
            <w:tcW w:w="39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Occidental Petroleum Corporation and Subsidiaries</w:t>
            </w:r>
          </w:p>
        </w:tc>
      </w:tr>
    </w:tbl>
    <w:tbl>
      <w:tblPr>
        <w:tblW w:w="10205" w:type="dxa"/>
        <w:jc w:val="left"/>
        <w:tblInd w:w="0" w:type="dxa"/>
        <w:tblLayout w:type="fixed"/>
        <w:tblCellMar>
          <w:top w:w="28" w:type="dxa"/>
          <w:left w:w="28" w:type="dxa"/>
          <w:bottom w:w="28" w:type="dxa"/>
          <w:right w:w="28" w:type="dxa"/>
        </w:tblCellMar>
      </w:tblPr>
      <w:tblGrid>
        <w:gridCol w:w="2753"/>
        <w:gridCol w:w="2405"/>
        <w:gridCol w:w="2431"/>
        <w:gridCol w:w="279"/>
        <w:gridCol w:w="854"/>
        <w:gridCol w:w="143"/>
        <w:gridCol w:w="279"/>
        <w:gridCol w:w="854"/>
        <w:gridCol w:w="207"/>
      </w:tblGrid>
      <w:tr>
        <w:trPr/>
        <w:tc>
          <w:tcPr>
            <w:tcW w:w="2753"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7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 xml:space="preserve">Six months ended June 30, </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12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2026</w:t>
            </w:r>
          </w:p>
        </w:tc>
        <w:tc>
          <w:tcPr>
            <w:tcW w:w="13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2025</w:t>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CASH FLOW FROM OPERATING ACTIVITIES</w:t>
            </w:r>
          </w:p>
        </w:tc>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w:t>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6,355</w:t>
            </w:r>
            <w:r>
              <w:rPr>
                <w:color w:val="00539B"/>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1,413 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Adjustments to reconcile net income to net cash provided by operating activities:</w:t>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Discontinued operations, net</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(3,119)</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(245)</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Depreciation, depletion and amortization of assets</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3,641</w:t>
            </w:r>
            <w:r>
              <w:rPr>
                <w:color w:val="00539B"/>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3,627 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Deferred income tax provision (benefit)</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757</w:t>
            </w:r>
            <w:r>
              <w:rPr>
                <w:color w:val="00539B"/>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(137)</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Asset impairments and other charges</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105</w:t>
            </w:r>
            <w:r>
              <w:rPr>
                <w:color w:val="00539B"/>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Losses on sales of assets and other, net</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22</w:t>
            </w:r>
            <w:r>
              <w:rPr>
                <w:color w:val="00539B"/>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Other noncash charges to income </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100</w:t>
            </w:r>
            <w:r>
              <w:rPr>
                <w:color w:val="00539B"/>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497 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Changes in operating assets and liabilities:</w:t>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(Increase) decrease in trade receivables</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(566)</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121 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(Increase) decrease in inventories</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(334)</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286 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(Increase) decrease in joint interest receivables and other current assets</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(172)</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Decrease in accounts payable and accrued liabilities</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(314)</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(658)</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Increase (decrease) in current domestic and foreign income taxes</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w:t>
            </w:r>
            <w:r>
              <w:rPr>
                <w:color w:val="00539B"/>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(193)</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cash flow from continuing operations</w:t>
            </w:r>
          </w:p>
        </w:tc>
        <w:tc>
          <w:tcPr>
            <w:tcW w:w="113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6,478</w:t>
            </w:r>
            <w:r>
              <w:rPr>
                <w:color w:val="00539B"/>
              </w:rPr>
              <w:t> </w:t>
            </w:r>
          </w:p>
        </w:tc>
        <w:tc>
          <w:tcPr>
            <w:tcW w:w="1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4,761 </w:t>
            </w:r>
          </w:p>
        </w:tc>
        <w:tc>
          <w:tcPr>
            <w:tcW w:w="20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cash flow from discontinued operations, net of taxes</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(926)</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347 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Net cash provided by operating activities</w:t>
            </w:r>
          </w:p>
        </w:tc>
        <w:tc>
          <w:tcPr>
            <w:tcW w:w="113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5,552</w:t>
            </w:r>
            <w:r>
              <w:rPr>
                <w:color w:val="00539B"/>
              </w:rPr>
              <w:t> </w:t>
            </w:r>
          </w:p>
        </w:tc>
        <w:tc>
          <w:tcPr>
            <w:tcW w:w="1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5,108 </w:t>
            </w:r>
          </w:p>
        </w:tc>
        <w:tc>
          <w:tcPr>
            <w:tcW w:w="20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CASH FLOW FROM INVESTING ACTIVITIES</w:t>
            </w:r>
          </w:p>
        </w:tc>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Capital expenditures</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(3,143)</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(3,387)</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Change in capital accrual</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(65)</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Purchases of assets, businesses and equity investments, net</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(94)</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(108)</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Proceeds from sales of assets, net</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71</w:t>
            </w:r>
            <w:r>
              <w:rPr>
                <w:color w:val="00539B"/>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1,450 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Equity investments and other, net</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(164)</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(149)</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Investing cash flow from continuing operations</w:t>
            </w:r>
          </w:p>
        </w:tc>
        <w:tc>
          <w:tcPr>
            <w:tcW w:w="113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(3,395)</w:t>
            </w:r>
          </w:p>
        </w:tc>
        <w:tc>
          <w:tcPr>
            <w:tcW w:w="1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(2,168)</w:t>
            </w:r>
          </w:p>
        </w:tc>
        <w:tc>
          <w:tcPr>
            <w:tcW w:w="20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Investing cash flow from discontinued operations</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9,461</w:t>
            </w:r>
            <w:r>
              <w:rPr>
                <w:color w:val="00539B"/>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(562)</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Net cash provided (used) by investing activities</w:t>
            </w:r>
          </w:p>
        </w:tc>
        <w:tc>
          <w:tcPr>
            <w:tcW w:w="113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6,066</w:t>
            </w:r>
            <w:r>
              <w:rPr>
                <w:color w:val="00539B"/>
              </w:rPr>
              <w:t> </w:t>
            </w:r>
          </w:p>
        </w:tc>
        <w:tc>
          <w:tcPr>
            <w:tcW w:w="1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(2,730)</w:t>
            </w:r>
          </w:p>
        </w:tc>
        <w:tc>
          <w:tcPr>
            <w:tcW w:w="20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CASH FLOW FROM FINANCING ACTIVITIES</w:t>
            </w:r>
          </w:p>
        </w:tc>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Payments of debt</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(8,695)</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(2,280)</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dividends paid on common and preferred stock</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(839)</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(778)</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Proceeds from issuance of common stock</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295</w:t>
            </w:r>
            <w:r>
              <w:rPr>
                <w:color w:val="00539B"/>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931 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Purchases of treasury stock</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(117)</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Contributions from noncontrolling interest, net</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38</w:t>
            </w:r>
            <w:r>
              <w:rPr>
                <w:color w:val="00539B"/>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114 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financing, net</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(158)</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(158)</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Financing cash flow from continuing operations</w:t>
            </w:r>
          </w:p>
        </w:tc>
        <w:tc>
          <w:tcPr>
            <w:tcW w:w="113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(9,476)</w:t>
            </w:r>
          </w:p>
        </w:tc>
        <w:tc>
          <w:tcPr>
            <w:tcW w:w="1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(2,171)</w:t>
            </w:r>
          </w:p>
        </w:tc>
        <w:tc>
          <w:tcPr>
            <w:tcW w:w="20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Financing cash flow from discontinued operations</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Net cash used by financing activities</w:t>
            </w:r>
          </w:p>
        </w:tc>
        <w:tc>
          <w:tcPr>
            <w:tcW w:w="113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(9,476)</w:t>
            </w:r>
          </w:p>
        </w:tc>
        <w:tc>
          <w:tcPr>
            <w:tcW w:w="1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(2,175)</w:t>
            </w:r>
          </w:p>
        </w:tc>
        <w:tc>
          <w:tcPr>
            <w:tcW w:w="20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75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Increase in cash, cash equivalents, restricted cash and restricted cash equivalents</w:t>
            </w:r>
          </w:p>
        </w:tc>
        <w:tc>
          <w:tcPr>
            <w:tcW w:w="113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2,142</w:t>
            </w:r>
            <w:r>
              <w:rPr>
                <w:color w:val="00539B"/>
              </w:rPr>
              <w:t> </w:t>
            </w:r>
          </w:p>
        </w:tc>
        <w:tc>
          <w:tcPr>
            <w:tcW w:w="1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203 </w:t>
            </w:r>
          </w:p>
        </w:tc>
        <w:tc>
          <w:tcPr>
            <w:tcW w:w="207"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Cash, cash equivalents, restricted cash and restricted cash equivalents — beginning of period</w:t>
            </w:r>
          </w:p>
        </w:tc>
        <w:tc>
          <w:tcPr>
            <w:tcW w:w="113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2,046</w:t>
            </w:r>
            <w:r>
              <w:rPr>
                <w:color w:val="00539B"/>
              </w:rPr>
              <w:t> </w:t>
            </w:r>
          </w:p>
        </w:tc>
        <w:tc>
          <w:tcPr>
            <w:tcW w:w="1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2,157 </w:t>
            </w:r>
          </w:p>
        </w:tc>
        <w:tc>
          <w:tcPr>
            <w:tcW w:w="207"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Cash, cash equivalents, restricted cash and restricted cash equivalents — end of period</w:t>
            </w:r>
          </w:p>
        </w:tc>
        <w:tc>
          <w:tcPr>
            <w:tcW w:w="27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4,188</w:t>
            </w:r>
            <w:r>
              <w:rPr>
                <w:color w:val="00539B"/>
              </w:rPr>
              <w:t> </w:t>
            </w:r>
          </w:p>
        </w:tc>
        <w:tc>
          <w:tcPr>
            <w:tcW w:w="1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2,360 </w:t>
            </w:r>
          </w:p>
        </w:tc>
        <w:tc>
          <w:tcPr>
            <w:tcW w:w="20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Condensed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330"/>
        <w:gridCol w:w="2049"/>
        <w:gridCol w:w="2055"/>
        <w:gridCol w:w="1103"/>
        <w:gridCol w:w="1103"/>
        <w:gridCol w:w="1565"/>
      </w:tblGrid>
      <w:tr>
        <w:trPr/>
        <w:tc>
          <w:tcPr>
            <w:tcW w:w="2330"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28"/>
              </w:rPr>
            </w:pPr>
            <w:r>
              <w:rPr>
                <w:rFonts w:ascii="Arial;sans-serif" w:hAnsi="Arial;sans-serif"/>
                <w:b/>
                <w:color w:val="00539B"/>
                <w:sz w:val="28"/>
              </w:rPr>
              <w:t>Notes to Consolidated Condensed Financial Statements</w:t>
            </w:r>
          </w:p>
        </w:tc>
        <w:tc>
          <w:tcPr>
            <w:tcW w:w="37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Occidental Petroleum Corporation and Subsidiaries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325" w:type="dxa"/>
        <w:jc w:val="left"/>
        <w:tblInd w:w="0" w:type="dxa"/>
        <w:tblLayout w:type="fixed"/>
        <w:tblCellMar>
          <w:top w:w="28" w:type="dxa"/>
          <w:left w:w="28" w:type="dxa"/>
          <w:bottom w:w="28" w:type="dxa"/>
          <w:right w:w="28" w:type="dxa"/>
        </w:tblCellMar>
      </w:tblPr>
      <w:tblGrid>
        <w:gridCol w:w="743"/>
        <w:gridCol w:w="654"/>
        <w:gridCol w:w="928"/>
      </w:tblGrid>
      <w:tr>
        <w:trPr/>
        <w:tc>
          <w:tcPr>
            <w:tcW w:w="74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12" w:space="0" w:color="00539B"/>
              <w:bottom w:val="single" w:sz="12" w:space="0" w:color="00539B"/>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539B"/>
                <w:sz w:val="28"/>
              </w:rPr>
            </w:pPr>
            <w:r>
              <w:rPr>
                <w:rFonts w:ascii="Arial Narrow;sans-serif" w:hAnsi="Arial Narrow;sans-serif"/>
                <w:b/>
                <w:color w:val="00539B"/>
                <w:sz w:val="28"/>
              </w:rPr>
              <w:t>NOTE 1 - GENERAL</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539B"/>
          <w:sz w:val="23"/>
        </w:rPr>
      </w:pPr>
      <w:r>
        <w:rPr>
          <w:rFonts w:ascii="Arial;sans-serif" w:hAnsi="Arial;sans-serif"/>
          <w:b/>
          <w:color w:val="00539B"/>
          <w:sz w:val="23"/>
        </w:rPr>
        <w:t>NATURE OF OPERATIONS</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Company conducts its operations through various subsidiaries and affiliates. The Company has made its disclosures in accordance with United States generally accepted accounting principles as they apply to interim reporting and has condensed or omitted, as permitted by the rules and regulations of the SEC, certain information and disclosures normally included in Consolidated Financial Statements and the notes thereto. These unaudited Consolidated Condensed Financial Statements should be read in conjunction with the audited Consolidated Financial Statements and the notes thereto in the 2025 Form 10-K.</w:t>
      </w:r>
    </w:p>
    <w:p>
      <w:pPr>
        <w:pStyle w:val="TextBody"/>
        <w:bidi w:val="0"/>
        <w:spacing w:lineRule="auto" w:line="288" w:before="0" w:after="0"/>
        <w:ind w:left="0" w:right="0" w:firstLine="270"/>
        <w:jc w:val="both"/>
        <w:rPr/>
      </w:pPr>
      <w:r>
        <w:rPr>
          <w:rFonts w:ascii="Arial;sans-serif" w:hAnsi="Arial;sans-serif"/>
          <w:b w:val="false"/>
          <w:color w:val="000000"/>
          <w:sz w:val="19"/>
        </w:rPr>
        <w:t>In the opinion of the Company's management, the accompanying unaudited Consolidated Condensed Financial Statements in this report reflect all adjustments (consisting of normal recurring adjustments) that are necessary to fairly present the Company's results of operations and cash flows for the six months ended June 30, 2026 and 2025 and the Company</w:t>
      </w:r>
      <w:r>
        <w:rPr>
          <w:rFonts w:ascii="Times New Roman;serif" w:hAnsi="Times New Roman;serif"/>
          <w:b w:val="false"/>
          <w:color w:val="000000"/>
          <w:sz w:val="20"/>
        </w:rPr>
        <w:t>'</w:t>
      </w:r>
      <w:r>
        <w:rPr>
          <w:rFonts w:ascii="Arial;sans-serif" w:hAnsi="Arial;sans-serif"/>
          <w:b w:val="false"/>
          <w:color w:val="000000"/>
          <w:sz w:val="19"/>
        </w:rPr>
        <w:t>s financial position as of June 30, 2026 and December 31, 2025. The income and cash flows for the periods ended June 30, 2026 and 2025 are not necessarily indicative of the income or cash flows to be expected for the full year.</w:t>
      </w:r>
    </w:p>
    <w:p>
      <w:pPr>
        <w:pStyle w:val="TextBody"/>
        <w:bidi w:val="0"/>
        <w:spacing w:before="0" w:after="0"/>
        <w:jc w:val="both"/>
        <w:rPr/>
      </w:pPr>
      <w:r>
        <w:rPr/>
      </w:r>
    </w:p>
    <w:p>
      <w:pPr>
        <w:pStyle w:val="TextBody"/>
        <w:bidi w:val="0"/>
        <w:spacing w:lineRule="auto" w:line="288" w:before="40" w:after="283"/>
        <w:jc w:val="both"/>
        <w:rPr>
          <w:rFonts w:ascii="Arial;sans-serif" w:hAnsi="Arial;sans-serif"/>
          <w:b/>
          <w:color w:val="00539B"/>
          <w:sz w:val="23"/>
        </w:rPr>
      </w:pPr>
      <w:r>
        <w:rPr>
          <w:rFonts w:ascii="Arial;sans-serif" w:hAnsi="Arial;sans-serif"/>
          <w:b/>
          <w:color w:val="00539B"/>
          <w:sz w:val="23"/>
        </w:rPr>
        <w:t>WES INVESTMENT</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WES is a publicly traded limited partnership with its limited partner units traded on the NYSE under the ticker symbol "WES." As of June 30, 2026, the Company owned all of the 2.1% non-voting general partner interest, 36.4% of the WES limited partner units, and a 1.9% non-voting limited partner interest in WES Operating, a subsidiary of WES. In February 2026, in connection with the amendment of certain commercial agreements, the Company transferred 15.3 million units to WES, and recorded charges of $105 million. In June 2026, WES acquired Brazos Delaware II, LLC with a mix of equity and cash, and the Company recognized a gain of $220 million from its pro-rata ownership reduction in WES. As of June 30, 2026, the Company's combined share of net income from WES and its subsidiaries was 39.0%.</w:t>
      </w:r>
    </w:p>
    <w:p>
      <w:pPr>
        <w:pStyle w:val="TextBody"/>
        <w:bidi w:val="0"/>
        <w:spacing w:before="40" w:after="283"/>
        <w:jc w:val="both"/>
        <w:rPr/>
      </w:pPr>
      <w:r>
        <w:rPr/>
      </w:r>
    </w:p>
    <w:p>
      <w:pPr>
        <w:pStyle w:val="TextBody"/>
        <w:bidi w:val="0"/>
        <w:spacing w:lineRule="auto" w:line="288" w:before="40" w:after="283"/>
        <w:jc w:val="both"/>
        <w:rPr>
          <w:rFonts w:ascii="Arial;sans-serif" w:hAnsi="Arial;sans-serif"/>
          <w:b/>
          <w:color w:val="00539B"/>
          <w:sz w:val="23"/>
        </w:rPr>
      </w:pPr>
      <w:r>
        <w:rPr>
          <w:rFonts w:ascii="Arial;sans-serif" w:hAnsi="Arial;sans-serif"/>
          <w:b/>
          <w:color w:val="00539B"/>
          <w:sz w:val="23"/>
        </w:rPr>
        <w:t>DISCONTINUED OPERATIONS</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OxyChem Transaction closed on January 2, 2026 for an adjusted sales price of $9.5 billion, subject to additional post-closing adjustments. In connection with the transaction, the Company retained environmental liabilities relating to legacy sites. Furthermore, there are post-closing indemnification obligations for (i) such legacy environmental liabilities and (ii) pre-closing liabilities of OxyChem, including pre-closing environmental liabilities, in each case subject to certain limitations and procedures, and Occidental entered into a guaranty in favor of Berkshire Hathaway to guarantee these indemnification obligations.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As a result of our agreement to sell OxyChem, the following changes in our basis of presentation have occurred: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In accordance with ASC 205, Discontinued Operations, intersegment sales from our oil and gas and midstream and marketing segments to the chemical segment are no longer eliminated as intercompany transactions. All periods presented have been retrospectively adjusted to reflect this change.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Beginning October 1, 2025, in accordance with ASC 360, Property, Plant, and Equipment (PP&amp;E), depreciation and amortization were no longer recorded for the chemical segment's PP&amp;E and right of use lease assets.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 xml:space="preserve">Unless otherwise indicated, information presented in the Notes to Consolidated Financial Statements relates only to the Company's continuing operations. Additional information related to discontinued operations is included in </w:t>
      </w:r>
      <w:hyperlink w:anchor="i3d54dccfbfc2441b99c01f1c1099ad60_64">
        <w:r>
          <w:rPr>
            <w:rStyle w:val="InternetLink"/>
            <w:rFonts w:ascii="Arial;sans-serif" w:hAnsi="Arial;sans-serif"/>
            <w:b w:val="false"/>
            <w:color w:val="000000"/>
            <w:sz w:val="19"/>
            <w:u w:val="single"/>
          </w:rPr>
          <w:t>Note 4 - Acquisitions, Divestitures and Other Transactions</w:t>
        </w:r>
      </w:hyperlink>
      <w:r>
        <w:rPr>
          <w:color w:val="000000"/>
        </w:rPr>
        <w:t xml:space="preserve"> </w:t>
      </w:r>
      <w:r>
        <w:rPr>
          <w:rFonts w:ascii="Arial;sans-serif" w:hAnsi="Arial;sans-serif"/>
          <w:b w:val="false"/>
          <w:color w:val="000000"/>
          <w:sz w:val="19"/>
        </w:rPr>
        <w:t>and in some instances, where appropriate, is included as a separate disclosure within the individual Notes to Consolidated Financial Statements.</w:t>
      </w:r>
    </w:p>
    <w:p>
      <w:pPr>
        <w:pStyle w:val="TextBody"/>
        <w:bidi w:val="0"/>
        <w:spacing w:before="0" w:after="0"/>
        <w:jc w:val="both"/>
        <w:rPr/>
      </w:pPr>
      <w:r>
        <w:rPr/>
      </w:r>
    </w:p>
    <w:p>
      <w:pPr>
        <w:pStyle w:val="TextBody"/>
        <w:bidi w:val="0"/>
        <w:spacing w:lineRule="auto" w:line="288" w:before="40" w:after="283"/>
        <w:jc w:val="both"/>
        <w:rPr>
          <w:rFonts w:ascii="Arial;sans-serif" w:hAnsi="Arial;sans-serif"/>
          <w:b/>
          <w:color w:val="00539B"/>
          <w:sz w:val="23"/>
        </w:rPr>
      </w:pPr>
      <w:r>
        <w:rPr>
          <w:rFonts w:ascii="Arial;sans-serif" w:hAnsi="Arial;sans-serif"/>
          <w:b/>
          <w:color w:val="00539B"/>
          <w:sz w:val="23"/>
        </w:rPr>
        <w:t>NONCONTROLLING INTEREST</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Together with BlackRock, the Company is a joint venture partner in the development of the world's first commercial-scale direct air capture facility. As the primary beneficiary, the Company consolidates the joint venture, which is classified as a Variable Interest Entity. BlackRock's investment is accounted for as an NCI. As of June 30, 2026, BlackRock has invested the entirety of its total commitment of $550 million. In addition, the Company has entered into agreements with the joint venture related to project management, operations and maintenance and carbon removal offtake. The Company may incur additional payments if certain construction and operational thresholds are not met.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may call the NCI on June 30, 2035 or earlier if the plant does not achieve commercial operations or ceases and permanently discontinues operations. Dividends from the joint venture will be distributed preferentially to the NCI up to a return threshold, then preferentially to the Company thereafter. The NCI receives preferential distributions in liquidation.</w:t>
      </w:r>
    </w:p>
    <w:p>
      <w:pPr>
        <w:pStyle w:val="TextBody"/>
        <w:bidi w:val="0"/>
        <w:spacing w:lineRule="auto" w:line="288" w:before="0" w:after="0"/>
        <w:jc w:val="both"/>
        <w:rPr/>
      </w:pPr>
      <w:r>
        <w:rPr>
          <w:rFonts w:ascii="Arial;sans-serif" w:hAnsi="Arial;sans-serif"/>
          <w:b w:val="false"/>
          <w:color w:val="000000"/>
          <w:sz w:val="19"/>
        </w:rPr>
        <w:t xml:space="preserve">The Company has determined that the appropriate methodology for attributing income and loss from the joint venture is the Hypothetical Liquidation at Book Value method. As of June 30, 2026, the joint venture's assets were comprised of $1.3 billion construction in progress. Noncontrolling interest as of June 30, 2026 was $635 million. In the </w:t>
      </w:r>
      <w:r>
        <w:rPr>
          <w:rFonts w:ascii="Arial;sans-serif" w:hAnsi="Arial;sans-serif"/>
          <w:b w:val="false"/>
          <w:color w:val="000000"/>
          <w:sz w:val="18"/>
        </w:rPr>
        <w:t xml:space="preserve">six months ended June 30, 2026, contributions of </w:t>
      </w:r>
      <w:r>
        <w:rPr>
          <w:rFonts w:ascii="Arial;sans-serif" w:hAnsi="Arial;sans-serif"/>
          <w:b w:val="false"/>
          <w:color w:val="000000"/>
          <w:sz w:val="19"/>
        </w:rPr>
        <w:t>$50 million from BlackRock were netted with $12 million in distributions to BlackRock.</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539B"/>
          <w:sz w:val="23"/>
        </w:rPr>
      </w:pPr>
      <w:r>
        <w:rPr>
          <w:rFonts w:ascii="Arial;sans-serif" w:hAnsi="Arial;sans-serif"/>
          <w:b/>
          <w:color w:val="00539B"/>
          <w:sz w:val="23"/>
        </w:rPr>
        <w:t>CASH EQUIVALENTS AND RESTRICTED CASH EQUIVALENTS</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Company considers all highly liquid investments with a maturity of three months or less when purchased to be cash equivalents or restricted cash equivalents. The cash equivalents and restricted cash equivalents balances for the periods presented include investments in government money market funds in which the carrying value approximates fair value.</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following table provides a reconciliation of cash, cash equivalents, restricted cash and restricted cash equivalents as reported in the Consolidated Condensed Statements of Cash Flows as of:</w:t>
      </w:r>
    </w:p>
    <w:p>
      <w:pPr>
        <w:pStyle w:val="TextBody"/>
        <w:bidi w:val="0"/>
        <w:spacing w:before="0" w:after="0"/>
        <w:ind w:left="0" w:right="0" w:firstLine="270"/>
        <w:jc w:val="both"/>
        <w:rPr/>
      </w:pPr>
      <w:r>
        <w:rPr/>
      </w:r>
    </w:p>
    <w:tbl>
      <w:tblPr>
        <w:tblW w:w="10004" w:type="dxa"/>
        <w:jc w:val="left"/>
        <w:tblInd w:w="0" w:type="dxa"/>
        <w:tblLayout w:type="fixed"/>
        <w:tblCellMar>
          <w:top w:w="28" w:type="dxa"/>
          <w:left w:w="28" w:type="dxa"/>
          <w:bottom w:w="28" w:type="dxa"/>
          <w:right w:w="28" w:type="dxa"/>
        </w:tblCellMar>
      </w:tblPr>
      <w:tblGrid>
        <w:gridCol w:w="2627"/>
        <w:gridCol w:w="2300"/>
        <w:gridCol w:w="2332"/>
        <w:gridCol w:w="298"/>
        <w:gridCol w:w="913"/>
        <w:gridCol w:w="154"/>
        <w:gridCol w:w="288"/>
        <w:gridCol w:w="882"/>
        <w:gridCol w:w="210"/>
      </w:tblGrid>
      <w:tr>
        <w:trPr/>
        <w:tc>
          <w:tcPr>
            <w:tcW w:w="2627"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233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7259"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tcPr>
          <w:p>
            <w:pPr>
              <w:pStyle w:val="TableContents"/>
              <w:bidi w:val="0"/>
              <w:spacing w:before="0" w:after="283"/>
              <w:jc w:val="left"/>
              <w:rPr>
                <w:sz w:val="4"/>
                <w:szCs w:val="4"/>
              </w:rPr>
            </w:pPr>
            <w:r>
              <w:rPr>
                <w:sz w:val="4"/>
                <w:szCs w:val="4"/>
              </w:rPr>
            </w:r>
          </w:p>
        </w:tc>
      </w:tr>
      <w:tr>
        <w:trPr/>
        <w:tc>
          <w:tcPr>
            <w:tcW w:w="72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13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June 30, 2026</w:t>
            </w:r>
          </w:p>
        </w:tc>
        <w:tc>
          <w:tcPr>
            <w:tcW w:w="13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June 30, 2025</w:t>
            </w:r>
          </w:p>
        </w:tc>
      </w:tr>
      <w:tr>
        <w:trPr/>
        <w:tc>
          <w:tcPr>
            <w:tcW w:w="72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and cash equivalents</w:t>
            </w:r>
          </w:p>
        </w:tc>
        <w:tc>
          <w:tcPr>
            <w:tcW w:w="29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4,150</w:t>
            </w:r>
            <w:r>
              <w:rPr>
                <w:color w:val="00539B"/>
              </w:rPr>
              <w:t>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2,314 </w:t>
            </w:r>
          </w:p>
        </w:tc>
        <w:tc>
          <w:tcPr>
            <w:tcW w:w="2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and cash equivalents included in assets held for sale</w:t>
            </w:r>
          </w:p>
        </w:tc>
        <w:tc>
          <w:tcPr>
            <w:tcW w:w="12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Restricted cash and restricted cash equivalents included in other current assets</w:t>
            </w:r>
          </w:p>
        </w:tc>
        <w:tc>
          <w:tcPr>
            <w:tcW w:w="12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19</w:t>
            </w:r>
            <w:r>
              <w:rPr>
                <w:color w:val="00539B"/>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Restricted cash and restricted cash equivalents included in other long-term assets</w:t>
            </w:r>
          </w:p>
        </w:tc>
        <w:tc>
          <w:tcPr>
            <w:tcW w:w="12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19</w:t>
            </w:r>
            <w:r>
              <w:rPr>
                <w:color w:val="00539B"/>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cash equivalents, restricted cash and restricted cash equivalents</w:t>
            </w:r>
          </w:p>
        </w:tc>
        <w:tc>
          <w:tcPr>
            <w:tcW w:w="29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1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4,188</w:t>
            </w:r>
            <w:r>
              <w:rPr>
                <w:color w:val="00539B"/>
              </w:rPr>
              <w:t> </w:t>
            </w:r>
          </w:p>
        </w:tc>
        <w:tc>
          <w:tcPr>
            <w:tcW w:w="15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2,360 </w:t>
            </w:r>
          </w:p>
        </w:tc>
        <w:tc>
          <w:tcPr>
            <w:tcW w:w="21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color w:val="00539B"/>
          <w:sz w:val="23"/>
        </w:rPr>
      </w:pPr>
      <w:r>
        <w:rPr>
          <w:rFonts w:ascii="Arial;sans-serif" w:hAnsi="Arial;sans-serif"/>
          <w:b/>
          <w:color w:val="00539B"/>
          <w:sz w:val="23"/>
        </w:rPr>
        <w:t>RECEIVABLES AND OTHER CURRENT ASSETS</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Trade receivables, net of reserves, were $3.1 billion and $2.6 billion as of June 30, 2026 and December 31, 2025, respectively, and represent rights to payment for which the Company had satisfied its obligations under a contract with a customer and its right to payment was conditioned only on the passage of time. The allowance for doubtful accounts was insignificant as of both dates.</w:t>
      </w:r>
    </w:p>
    <w:p>
      <w:pPr>
        <w:pStyle w:val="TextBody"/>
        <w:bidi w:val="0"/>
        <w:spacing w:before="0" w:after="0"/>
        <w:ind w:left="0" w:right="0" w:firstLine="270"/>
        <w:jc w:val="both"/>
        <w:rPr/>
      </w:pPr>
      <w:r>
        <w:rPr/>
      </w:r>
    </w:p>
    <w:p>
      <w:pPr>
        <w:pStyle w:val="TextBody"/>
        <w:bidi w:val="0"/>
        <w:spacing w:lineRule="auto" w:line="288" w:before="0" w:after="0"/>
        <w:jc w:val="both"/>
        <w:rPr>
          <w:rFonts w:ascii="Arial;sans-serif" w:hAnsi="Arial;sans-serif"/>
          <w:b/>
          <w:color w:val="00539B"/>
          <w:sz w:val="23"/>
        </w:rPr>
      </w:pPr>
      <w:r>
        <w:rPr>
          <w:rFonts w:ascii="Arial;sans-serif" w:hAnsi="Arial;sans-serif"/>
          <w:b/>
          <w:color w:val="00539B"/>
          <w:sz w:val="23"/>
        </w:rPr>
        <w:t>SUPPLEMENTAL CASH FLOW INFORMATION</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 xml:space="preserve">The following table represents U.S. federal, state and international income taxes paid, refunds received and interest paid during the following periods: </w:t>
      </w:r>
    </w:p>
    <w:p>
      <w:pPr>
        <w:pStyle w:val="TextBody"/>
        <w:bidi w:val="0"/>
        <w:spacing w:before="0" w:after="0"/>
        <w:ind w:left="0" w:right="0" w:firstLine="270"/>
        <w:jc w:val="both"/>
        <w:rPr/>
      </w:pPr>
      <w:r>
        <w:rPr/>
      </w:r>
    </w:p>
    <w:tbl>
      <w:tblPr>
        <w:tblW w:w="8729" w:type="dxa"/>
        <w:jc w:val="left"/>
        <w:tblInd w:w="0" w:type="dxa"/>
        <w:tblLayout w:type="fixed"/>
        <w:tblCellMar>
          <w:top w:w="28" w:type="dxa"/>
          <w:left w:w="28" w:type="dxa"/>
          <w:bottom w:w="28" w:type="dxa"/>
          <w:right w:w="28" w:type="dxa"/>
        </w:tblCellMar>
      </w:tblPr>
      <w:tblGrid>
        <w:gridCol w:w="939"/>
        <w:gridCol w:w="821"/>
        <w:gridCol w:w="834"/>
        <w:gridCol w:w="819"/>
        <w:gridCol w:w="1874"/>
        <w:gridCol w:w="427"/>
        <w:gridCol w:w="752"/>
        <w:gridCol w:w="1714"/>
        <w:gridCol w:w="549"/>
      </w:tblGrid>
      <w:tr>
        <w:trPr/>
        <w:tc>
          <w:tcPr>
            <w:tcW w:w="93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120" w:type="dxa"/>
            <w:gridSpan w:val="3"/>
            <w:tcBorders/>
            <w:vAlign w:val="center"/>
          </w:tcPr>
          <w:p>
            <w:pPr>
              <w:pStyle w:val="TableContents"/>
              <w:bidi w:val="0"/>
              <w:spacing w:before="0" w:after="283"/>
              <w:jc w:val="left"/>
              <w:rPr>
                <w:sz w:val="4"/>
                <w:szCs w:val="4"/>
              </w:rPr>
            </w:pPr>
            <w:r>
              <w:rPr>
                <w:sz w:val="4"/>
                <w:szCs w:val="4"/>
              </w:rPr>
            </w:r>
          </w:p>
        </w:tc>
        <w:tc>
          <w:tcPr>
            <w:tcW w:w="3015" w:type="dxa"/>
            <w:gridSpan w:val="3"/>
            <w:tcBorders/>
          </w:tcPr>
          <w:p>
            <w:pPr>
              <w:pStyle w:val="TableContents"/>
              <w:bidi w:val="0"/>
              <w:spacing w:before="0" w:after="283"/>
              <w:jc w:val="left"/>
              <w:rPr>
                <w:sz w:val="4"/>
                <w:szCs w:val="4"/>
              </w:rPr>
            </w:pPr>
            <w:r>
              <w:rPr>
                <w:sz w:val="4"/>
                <w:szCs w:val="4"/>
              </w:rPr>
            </w:r>
          </w:p>
        </w:tc>
      </w:tr>
      <w:tr>
        <w:trPr/>
        <w:tc>
          <w:tcPr>
            <w:tcW w:w="25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3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Six months ended June 30, 2026</w:t>
            </w:r>
          </w:p>
        </w:tc>
        <w:tc>
          <w:tcPr>
            <w:tcW w:w="30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Six months ended June 30, 2025</w:t>
            </w:r>
          </w:p>
        </w:tc>
      </w:tr>
      <w:tr>
        <w:trPr/>
        <w:tc>
          <w:tcPr>
            <w:tcW w:w="25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tax payments</w:t>
            </w:r>
          </w:p>
        </w:tc>
        <w:tc>
          <w:tcPr>
            <w:tcW w:w="81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187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514</w:t>
            </w:r>
            <w:r>
              <w:rPr>
                <w:color w:val="00539B"/>
              </w:rPr>
              <w:t> </w:t>
            </w:r>
          </w:p>
        </w:tc>
        <w:tc>
          <w:tcPr>
            <w:tcW w:w="42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7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877 </w:t>
            </w:r>
          </w:p>
        </w:tc>
        <w:tc>
          <w:tcPr>
            <w:tcW w:w="54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tax refunds received</w:t>
            </w:r>
          </w:p>
        </w:tc>
        <w:tc>
          <w:tcPr>
            <w:tcW w:w="81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187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7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w:t>
            </w:r>
          </w:p>
        </w:tc>
        <w:tc>
          <w:tcPr>
            <w:tcW w:w="5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Interest paid </w:t>
            </w:r>
            <w:r>
              <w:rPr>
                <w:rFonts w:ascii="Arial;sans-serif" w:hAnsi="Arial;sans-serif"/>
                <w:b w:val="false"/>
                <w:color w:val="000000"/>
                <w:sz w:val="12"/>
              </w:rPr>
              <w:t>(a)</w:t>
            </w:r>
          </w:p>
        </w:tc>
        <w:tc>
          <w:tcPr>
            <w:tcW w:w="819"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1874"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523</w:t>
            </w:r>
            <w:r>
              <w:rPr>
                <w:color w:val="00539B"/>
              </w:rPr>
              <w:t> </w:t>
            </w:r>
          </w:p>
        </w:tc>
        <w:tc>
          <w:tcPr>
            <w:tcW w:w="427"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2"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714"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681 </w:t>
            </w:r>
          </w:p>
        </w:tc>
        <w:tc>
          <w:tcPr>
            <w:tcW w:w="54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2"/>
        </w:rPr>
        <w:t>(a)    </w:t>
      </w:r>
      <w:r>
        <w:rPr>
          <w:rFonts w:ascii="Arial;sans-serif" w:hAnsi="Arial;sans-serif"/>
          <w:b w:val="false"/>
          <w:color w:val="000000"/>
          <w:sz w:val="18"/>
        </w:rPr>
        <w:t>Net of capitalized interest of $103 million and $88 million for the six months ended June 30, 2026 and 2025, respectively.</w:t>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rFonts w:ascii="Arial;sans-serif" w:hAnsi="Arial;sans-serif"/>
          <w:b/>
          <w:color w:val="00539B"/>
          <w:sz w:val="23"/>
        </w:rPr>
      </w:pPr>
      <w:r>
        <w:rPr>
          <w:rFonts w:ascii="Arial;sans-serif" w:hAnsi="Arial;sans-serif"/>
          <w:b/>
          <w:color w:val="00539B"/>
          <w:sz w:val="23"/>
        </w:rPr>
        <w:t>INVENTORIES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Materials and supplies are valued at weighted-average cost and are reviewed periodically for obsolescence. Commodity inventory primarily represents oil, which is carried at the lower of weighted-average cost or net realizable value. </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Inventories consisted of the following as of:</w:t>
      </w:r>
    </w:p>
    <w:p>
      <w:pPr>
        <w:pStyle w:val="TextBody"/>
        <w:bidi w:val="0"/>
        <w:spacing w:before="0" w:after="0"/>
        <w:jc w:val="both"/>
        <w:rPr/>
      </w:pPr>
      <w:r>
        <w:rPr/>
      </w:r>
    </w:p>
    <w:tbl>
      <w:tblPr>
        <w:tblW w:w="5278" w:type="dxa"/>
        <w:jc w:val="left"/>
        <w:tblInd w:w="0" w:type="dxa"/>
        <w:tblLayout w:type="fixed"/>
        <w:tblCellMar>
          <w:top w:w="28" w:type="dxa"/>
          <w:left w:w="28" w:type="dxa"/>
          <w:bottom w:w="28" w:type="dxa"/>
          <w:right w:w="28" w:type="dxa"/>
        </w:tblCellMar>
      </w:tblPr>
      <w:tblGrid>
        <w:gridCol w:w="748"/>
        <w:gridCol w:w="655"/>
        <w:gridCol w:w="666"/>
        <w:gridCol w:w="298"/>
        <w:gridCol w:w="913"/>
        <w:gridCol w:w="154"/>
        <w:gridCol w:w="384"/>
        <w:gridCol w:w="1177"/>
        <w:gridCol w:w="283"/>
      </w:tblGrid>
      <w:tr>
        <w:trPr/>
        <w:tc>
          <w:tcPr>
            <w:tcW w:w="74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13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June 30, 2026</w:t>
            </w:r>
          </w:p>
        </w:tc>
        <w:tc>
          <w:tcPr>
            <w:tcW w:w="18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December 31, 2025</w:t>
            </w:r>
          </w:p>
        </w:tc>
      </w:tr>
      <w:tr>
        <w:trPr/>
        <w:tc>
          <w:tcPr>
            <w:tcW w:w="2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Materials and supplies</w:t>
            </w:r>
          </w:p>
        </w:tc>
        <w:tc>
          <w:tcPr>
            <w:tcW w:w="29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1,270</w:t>
            </w:r>
            <w:r>
              <w:rPr>
                <w:color w:val="00539B"/>
              </w:rPr>
              <w:t>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7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1,222 </w:t>
            </w:r>
          </w:p>
        </w:tc>
        <w:tc>
          <w:tcPr>
            <w:tcW w:w="28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Commodity inventory</w:t>
            </w:r>
          </w:p>
        </w:tc>
        <w:tc>
          <w:tcPr>
            <w:tcW w:w="12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915</w:t>
            </w:r>
            <w:r>
              <w:rPr>
                <w:color w:val="00539B"/>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601 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w:t>
            </w:r>
          </w:p>
        </w:tc>
        <w:tc>
          <w:tcPr>
            <w:tcW w:w="29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1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2,185</w:t>
            </w:r>
            <w:r>
              <w:rPr>
                <w:color w:val="00539B"/>
              </w:rPr>
              <w:t> </w:t>
            </w:r>
          </w:p>
        </w:tc>
        <w:tc>
          <w:tcPr>
            <w:tcW w:w="15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7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1,823 </w:t>
            </w:r>
          </w:p>
        </w:tc>
        <w:tc>
          <w:tcPr>
            <w:tcW w:w="28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40" w:before="0" w:after="0"/>
        <w:ind w:left="0" w:right="0" w:hanging="360"/>
        <w:jc w:val="both"/>
        <w:rPr>
          <w:rFonts w:ascii="Arial;sans-serif" w:hAnsi="Arial;sans-serif"/>
          <w:b/>
          <w:color w:val="00539B"/>
          <w:sz w:val="23"/>
        </w:rPr>
      </w:pPr>
      <w:r>
        <w:rPr>
          <w:rFonts w:ascii="Arial;sans-serif" w:hAnsi="Arial;sans-serif"/>
          <w:b/>
          <w:color w:val="00539B"/>
          <w:sz w:val="23"/>
        </w:rPr>
        <w:t>ACCRUED LIABILITIES - CURRENT</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Accrued liabilities - current consisted of the following as of:</w:t>
      </w:r>
    </w:p>
    <w:p>
      <w:pPr>
        <w:pStyle w:val="TextBody"/>
        <w:bidi w:val="0"/>
        <w:spacing w:before="0" w:after="0"/>
        <w:jc w:val="both"/>
        <w:rPr/>
      </w:pPr>
      <w:r>
        <w:rPr/>
      </w:r>
    </w:p>
    <w:tbl>
      <w:tblPr>
        <w:tblW w:w="5849" w:type="dxa"/>
        <w:jc w:val="left"/>
        <w:tblInd w:w="0" w:type="dxa"/>
        <w:tblLayout w:type="fixed"/>
        <w:tblCellMar>
          <w:top w:w="28" w:type="dxa"/>
          <w:left w:w="28" w:type="dxa"/>
          <w:bottom w:w="28" w:type="dxa"/>
          <w:right w:w="28" w:type="dxa"/>
        </w:tblCellMar>
      </w:tblPr>
      <w:tblGrid>
        <w:gridCol w:w="955"/>
        <w:gridCol w:w="836"/>
        <w:gridCol w:w="849"/>
        <w:gridCol w:w="298"/>
        <w:gridCol w:w="913"/>
        <w:gridCol w:w="154"/>
        <w:gridCol w:w="384"/>
        <w:gridCol w:w="1177"/>
        <w:gridCol w:w="283"/>
      </w:tblGrid>
      <w:tr>
        <w:trPr/>
        <w:tc>
          <w:tcPr>
            <w:tcW w:w="95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13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June 30, 2026</w:t>
            </w:r>
          </w:p>
        </w:tc>
        <w:tc>
          <w:tcPr>
            <w:tcW w:w="18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December 31, 2025</w:t>
            </w:r>
          </w:p>
        </w:tc>
      </w:tr>
      <w:tr>
        <w:trPr/>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tax payable</w:t>
            </w:r>
          </w:p>
        </w:tc>
        <w:tc>
          <w:tcPr>
            <w:tcW w:w="29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849</w:t>
            </w:r>
            <w:r>
              <w:rPr>
                <w:color w:val="00539B"/>
              </w:rPr>
              <w:t>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7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159 </w:t>
            </w:r>
          </w:p>
        </w:tc>
        <w:tc>
          <w:tcPr>
            <w:tcW w:w="28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Payroll and related expenses</w:t>
            </w:r>
          </w:p>
        </w:tc>
        <w:tc>
          <w:tcPr>
            <w:tcW w:w="12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472</w:t>
            </w:r>
            <w:r>
              <w:rPr>
                <w:color w:val="00539B"/>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620 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Taxes other than on income</w:t>
            </w:r>
          </w:p>
        </w:tc>
        <w:tc>
          <w:tcPr>
            <w:tcW w:w="12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467</w:t>
            </w:r>
            <w:r>
              <w:rPr>
                <w:color w:val="00539B"/>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498 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Accrued interest payable</w:t>
            </w:r>
          </w:p>
        </w:tc>
        <w:tc>
          <w:tcPr>
            <w:tcW w:w="12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233</w:t>
            </w:r>
            <w:r>
              <w:rPr>
                <w:color w:val="00539B"/>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386 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Dividends payable </w:t>
            </w:r>
          </w:p>
        </w:tc>
        <w:tc>
          <w:tcPr>
            <w:tcW w:w="12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408</w:t>
            </w:r>
            <w:r>
              <w:rPr>
                <w:color w:val="00539B"/>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383 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Asset retirement obligations</w:t>
            </w:r>
          </w:p>
        </w:tc>
        <w:tc>
          <w:tcPr>
            <w:tcW w:w="12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400</w:t>
            </w:r>
            <w:r>
              <w:rPr>
                <w:color w:val="00539B"/>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381 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lease liabilities</w:t>
            </w:r>
          </w:p>
        </w:tc>
        <w:tc>
          <w:tcPr>
            <w:tcW w:w="12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378</w:t>
            </w:r>
            <w:r>
              <w:rPr>
                <w:color w:val="00539B"/>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350 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12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910</w:t>
            </w:r>
            <w:r>
              <w:rPr>
                <w:color w:val="00539B"/>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815 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29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1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4,117</w:t>
            </w:r>
            <w:r>
              <w:rPr>
                <w:color w:val="00539B"/>
              </w:rPr>
              <w:t> </w:t>
            </w:r>
          </w:p>
        </w:tc>
        <w:tc>
          <w:tcPr>
            <w:tcW w:w="15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7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3,592 </w:t>
            </w:r>
          </w:p>
        </w:tc>
        <w:tc>
          <w:tcPr>
            <w:tcW w:w="28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40" w:before="0" w:after="0"/>
        <w:ind w:left="0" w:right="0" w:hanging="360"/>
        <w:jc w:val="both"/>
        <w:rPr>
          <w:rFonts w:ascii="Arial;sans-serif" w:hAnsi="Arial;sans-serif"/>
          <w:b/>
          <w:color w:val="00539B"/>
          <w:sz w:val="23"/>
        </w:rPr>
      </w:pPr>
      <w:r>
        <w:rPr>
          <w:rFonts w:ascii="Arial;sans-serif" w:hAnsi="Arial;sans-serif"/>
          <w:b/>
          <w:color w:val="00539B"/>
          <w:sz w:val="23"/>
        </w:rPr>
        <w:t>OTHER LONG-TERM LIABILITIES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Other long-term liabilities consisted of the following as of:</w:t>
      </w:r>
    </w:p>
    <w:p>
      <w:pPr>
        <w:pStyle w:val="TextBody"/>
        <w:bidi w:val="0"/>
        <w:spacing w:before="0" w:after="0"/>
        <w:jc w:val="both"/>
        <w:rPr/>
      </w:pPr>
      <w:r>
        <w:rPr/>
      </w:r>
    </w:p>
    <w:tbl>
      <w:tblPr>
        <w:tblW w:w="6704" w:type="dxa"/>
        <w:jc w:val="left"/>
        <w:tblInd w:w="0" w:type="dxa"/>
        <w:tblLayout w:type="fixed"/>
        <w:tblCellMar>
          <w:top w:w="28" w:type="dxa"/>
          <w:left w:w="28" w:type="dxa"/>
          <w:bottom w:w="28" w:type="dxa"/>
          <w:right w:w="28" w:type="dxa"/>
        </w:tblCellMar>
      </w:tblPr>
      <w:tblGrid>
        <w:gridCol w:w="1266"/>
        <w:gridCol w:w="1108"/>
        <w:gridCol w:w="1121"/>
        <w:gridCol w:w="298"/>
        <w:gridCol w:w="913"/>
        <w:gridCol w:w="154"/>
        <w:gridCol w:w="384"/>
        <w:gridCol w:w="1177"/>
        <w:gridCol w:w="283"/>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13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June 30, 2026</w:t>
            </w:r>
          </w:p>
        </w:tc>
        <w:tc>
          <w:tcPr>
            <w:tcW w:w="18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December 31, 2025</w:t>
            </w:r>
          </w:p>
        </w:tc>
      </w:tr>
      <w:tr>
        <w:trPr/>
        <w:tc>
          <w:tcPr>
            <w:tcW w:w="34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Long-term tax liabilities</w:t>
            </w:r>
          </w:p>
        </w:tc>
        <w:tc>
          <w:tcPr>
            <w:tcW w:w="29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2,472</w:t>
            </w:r>
            <w:r>
              <w:rPr>
                <w:color w:val="00539B"/>
              </w:rPr>
              <w:t>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7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2,393 </w:t>
            </w:r>
          </w:p>
        </w:tc>
        <w:tc>
          <w:tcPr>
            <w:tcW w:w="28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Environmental remediation liabilities</w:t>
            </w:r>
          </w:p>
        </w:tc>
        <w:tc>
          <w:tcPr>
            <w:tcW w:w="12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1,702</w:t>
            </w:r>
            <w:r>
              <w:rPr>
                <w:color w:val="00539B"/>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1,719 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Pension and postretirement obligations</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937</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985</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lease liabilities</w:t>
            </w:r>
          </w:p>
        </w:tc>
        <w:tc>
          <w:tcPr>
            <w:tcW w:w="12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505</w:t>
            </w:r>
            <w:r>
              <w:rPr>
                <w:color w:val="00539B"/>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605 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12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1,602</w:t>
            </w:r>
            <w:r>
              <w:rPr>
                <w:color w:val="00539B"/>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1,609 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29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1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7,218</w:t>
            </w:r>
            <w:r>
              <w:rPr>
                <w:color w:val="00539B"/>
              </w:rPr>
              <w:t> </w:t>
            </w:r>
          </w:p>
        </w:tc>
        <w:tc>
          <w:tcPr>
            <w:tcW w:w="15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7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7,311 </w:t>
            </w:r>
          </w:p>
        </w:tc>
        <w:tc>
          <w:tcPr>
            <w:tcW w:w="28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295" w:type="dxa"/>
        <w:jc w:val="left"/>
        <w:tblInd w:w="0" w:type="dxa"/>
        <w:tblLayout w:type="fixed"/>
        <w:tblCellMar>
          <w:top w:w="28" w:type="dxa"/>
          <w:left w:w="28" w:type="dxa"/>
          <w:bottom w:w="28" w:type="dxa"/>
          <w:right w:w="28" w:type="dxa"/>
        </w:tblCellMar>
      </w:tblPr>
      <w:tblGrid>
        <w:gridCol w:w="735"/>
        <w:gridCol w:w="646"/>
        <w:gridCol w:w="914"/>
      </w:tblGrid>
      <w:tr>
        <w:trPr/>
        <w:tc>
          <w:tcPr>
            <w:tcW w:w="73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op w:val="single" w:sz="12" w:space="0" w:color="00539B"/>
              <w:bottom w:val="single" w:sz="12" w:space="0" w:color="00539B"/>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539B"/>
                <w:sz w:val="28"/>
              </w:rPr>
            </w:pPr>
            <w:r>
              <w:rPr>
                <w:rFonts w:ascii="Arial Narrow;sans-serif" w:hAnsi="Arial Narrow;sans-serif"/>
                <w:b/>
                <w:color w:val="00539B"/>
                <w:sz w:val="28"/>
              </w:rPr>
              <w:t>NOTE 2 - REVENUE</w:t>
            </w:r>
          </w:p>
        </w:tc>
      </w:tr>
    </w:tbl>
    <w:p>
      <w:pPr>
        <w:pStyle w:val="TextBody"/>
        <w:bidi w:val="0"/>
        <w:spacing w:before="0" w:after="0"/>
        <w:jc w:val="both"/>
        <w:rPr/>
      </w:pPr>
      <w:r>
        <w:rPr/>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Revenue from customers is recognized when obligations under the terms of a contract with customers are satisfied; this generally occurs with the delivery of oil, NGL, gas or services, such as transportation.</w:t>
      </w:r>
    </w:p>
    <w:p>
      <w:pPr>
        <w:pStyle w:val="TextBody"/>
        <w:bidi w:val="0"/>
        <w:spacing w:lineRule="auto" w:line="288" w:before="0" w:after="0"/>
        <w:ind w:left="0" w:right="0" w:firstLine="270"/>
        <w:jc w:val="left"/>
        <w:rPr>
          <w:rFonts w:ascii="Arial;sans-serif" w:hAnsi="Arial;sans-serif"/>
          <w:b w:val="false"/>
          <w:color w:val="000000"/>
          <w:sz w:val="19"/>
        </w:rPr>
      </w:pPr>
      <w:r>
        <w:rPr>
          <w:rFonts w:ascii="Arial;sans-serif" w:hAnsi="Arial;sans-serif"/>
          <w:b w:val="false"/>
          <w:color w:val="000000"/>
          <w:sz w:val="19"/>
        </w:rPr>
        <w:t>The following table shows a reconciliation of revenue from customers to total net sales for the following periods:</w:t>
      </w:r>
    </w:p>
    <w:p>
      <w:pPr>
        <w:pStyle w:val="TextBody"/>
        <w:bidi w:val="0"/>
        <w:spacing w:before="0" w:after="0"/>
        <w:jc w:val="both"/>
        <w:rPr/>
      </w:pPr>
      <w:r>
        <w:rPr/>
      </w:r>
    </w:p>
    <w:tbl>
      <w:tblPr>
        <w:tblW w:w="7753" w:type="dxa"/>
        <w:jc w:val="left"/>
        <w:tblInd w:w="0" w:type="dxa"/>
        <w:tblLayout w:type="fixed"/>
        <w:tblCellMar>
          <w:top w:w="28" w:type="dxa"/>
          <w:left w:w="28" w:type="dxa"/>
          <w:bottom w:w="28" w:type="dxa"/>
          <w:right w:w="28" w:type="dxa"/>
        </w:tblCellMar>
      </w:tblPr>
      <w:tblGrid>
        <w:gridCol w:w="836"/>
        <w:gridCol w:w="731"/>
        <w:gridCol w:w="742"/>
        <w:gridCol w:w="298"/>
        <w:gridCol w:w="913"/>
        <w:gridCol w:w="154"/>
        <w:gridCol w:w="291"/>
        <w:gridCol w:w="893"/>
        <w:gridCol w:w="150"/>
        <w:gridCol w:w="269"/>
        <w:gridCol w:w="957"/>
        <w:gridCol w:w="139"/>
        <w:gridCol w:w="261"/>
        <w:gridCol w:w="929"/>
        <w:gridCol w:w="190"/>
      </w:tblGrid>
      <w:tr>
        <w:trPr/>
        <w:tc>
          <w:tcPr>
            <w:tcW w:w="83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 xml:space="preserve">Three months ended </w:t>
            </w:r>
          </w:p>
        </w:tc>
        <w:tc>
          <w:tcPr>
            <w:tcW w:w="274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Six months ended</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13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June 30, 2026</w:t>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June 30, 2025</w:t>
            </w:r>
          </w:p>
        </w:tc>
        <w:tc>
          <w:tcPr>
            <w:tcW w:w="13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June 30, 2026</w:t>
            </w:r>
          </w:p>
        </w:tc>
        <w:tc>
          <w:tcPr>
            <w:tcW w:w="13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June 30, 2025</w:t>
            </w:r>
          </w:p>
        </w:tc>
      </w:tr>
      <w:tr>
        <w:trPr/>
        <w:tc>
          <w:tcPr>
            <w:tcW w:w="23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Revenue from customers</w:t>
            </w:r>
          </w:p>
        </w:tc>
        <w:tc>
          <w:tcPr>
            <w:tcW w:w="29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1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7,053</w:t>
            </w:r>
            <w:r>
              <w:rPr>
                <w:color w:val="00539B"/>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5,163 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5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12,622</w:t>
            </w:r>
            <w:r>
              <w:rPr>
                <w:color w:val="00539B"/>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2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10,976 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All other revenues </w:t>
            </w:r>
            <w:r>
              <w:rPr>
                <w:rFonts w:ascii="Arial;sans-serif" w:hAnsi="Arial;sans-serif"/>
                <w:b w:val="false"/>
                <w:color w:val="000000"/>
                <w:sz w:val="12"/>
              </w:rPr>
              <w:t>(a)</w:t>
            </w:r>
          </w:p>
        </w:tc>
        <w:tc>
          <w:tcPr>
            <w:tcW w:w="12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1,012</w:t>
            </w:r>
            <w:r>
              <w:rPr>
                <w:color w:val="00539B"/>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95 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673</w:t>
            </w:r>
            <w:r>
              <w:rPr>
                <w:color w:val="00539B"/>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9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1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8,065</w:t>
            </w:r>
            <w:r>
              <w:rPr>
                <w:color w:val="00539B"/>
              </w:rPr>
              <w:t> </w:t>
            </w:r>
          </w:p>
        </w:tc>
        <w:tc>
          <w:tcPr>
            <w:tcW w:w="15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5,258 </w:t>
            </w:r>
          </w:p>
        </w:tc>
        <w:tc>
          <w:tcPr>
            <w:tcW w:w="15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5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13,295</w:t>
            </w:r>
            <w:r>
              <w:rPr>
                <w:color w:val="00539B"/>
              </w:rPr>
              <w:t> </w:t>
            </w:r>
          </w:p>
        </w:tc>
        <w:tc>
          <w:tcPr>
            <w:tcW w:w="13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2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10,962 </w:t>
            </w:r>
          </w:p>
        </w:tc>
        <w:tc>
          <w:tcPr>
            <w:tcW w:w="19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2"/>
        </w:rPr>
        <w:t>(a)    </w:t>
      </w:r>
      <w:r>
        <w:rPr>
          <w:rFonts w:ascii="Arial;sans-serif" w:hAnsi="Arial;sans-serif"/>
          <w:b w:val="false"/>
          <w:color w:val="000000"/>
          <w:sz w:val="18"/>
        </w:rPr>
        <w:t>Includes other net revenues from the midstream and marketing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360"/>
        <w:jc w:val="both"/>
        <w:rPr/>
      </w:pPr>
      <w:r>
        <w:rPr/>
      </w:r>
    </w:p>
    <w:p>
      <w:pPr>
        <w:pStyle w:val="TextBody"/>
        <w:bidi w:val="0"/>
        <w:spacing w:lineRule="auto" w:line="288" w:before="0" w:after="0"/>
        <w:jc w:val="both"/>
        <w:rPr>
          <w:rFonts w:ascii="Arial;sans-serif" w:hAnsi="Arial;sans-serif"/>
          <w:b/>
          <w:color w:val="00539B"/>
          <w:sz w:val="23"/>
        </w:rPr>
      </w:pPr>
      <w:r>
        <w:rPr>
          <w:rFonts w:ascii="Arial;sans-serif" w:hAnsi="Arial;sans-serif"/>
          <w:b/>
          <w:color w:val="00539B"/>
          <w:sz w:val="23"/>
        </w:rPr>
        <w:t>DISAGGREGATION OF REVENUE FROM CONTRACTS WITH CUSTOMERS</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table below presents the Company's revenue from customers by segment, product and geographical area. The oil and gas segment typically sells its oil, NGL and gas at the lease or concession area. Midstream and marketing segment revenues are shown by the location of sale:</w:t>
      </w:r>
    </w:p>
    <w:p>
      <w:pPr>
        <w:pStyle w:val="TextBody"/>
        <w:bidi w:val="0"/>
        <w:spacing w:before="0" w:after="0"/>
        <w:jc w:val="both"/>
        <w:rPr/>
      </w:pPr>
      <w:r>
        <w:rPr/>
      </w:r>
    </w:p>
    <w:tbl>
      <w:tblPr>
        <w:tblW w:w="8273" w:type="dxa"/>
        <w:jc w:val="left"/>
        <w:tblInd w:w="0" w:type="dxa"/>
        <w:tblLayout w:type="fixed"/>
        <w:tblCellMar>
          <w:top w:w="28" w:type="dxa"/>
          <w:left w:w="28" w:type="dxa"/>
          <w:bottom w:w="28" w:type="dxa"/>
          <w:right w:w="28" w:type="dxa"/>
        </w:tblCellMar>
      </w:tblPr>
      <w:tblGrid>
        <w:gridCol w:w="1216"/>
        <w:gridCol w:w="1066"/>
        <w:gridCol w:w="1078"/>
        <w:gridCol w:w="291"/>
        <w:gridCol w:w="894"/>
        <w:gridCol w:w="150"/>
        <w:gridCol w:w="278"/>
        <w:gridCol w:w="853"/>
        <w:gridCol w:w="145"/>
        <w:gridCol w:w="340"/>
        <w:gridCol w:w="775"/>
        <w:gridCol w:w="176"/>
        <w:gridCol w:w="211"/>
        <w:gridCol w:w="646"/>
        <w:gridCol w:w="154"/>
      </w:tblGrid>
      <w:tr>
        <w:trPr/>
        <w:tc>
          <w:tcPr>
            <w:tcW w:w="121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13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United States</w:t>
            </w:r>
          </w:p>
        </w:tc>
        <w:tc>
          <w:tcPr>
            <w:tcW w:w="12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International</w:t>
            </w:r>
          </w:p>
        </w:tc>
        <w:tc>
          <w:tcPr>
            <w:tcW w:w="12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Eliminations</w:t>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Total</w:t>
            </w:r>
          </w:p>
        </w:tc>
      </w:tr>
      <w:tr>
        <w:trPr/>
        <w:tc>
          <w:tcPr>
            <w:tcW w:w="3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Three months ended June 30, 2026</w:t>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Oil and gas</w:t>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Oil</w:t>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9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5,417</w:t>
            </w:r>
            <w:r>
              <w:rPr>
                <w:color w:val="00539B"/>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872</w:t>
            </w:r>
            <w:r>
              <w:rPr>
                <w:color w:val="00539B"/>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775" w:type="dxa"/>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6,289</w:t>
            </w:r>
            <w:r>
              <w:rPr>
                <w:color w:val="00539B"/>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NGL</w:t>
            </w:r>
          </w:p>
        </w:tc>
        <w:tc>
          <w:tcPr>
            <w:tcW w:w="118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592</w:t>
            </w:r>
            <w:r>
              <w:rPr>
                <w:color w:val="00539B"/>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89</w:t>
            </w:r>
            <w:r>
              <w:rPr>
                <w:color w:val="00539B"/>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681</w:t>
            </w:r>
            <w:r>
              <w:rPr>
                <w:color w:val="00539B"/>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Gas</w:t>
            </w:r>
          </w:p>
        </w:tc>
        <w:tc>
          <w:tcPr>
            <w:tcW w:w="11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(250)</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81</w:t>
            </w:r>
            <w:r>
              <w:rPr>
                <w:color w:val="00539B"/>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(169)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11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(26)</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w:t>
            </w:r>
            <w:r>
              <w:rPr>
                <w:color w:val="00539B"/>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Segment total</w:t>
            </w:r>
          </w:p>
        </w:tc>
        <w:tc>
          <w:tcPr>
            <w:tcW w:w="2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9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5,733</w:t>
            </w:r>
            <w:r>
              <w:rPr>
                <w:color w:val="00539B"/>
              </w:rPr>
              <w:t> </w:t>
            </w:r>
          </w:p>
        </w:tc>
        <w:tc>
          <w:tcPr>
            <w:tcW w:w="1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1,044</w:t>
            </w:r>
            <w:r>
              <w:rPr>
                <w:color w:val="00539B"/>
              </w:rPr>
              <w:t>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7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6,777</w:t>
            </w:r>
            <w:r>
              <w:rPr>
                <w:color w:val="00539B"/>
              </w:rPr>
              <w:t>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Midstream and marketing</w:t>
            </w:r>
          </w:p>
        </w:tc>
        <w:tc>
          <w:tcPr>
            <w:tcW w:w="2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9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154</w:t>
            </w:r>
            <w:r>
              <w:rPr>
                <w:color w:val="00539B"/>
              </w:rPr>
              <w:t> </w:t>
            </w:r>
          </w:p>
        </w:tc>
        <w:tc>
          <w:tcPr>
            <w:tcW w:w="1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265</w:t>
            </w:r>
            <w:r>
              <w:rPr>
                <w:color w:val="00539B"/>
              </w:rPr>
              <w:t>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7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419</w:t>
            </w:r>
            <w:r>
              <w:rPr>
                <w:color w:val="00539B"/>
              </w:rPr>
              <w:t>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Eliminations</w:t>
            </w:r>
          </w:p>
        </w:tc>
        <w:tc>
          <w:tcPr>
            <w:tcW w:w="2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9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7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(143)</w:t>
            </w:r>
          </w:p>
        </w:tc>
        <w:tc>
          <w:tcPr>
            <w:tcW w:w="1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(143)</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Consolidated</w:t>
            </w:r>
          </w:p>
        </w:tc>
        <w:tc>
          <w:tcPr>
            <w:tcW w:w="2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9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5,887</w:t>
            </w:r>
            <w:r>
              <w:rPr>
                <w:color w:val="00539B"/>
              </w:rPr>
              <w:t> </w:t>
            </w:r>
          </w:p>
        </w:tc>
        <w:tc>
          <w:tcPr>
            <w:tcW w:w="1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1,309</w:t>
            </w:r>
            <w:r>
              <w:rPr>
                <w:color w:val="00539B"/>
              </w:rPr>
              <w:t>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7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(143)</w:t>
            </w:r>
          </w:p>
        </w:tc>
        <w:tc>
          <w:tcPr>
            <w:tcW w:w="1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7,053</w:t>
            </w:r>
            <w:r>
              <w:rPr>
                <w:color w:val="00539B"/>
              </w:rPr>
              <w:t>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13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United States</w:t>
            </w:r>
          </w:p>
        </w:tc>
        <w:tc>
          <w:tcPr>
            <w:tcW w:w="12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International</w:t>
            </w:r>
          </w:p>
        </w:tc>
        <w:tc>
          <w:tcPr>
            <w:tcW w:w="12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Eliminations</w:t>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Total</w:t>
            </w:r>
          </w:p>
        </w:tc>
      </w:tr>
      <w:tr>
        <w:trPr/>
        <w:tc>
          <w:tcPr>
            <w:tcW w:w="3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Three months ended June 30, 2025</w:t>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Oil and gas</w:t>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Oil</w:t>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3,456 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690 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NGL</w:t>
            </w:r>
          </w:p>
        </w:tc>
        <w:tc>
          <w:tcPr>
            <w:tcW w:w="11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457 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86 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Gas</w:t>
            </w:r>
          </w:p>
        </w:tc>
        <w:tc>
          <w:tcPr>
            <w:tcW w:w="11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205 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88 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11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Segment total</w:t>
            </w:r>
          </w:p>
        </w:tc>
        <w:tc>
          <w:tcPr>
            <w:tcW w:w="2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4,144 </w:t>
            </w:r>
          </w:p>
        </w:tc>
        <w:tc>
          <w:tcPr>
            <w:tcW w:w="1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865 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5,009 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Midstream and marketing</w:t>
            </w:r>
          </w:p>
        </w:tc>
        <w:tc>
          <w:tcPr>
            <w:tcW w:w="2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134 </w:t>
            </w:r>
          </w:p>
        </w:tc>
        <w:tc>
          <w:tcPr>
            <w:tcW w:w="1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161 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295 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Eliminations</w:t>
            </w:r>
          </w:p>
        </w:tc>
        <w:tc>
          <w:tcPr>
            <w:tcW w:w="2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(141)</w:t>
            </w:r>
          </w:p>
        </w:tc>
        <w:tc>
          <w:tcPr>
            <w:tcW w:w="1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(141)</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Consolidated</w:t>
            </w:r>
          </w:p>
        </w:tc>
        <w:tc>
          <w:tcPr>
            <w:tcW w:w="29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4,278 </w:t>
            </w:r>
          </w:p>
        </w:tc>
        <w:tc>
          <w:tcPr>
            <w:tcW w:w="15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1,026 </w:t>
            </w:r>
          </w:p>
        </w:tc>
        <w:tc>
          <w:tcPr>
            <w:tcW w:w="14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(141)</w:t>
            </w:r>
          </w:p>
        </w:tc>
        <w:tc>
          <w:tcPr>
            <w:tcW w:w="17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5,163 </w:t>
            </w:r>
          </w:p>
        </w:tc>
        <w:tc>
          <w:tcPr>
            <w:tcW w:w="15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left"/>
        <w:rPr/>
      </w:pPr>
      <w:r>
        <w:rPr/>
      </w:r>
    </w:p>
    <w:tbl>
      <w:tblPr>
        <w:tblW w:w="8152" w:type="dxa"/>
        <w:jc w:val="left"/>
        <w:tblInd w:w="0" w:type="dxa"/>
        <w:tblLayout w:type="fixed"/>
        <w:tblCellMar>
          <w:top w:w="28" w:type="dxa"/>
          <w:left w:w="28" w:type="dxa"/>
          <w:bottom w:w="28" w:type="dxa"/>
          <w:right w:w="28" w:type="dxa"/>
        </w:tblCellMar>
      </w:tblPr>
      <w:tblGrid>
        <w:gridCol w:w="1135"/>
        <w:gridCol w:w="994"/>
        <w:gridCol w:w="1006"/>
        <w:gridCol w:w="263"/>
        <w:gridCol w:w="936"/>
        <w:gridCol w:w="135"/>
        <w:gridCol w:w="278"/>
        <w:gridCol w:w="853"/>
        <w:gridCol w:w="145"/>
        <w:gridCol w:w="340"/>
        <w:gridCol w:w="775"/>
        <w:gridCol w:w="176"/>
        <w:gridCol w:w="211"/>
        <w:gridCol w:w="751"/>
        <w:gridCol w:w="154"/>
      </w:tblGrid>
      <w:tr>
        <w:trPr/>
        <w:tc>
          <w:tcPr>
            <w:tcW w:w="113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United States</w:t>
            </w:r>
          </w:p>
        </w:tc>
        <w:tc>
          <w:tcPr>
            <w:tcW w:w="12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International</w:t>
            </w:r>
          </w:p>
        </w:tc>
        <w:tc>
          <w:tcPr>
            <w:tcW w:w="12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Eliminations</w:t>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Total</w:t>
            </w:r>
          </w:p>
        </w:tc>
      </w:tr>
      <w:tr>
        <w:trPr/>
        <w:tc>
          <w:tcPr>
            <w:tcW w:w="31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Six months ended June 30, 2026</w:t>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Oil and gas</w:t>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Oil</w:t>
            </w:r>
          </w:p>
        </w:tc>
        <w:tc>
          <w:tcPr>
            <w:tcW w:w="26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3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9,290</w:t>
            </w:r>
            <w:r>
              <w:rPr>
                <w:color w:val="00539B"/>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1,522</w:t>
            </w:r>
            <w:r>
              <w:rPr>
                <w:color w:val="00539B"/>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775" w:type="dxa"/>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10,812</w:t>
            </w:r>
            <w:r>
              <w:rPr>
                <w:color w:val="00539B"/>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NGL</w:t>
            </w:r>
          </w:p>
        </w:tc>
        <w:tc>
          <w:tcPr>
            <w:tcW w:w="119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1,036</w:t>
            </w:r>
            <w:r>
              <w:rPr>
                <w:color w:val="00539B"/>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163</w:t>
            </w:r>
            <w:r>
              <w:rPr>
                <w:color w:val="00539B"/>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1,199</w:t>
            </w:r>
            <w:r>
              <w:rPr>
                <w:color w:val="00539B"/>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Gas</w:t>
            </w:r>
          </w:p>
        </w:tc>
        <w:tc>
          <w:tcPr>
            <w:tcW w:w="11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(86)</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164</w:t>
            </w:r>
            <w:r>
              <w:rPr>
                <w:color w:val="00539B"/>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78</w:t>
            </w:r>
            <w:r>
              <w:rPr>
                <w:color w:val="00539B"/>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11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w:t>
            </w:r>
            <w:r>
              <w:rPr>
                <w:color w:val="00539B"/>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w:t>
            </w:r>
            <w:r>
              <w:rPr>
                <w:color w:val="00539B"/>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Segment total</w:t>
            </w:r>
          </w:p>
        </w:tc>
        <w:tc>
          <w:tcPr>
            <w:tcW w:w="2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10,238</w:t>
            </w:r>
            <w:r>
              <w:rPr>
                <w:color w:val="00539B"/>
              </w:rPr>
              <w:t> </w:t>
            </w:r>
          </w:p>
        </w:tc>
        <w:tc>
          <w:tcPr>
            <w:tcW w:w="13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1,853</w:t>
            </w:r>
            <w:r>
              <w:rPr>
                <w:color w:val="00539B"/>
              </w:rPr>
              <w:t>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7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7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12,091</w:t>
            </w:r>
            <w:r>
              <w:rPr>
                <w:color w:val="00539B"/>
              </w:rPr>
              <w:t>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Midstream and marketing</w:t>
            </w:r>
          </w:p>
        </w:tc>
        <w:tc>
          <w:tcPr>
            <w:tcW w:w="2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275</w:t>
            </w:r>
            <w:r>
              <w:rPr>
                <w:color w:val="00539B"/>
              </w:rPr>
              <w:t> </w:t>
            </w:r>
          </w:p>
        </w:tc>
        <w:tc>
          <w:tcPr>
            <w:tcW w:w="13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541</w:t>
            </w:r>
            <w:r>
              <w:rPr>
                <w:color w:val="00539B"/>
              </w:rPr>
              <w:t>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7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7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816</w:t>
            </w:r>
            <w:r>
              <w:rPr>
                <w:color w:val="00539B"/>
              </w:rPr>
              <w:t>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Eliminations</w:t>
            </w:r>
          </w:p>
        </w:tc>
        <w:tc>
          <w:tcPr>
            <w:tcW w:w="2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3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7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(285)</w:t>
            </w:r>
          </w:p>
        </w:tc>
        <w:tc>
          <w:tcPr>
            <w:tcW w:w="1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7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(285)</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Consolidated</w:t>
            </w:r>
          </w:p>
        </w:tc>
        <w:tc>
          <w:tcPr>
            <w:tcW w:w="26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3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10,513</w:t>
            </w:r>
            <w:r>
              <w:rPr>
                <w:color w:val="00539B"/>
              </w:rPr>
              <w:t> </w:t>
            </w:r>
          </w:p>
        </w:tc>
        <w:tc>
          <w:tcPr>
            <w:tcW w:w="13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2,394</w:t>
            </w:r>
            <w:r>
              <w:rPr>
                <w:color w:val="00539B"/>
              </w:rPr>
              <w:t> </w:t>
            </w:r>
          </w:p>
        </w:tc>
        <w:tc>
          <w:tcPr>
            <w:tcW w:w="14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77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(285)</w:t>
            </w:r>
          </w:p>
        </w:tc>
        <w:tc>
          <w:tcPr>
            <w:tcW w:w="17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75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12,622</w:t>
            </w:r>
            <w:r>
              <w:rPr>
                <w:color w:val="00539B"/>
              </w:rPr>
              <w:t> </w:t>
            </w:r>
          </w:p>
        </w:tc>
        <w:tc>
          <w:tcPr>
            <w:tcW w:w="15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xml:space="preserve">         </w:t>
      </w:r>
    </w:p>
    <w:tbl>
      <w:tblPr>
        <w:tblW w:w="8152" w:type="dxa"/>
        <w:jc w:val="left"/>
        <w:tblInd w:w="0" w:type="dxa"/>
        <w:tblLayout w:type="fixed"/>
        <w:tblCellMar>
          <w:top w:w="28" w:type="dxa"/>
          <w:left w:w="28" w:type="dxa"/>
          <w:bottom w:w="28" w:type="dxa"/>
          <w:right w:w="28" w:type="dxa"/>
        </w:tblCellMar>
      </w:tblPr>
      <w:tblGrid>
        <w:gridCol w:w="1135"/>
        <w:gridCol w:w="994"/>
        <w:gridCol w:w="1006"/>
        <w:gridCol w:w="291"/>
        <w:gridCol w:w="893"/>
        <w:gridCol w:w="150"/>
        <w:gridCol w:w="278"/>
        <w:gridCol w:w="853"/>
        <w:gridCol w:w="145"/>
        <w:gridCol w:w="340"/>
        <w:gridCol w:w="775"/>
        <w:gridCol w:w="176"/>
        <w:gridCol w:w="211"/>
        <w:gridCol w:w="751"/>
        <w:gridCol w:w="154"/>
      </w:tblGrid>
      <w:tr>
        <w:trPr/>
        <w:tc>
          <w:tcPr>
            <w:tcW w:w="113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United States</w:t>
            </w:r>
          </w:p>
        </w:tc>
        <w:tc>
          <w:tcPr>
            <w:tcW w:w="12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International</w:t>
            </w:r>
          </w:p>
        </w:tc>
        <w:tc>
          <w:tcPr>
            <w:tcW w:w="12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Eliminations</w:t>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Total</w:t>
            </w:r>
          </w:p>
        </w:tc>
      </w:tr>
      <w:tr>
        <w:trPr/>
        <w:tc>
          <w:tcPr>
            <w:tcW w:w="31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Six months ended June 30, 2025</w:t>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Oil and gas</w:t>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Oil</w:t>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7,286 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1,365 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8,651 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NGL</w:t>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1,035 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182 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Gas</w:t>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586 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172 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64 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Segment total</w:t>
            </w:r>
          </w:p>
        </w:tc>
        <w:tc>
          <w:tcPr>
            <w:tcW w:w="2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8,971 </w:t>
            </w:r>
          </w:p>
        </w:tc>
        <w:tc>
          <w:tcPr>
            <w:tcW w:w="1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1,721 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10,692 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Midstream and marketing</w:t>
            </w:r>
          </w:p>
        </w:tc>
        <w:tc>
          <w:tcPr>
            <w:tcW w:w="2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278 </w:t>
            </w:r>
          </w:p>
        </w:tc>
        <w:tc>
          <w:tcPr>
            <w:tcW w:w="1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299 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577 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Eliminations</w:t>
            </w:r>
          </w:p>
        </w:tc>
        <w:tc>
          <w:tcPr>
            <w:tcW w:w="2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(293)</w:t>
            </w:r>
          </w:p>
        </w:tc>
        <w:tc>
          <w:tcPr>
            <w:tcW w:w="1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(293)</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Consolidated</w:t>
            </w:r>
          </w:p>
        </w:tc>
        <w:tc>
          <w:tcPr>
            <w:tcW w:w="29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9,249 </w:t>
            </w:r>
          </w:p>
        </w:tc>
        <w:tc>
          <w:tcPr>
            <w:tcW w:w="15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2,020 </w:t>
            </w:r>
          </w:p>
        </w:tc>
        <w:tc>
          <w:tcPr>
            <w:tcW w:w="14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(293)</w:t>
            </w:r>
          </w:p>
        </w:tc>
        <w:tc>
          <w:tcPr>
            <w:tcW w:w="17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10,976 </w:t>
            </w:r>
          </w:p>
        </w:tc>
        <w:tc>
          <w:tcPr>
            <w:tcW w:w="15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left"/>
        <w:rPr/>
      </w:pPr>
      <w:r>
        <w:rPr/>
      </w:r>
    </w:p>
    <w:tbl>
      <w:tblPr>
        <w:tblW w:w="3299" w:type="dxa"/>
        <w:jc w:val="left"/>
        <w:tblInd w:w="0" w:type="dxa"/>
        <w:tblLayout w:type="fixed"/>
        <w:tblCellMar>
          <w:top w:w="28" w:type="dxa"/>
          <w:left w:w="28" w:type="dxa"/>
          <w:bottom w:w="28" w:type="dxa"/>
          <w:right w:w="28" w:type="dxa"/>
        </w:tblCellMar>
      </w:tblPr>
      <w:tblGrid>
        <w:gridCol w:w="1057"/>
        <w:gridCol w:w="927"/>
        <w:gridCol w:w="1315"/>
      </w:tblGrid>
      <w:tr>
        <w:trPr/>
        <w:tc>
          <w:tcPr>
            <w:tcW w:w="105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12" w:space="0" w:color="00539B"/>
              <w:bottom w:val="single" w:sz="12" w:space="0" w:color="00539B"/>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539B"/>
                <w:sz w:val="28"/>
              </w:rPr>
            </w:pPr>
            <w:r>
              <w:rPr>
                <w:rFonts w:ascii="Arial Narrow;sans-serif" w:hAnsi="Arial Narrow;sans-serif"/>
                <w:b/>
                <w:color w:val="00539B"/>
                <w:sz w:val="28"/>
              </w:rPr>
              <w:t>NOTE 3 - LONG-TERM DEBT</w:t>
            </w:r>
          </w:p>
        </w:tc>
      </w:tr>
    </w:tbl>
    <w:p>
      <w:pPr>
        <w:pStyle w:val="TextBody"/>
        <w:bidi w:val="0"/>
        <w:spacing w:before="0" w:after="0"/>
        <w:jc w:val="both"/>
        <w:rPr/>
      </w:pPr>
      <w:r>
        <w:rPr/>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Company's debt consisted of the following as of:</w:t>
      </w:r>
    </w:p>
    <w:p>
      <w:pPr>
        <w:pStyle w:val="TextBody"/>
        <w:bidi w:val="0"/>
        <w:spacing w:before="0" w:after="0"/>
        <w:jc w:val="both"/>
        <w:rPr/>
      </w:pPr>
      <w:r>
        <w:rPr/>
      </w:r>
    </w:p>
    <w:tbl>
      <w:tblPr>
        <w:tblW w:w="9644" w:type="dxa"/>
        <w:jc w:val="left"/>
        <w:tblInd w:w="0" w:type="dxa"/>
        <w:tblLayout w:type="fixed"/>
        <w:tblCellMar>
          <w:top w:w="28" w:type="dxa"/>
          <w:left w:w="28" w:type="dxa"/>
          <w:bottom w:w="28" w:type="dxa"/>
          <w:right w:w="28" w:type="dxa"/>
        </w:tblCellMar>
      </w:tblPr>
      <w:tblGrid>
        <w:gridCol w:w="2076"/>
        <w:gridCol w:w="1819"/>
        <w:gridCol w:w="1834"/>
        <w:gridCol w:w="322"/>
        <w:gridCol w:w="1147"/>
        <w:gridCol w:w="166"/>
        <w:gridCol w:w="354"/>
        <w:gridCol w:w="1262"/>
        <w:gridCol w:w="183"/>
        <w:gridCol w:w="109"/>
        <w:gridCol w:w="109"/>
        <w:gridCol w:w="109"/>
        <w:gridCol w:w="154"/>
      </w:tblGrid>
      <w:tr>
        <w:trPr/>
        <w:tc>
          <w:tcPr>
            <w:tcW w:w="207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163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ind w:left="0" w:right="0" w:firstLine="270"/>
              <w:jc w:val="right"/>
              <w:rPr>
                <w:rFonts w:ascii="Arial;sans-serif" w:hAnsi="Arial;sans-serif"/>
                <w:b/>
                <w:color w:val="00539B"/>
                <w:sz w:val="19"/>
              </w:rPr>
            </w:pPr>
            <w:r>
              <w:rPr>
                <w:rFonts w:ascii="Arial;sans-serif" w:hAnsi="Arial;sans-serif"/>
                <w:b/>
                <w:color w:val="00539B"/>
                <w:sz w:val="19"/>
              </w:rPr>
              <w:t>June 30, 2026</w:t>
            </w:r>
          </w:p>
        </w:tc>
        <w:tc>
          <w:tcPr>
            <w:tcW w:w="17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9"/>
              </w:rPr>
            </w:pPr>
            <w:r>
              <w:rPr>
                <w:rFonts w:ascii="Arial;sans-serif" w:hAnsi="Arial;sans-serif"/>
                <w:b w:val="false"/>
                <w:color w:val="000000"/>
                <w:sz w:val="19"/>
              </w:rPr>
              <w:t>Two-year term loan due 2026 (5.475% as of December 31, 2025)</w:t>
            </w:r>
          </w:p>
        </w:tc>
        <w:tc>
          <w:tcPr>
            <w:tcW w:w="146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6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1,280 </w:t>
            </w:r>
          </w:p>
        </w:tc>
        <w:tc>
          <w:tcPr>
            <w:tcW w:w="18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3.200% senior notes due 2026</w:t>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182 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7.500% debentures due 2026</w:t>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112 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8.500% senior notes due 2027</w:t>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489 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3.000% senior notes due 2027</w:t>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216 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7.125% debentures due 2027</w:t>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7.000% debentures due 2027</w:t>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48</w:t>
            </w:r>
            <w:r>
              <w:rPr>
                <w:color w:val="00539B"/>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5.000% senior notes due 2027</w:t>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6.625% debentures due 2028</w:t>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14</w:t>
            </w:r>
            <w:r>
              <w:rPr>
                <w:color w:val="00539B"/>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7.150% debentures due 2028</w:t>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232 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7.200% senior debentures due 2028</w:t>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82 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6.375% senior notes due 2028</w:t>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578 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7.200% debentures due 2029</w:t>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135</w:t>
            </w:r>
            <w:r>
              <w:rPr>
                <w:color w:val="00539B"/>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135 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7.950% debentures due 2029</w:t>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102</w:t>
            </w:r>
            <w:r>
              <w:rPr>
                <w:color w:val="00539B"/>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116 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8.450% senior notes due 2029</w:t>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116</w:t>
            </w:r>
            <w:r>
              <w:rPr>
                <w:color w:val="00539B"/>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116 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3.500% senior notes due 2029</w:t>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286 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5.200% senior notes due 2029</w:t>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1,200 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Variable rate bonds due 2030</w:t>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68</w:t>
            </w:r>
            <w:r>
              <w:rPr>
                <w:color w:val="00539B"/>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8.875% senior notes due 2030</w:t>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1,000</w:t>
            </w:r>
            <w:r>
              <w:rPr>
                <w:color w:val="00539B"/>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6.625% senior notes due 2030</w:t>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856</w:t>
            </w:r>
            <w:r>
              <w:rPr>
                <w:color w:val="00539B"/>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1,449 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6.125% senior notes due 2031</w:t>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293</w:t>
            </w:r>
            <w:r>
              <w:rPr>
                <w:color w:val="00539B"/>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1,143 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7.500% senior notes due 2031</w:t>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900</w:t>
            </w:r>
            <w:r>
              <w:rPr>
                <w:color w:val="00539B"/>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7.875% senior notes due 2031</w:t>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500</w:t>
            </w:r>
            <w:r>
              <w:rPr>
                <w:color w:val="00539B"/>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5.375% senior notes due 2032</w:t>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748</w:t>
            </w:r>
            <w:r>
              <w:rPr>
                <w:color w:val="00539B"/>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5.550% senior notes due 2034</w:t>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808</w:t>
            </w:r>
            <w:r>
              <w:rPr>
                <w:color w:val="00539B"/>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1,200 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6.450% senior notes due 2036</w:t>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1,727</w:t>
            </w:r>
            <w:r>
              <w:rPr>
                <w:color w:val="00539B"/>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1,727 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Zero Coupon senior notes due 2036</w:t>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33</w:t>
            </w:r>
            <w:r>
              <w:rPr>
                <w:color w:val="00539B"/>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285 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0.000% loan due 2039 (CAD denominated)</w:t>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15</w:t>
            </w:r>
            <w:r>
              <w:rPr>
                <w:color w:val="00539B"/>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4.300% senior notes due 2039</w:t>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247</w:t>
            </w:r>
            <w:r>
              <w:rPr>
                <w:color w:val="00539B"/>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247 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7.950% senior notes due 2039</w:t>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325</w:t>
            </w:r>
            <w:r>
              <w:rPr>
                <w:color w:val="00539B"/>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325 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6.200% senior notes due 2040</w:t>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716</w:t>
            </w:r>
            <w:r>
              <w:rPr>
                <w:color w:val="00539B"/>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737 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4.500% senior notes due 2044</w:t>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184</w:t>
            </w:r>
            <w:r>
              <w:rPr>
                <w:color w:val="00539B"/>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191 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4.625% senior notes due 2045</w:t>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258</w:t>
            </w:r>
            <w:r>
              <w:rPr>
                <w:color w:val="00539B"/>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296 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6.600% senior notes due 2046</w:t>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986</w:t>
            </w:r>
            <w:r>
              <w:rPr>
                <w:color w:val="00539B"/>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1,117 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4.400% senior notes due 2046</w:t>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291</w:t>
            </w:r>
            <w:r>
              <w:rPr>
                <w:color w:val="00539B"/>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424 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4.100% senior notes due 2047</w:t>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224</w:t>
            </w:r>
            <w:r>
              <w:rPr>
                <w:color w:val="00539B"/>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258 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4.200% senior notes due 2048</w:t>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222</w:t>
            </w:r>
            <w:r>
              <w:rPr>
                <w:color w:val="00539B"/>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304 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4.400% senior notes due 2049</w:t>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245</w:t>
            </w:r>
            <w:r>
              <w:rPr>
                <w:color w:val="00539B"/>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6.050% senior notes due 2054</w:t>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634</w:t>
            </w:r>
            <w:r>
              <w:rPr>
                <w:color w:val="00539B"/>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7.730% debentures due 2096</w:t>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58</w:t>
            </w:r>
            <w:r>
              <w:rPr>
                <w:color w:val="00539B"/>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7.500% debentures due 2096</w:t>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60</w:t>
            </w:r>
            <w:r>
              <w:rPr>
                <w:color w:val="00539B"/>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7.250% debentures due 2096</w:t>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w:t>
            </w:r>
            <w:r>
              <w:rPr>
                <w:color w:val="00539B"/>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borrowings at face value</w:t>
            </w:r>
          </w:p>
        </w:tc>
        <w:tc>
          <w:tcPr>
            <w:tcW w:w="32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114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11,818</w:t>
            </w:r>
            <w:r>
              <w:rPr>
                <w:color w:val="00539B"/>
              </w:rPr>
              <w:t> </w:t>
            </w:r>
          </w:p>
        </w:tc>
        <w:tc>
          <w:tcPr>
            <w:tcW w:w="16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6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20,427 </w:t>
            </w:r>
          </w:p>
        </w:tc>
        <w:tc>
          <w:tcPr>
            <w:tcW w:w="18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following table summarizes the Company's outstanding debt, including finance lease liabilities, as of:</w:t>
      </w:r>
    </w:p>
    <w:p>
      <w:pPr>
        <w:pStyle w:val="TextBody"/>
        <w:bidi w:val="0"/>
        <w:spacing w:before="0" w:after="0"/>
        <w:jc w:val="both"/>
        <w:rPr/>
      </w:pPr>
      <w:r>
        <w:rPr/>
      </w:r>
    </w:p>
    <w:tbl>
      <w:tblPr>
        <w:tblW w:w="6914" w:type="dxa"/>
        <w:jc w:val="left"/>
        <w:tblInd w:w="0" w:type="dxa"/>
        <w:tblLayout w:type="fixed"/>
        <w:tblCellMar>
          <w:top w:w="28" w:type="dxa"/>
          <w:left w:w="28" w:type="dxa"/>
          <w:bottom w:w="28" w:type="dxa"/>
          <w:right w:w="28" w:type="dxa"/>
        </w:tblCellMar>
      </w:tblPr>
      <w:tblGrid>
        <w:gridCol w:w="1340"/>
        <w:gridCol w:w="1174"/>
        <w:gridCol w:w="1190"/>
        <w:gridCol w:w="269"/>
        <w:gridCol w:w="957"/>
        <w:gridCol w:w="139"/>
        <w:gridCol w:w="349"/>
        <w:gridCol w:w="1242"/>
        <w:gridCol w:w="254"/>
      </w:tblGrid>
      <w:tr>
        <w:trPr/>
        <w:tc>
          <w:tcPr>
            <w:tcW w:w="134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13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June 30, 2026</w:t>
            </w:r>
          </w:p>
        </w:tc>
        <w:tc>
          <w:tcPr>
            <w:tcW w:w="18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December 31, 2025</w:t>
            </w:r>
          </w:p>
        </w:tc>
      </w:tr>
      <w:tr>
        <w:trPr/>
        <w:tc>
          <w:tcPr>
            <w:tcW w:w="37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borrowings at face value</w:t>
            </w:r>
          </w:p>
        </w:tc>
        <w:tc>
          <w:tcPr>
            <w:tcW w:w="2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5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11,818</w:t>
            </w:r>
            <w:r>
              <w:rPr>
                <w:color w:val="00539B"/>
              </w:rPr>
              <w:t> </w:t>
            </w:r>
          </w:p>
        </w:tc>
        <w:tc>
          <w:tcPr>
            <w:tcW w:w="13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4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20,427 </w:t>
            </w:r>
          </w:p>
        </w:tc>
        <w:tc>
          <w:tcPr>
            <w:tcW w:w="2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Adjustments to book value:</w:t>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Unamortized premium, net</w:t>
            </w:r>
          </w:p>
        </w:tc>
        <w:tc>
          <w:tcPr>
            <w:tcW w:w="12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1,030</w:t>
            </w:r>
            <w:r>
              <w:rPr>
                <w:color w:val="00539B"/>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1,054 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Debt issuance costs</w:t>
            </w:r>
          </w:p>
        </w:tc>
        <w:tc>
          <w:tcPr>
            <w:tcW w:w="12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(48)</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(84)</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Net book value of debt</w:t>
            </w:r>
          </w:p>
        </w:tc>
        <w:tc>
          <w:tcPr>
            <w:tcW w:w="2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5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12,800</w:t>
            </w:r>
            <w:r>
              <w:rPr>
                <w:color w:val="00539B"/>
              </w:rPr>
              <w:t> </w:t>
            </w:r>
          </w:p>
        </w:tc>
        <w:tc>
          <w:tcPr>
            <w:tcW w:w="13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4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21,397 </w:t>
            </w:r>
          </w:p>
        </w:tc>
        <w:tc>
          <w:tcPr>
            <w:tcW w:w="2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Long-term finance leases</w:t>
            </w:r>
          </w:p>
        </w:tc>
        <w:tc>
          <w:tcPr>
            <w:tcW w:w="12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741</w:t>
            </w:r>
            <w:r>
              <w:rPr>
                <w:color w:val="00539B"/>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801 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Current finance leases</w:t>
            </w:r>
          </w:p>
        </w:tc>
        <w:tc>
          <w:tcPr>
            <w:tcW w:w="12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202</w:t>
            </w:r>
            <w:r>
              <w:rPr>
                <w:color w:val="00539B"/>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198 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debt and finance leases</w:t>
            </w:r>
          </w:p>
        </w:tc>
        <w:tc>
          <w:tcPr>
            <w:tcW w:w="2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5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13,743</w:t>
            </w:r>
            <w:r>
              <w:rPr>
                <w:color w:val="00539B"/>
              </w:rPr>
              <w:t> </w:t>
            </w:r>
          </w:p>
        </w:tc>
        <w:tc>
          <w:tcPr>
            <w:tcW w:w="13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4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22,396 </w:t>
            </w:r>
          </w:p>
        </w:tc>
        <w:tc>
          <w:tcPr>
            <w:tcW w:w="254"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Less: current finance leases</w:t>
            </w:r>
          </w:p>
        </w:tc>
        <w:tc>
          <w:tcPr>
            <w:tcW w:w="12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(202)</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(198)</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Less: current maturities of long-term debt</w:t>
            </w:r>
          </w:p>
        </w:tc>
        <w:tc>
          <w:tcPr>
            <w:tcW w:w="12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(1,575)</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Long-term debt, net</w:t>
            </w:r>
          </w:p>
        </w:tc>
        <w:tc>
          <w:tcPr>
            <w:tcW w:w="26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5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13,540</w:t>
            </w:r>
            <w:r>
              <w:rPr>
                <w:color w:val="00539B"/>
              </w:rPr>
              <w:t> </w:t>
            </w:r>
          </w:p>
        </w:tc>
        <w:tc>
          <w:tcPr>
            <w:tcW w:w="13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4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20,623 </w:t>
            </w:r>
          </w:p>
        </w:tc>
        <w:tc>
          <w:tcPr>
            <w:tcW w:w="25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539B"/>
          <w:sz w:val="23"/>
        </w:rPr>
      </w:pPr>
      <w:r>
        <w:rPr>
          <w:rFonts w:ascii="Arial;sans-serif" w:hAnsi="Arial;sans-serif"/>
          <w:b/>
          <w:color w:val="00539B"/>
          <w:sz w:val="23"/>
        </w:rPr>
        <w:t>DEBT REDUCTION ACTIVITY</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In the six months ended June 30, 2026, the Company utilized after-tax proceeds from the OxyChem Transaction and excess free cash flow to repay debt of $8.6 billion, which resulted in a loss on extinguishment of $190 million. The following table summarizes the Company's debt extinguishment in the six months ended June 30, 2026:</w:t>
      </w:r>
    </w:p>
    <w:p>
      <w:pPr>
        <w:pStyle w:val="TextBody"/>
        <w:bidi w:val="0"/>
        <w:spacing w:before="0" w:after="0"/>
        <w:jc w:val="both"/>
        <w:rPr/>
      </w:pPr>
      <w:r>
        <w:rPr/>
      </w:r>
    </w:p>
    <w:tbl>
      <w:tblPr>
        <w:tblW w:w="7423" w:type="dxa"/>
        <w:jc w:val="left"/>
        <w:tblInd w:w="0" w:type="dxa"/>
        <w:tblLayout w:type="fixed"/>
        <w:tblCellMar>
          <w:top w:w="28" w:type="dxa"/>
          <w:left w:w="28" w:type="dxa"/>
          <w:bottom w:w="28" w:type="dxa"/>
          <w:right w:w="28" w:type="dxa"/>
        </w:tblCellMar>
      </w:tblPr>
      <w:tblGrid>
        <w:gridCol w:w="1800"/>
        <w:gridCol w:w="1578"/>
        <w:gridCol w:w="1601"/>
        <w:gridCol w:w="460"/>
        <w:gridCol w:w="1645"/>
        <w:gridCol w:w="339"/>
      </w:tblGrid>
      <w:tr>
        <w:trPr/>
        <w:tc>
          <w:tcPr>
            <w:tcW w:w="1800"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24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Borrowings at face value</w:t>
            </w:r>
          </w:p>
        </w:tc>
      </w:tr>
      <w:tr>
        <w:trPr/>
        <w:tc>
          <w:tcPr>
            <w:tcW w:w="4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borrowings at face value as of December 31, 2025</w:t>
            </w:r>
          </w:p>
        </w:tc>
        <w:tc>
          <w:tcPr>
            <w:tcW w:w="46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64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20,427 </w:t>
            </w:r>
          </w:p>
        </w:tc>
        <w:tc>
          <w:tcPr>
            <w:tcW w:w="33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Repayments</w:t>
            </w:r>
          </w:p>
        </w:tc>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Two-year term loan due 2026</w:t>
            </w:r>
          </w:p>
        </w:tc>
        <w:tc>
          <w:tcPr>
            <w:tcW w:w="210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(1,280)</w:t>
            </w:r>
          </w:p>
        </w:tc>
        <w:tc>
          <w:tcPr>
            <w:tcW w:w="33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3.200% senior notes due 2026</w:t>
            </w:r>
          </w:p>
        </w:tc>
        <w:tc>
          <w:tcPr>
            <w:tcW w:w="21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(182)</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7.500% debentures due 2026</w:t>
            </w:r>
          </w:p>
        </w:tc>
        <w:tc>
          <w:tcPr>
            <w:tcW w:w="21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(112)</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3.000% senior notes due 2027</w:t>
            </w:r>
          </w:p>
        </w:tc>
        <w:tc>
          <w:tcPr>
            <w:tcW w:w="21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(216)</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5.000% senior notes due 2027</w:t>
            </w:r>
          </w:p>
        </w:tc>
        <w:tc>
          <w:tcPr>
            <w:tcW w:w="21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(600)</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7.125% debentures due 2027</w:t>
            </w:r>
          </w:p>
        </w:tc>
        <w:tc>
          <w:tcPr>
            <w:tcW w:w="21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(150)</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8.500% senior notes due 2027</w:t>
            </w:r>
          </w:p>
        </w:tc>
        <w:tc>
          <w:tcPr>
            <w:tcW w:w="21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(489)</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6.375% senior notes due 2028</w:t>
            </w:r>
          </w:p>
        </w:tc>
        <w:tc>
          <w:tcPr>
            <w:tcW w:w="21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(578)</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7.150% debentures due 2028</w:t>
            </w:r>
          </w:p>
        </w:tc>
        <w:tc>
          <w:tcPr>
            <w:tcW w:w="21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(232)</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7.200% senior debentures due 2028</w:t>
            </w:r>
          </w:p>
        </w:tc>
        <w:tc>
          <w:tcPr>
            <w:tcW w:w="21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(82)</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3.500% senior notes due 2029</w:t>
            </w:r>
          </w:p>
        </w:tc>
        <w:tc>
          <w:tcPr>
            <w:tcW w:w="21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(286)</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5.200% senior notes due 2029</w:t>
            </w:r>
          </w:p>
        </w:tc>
        <w:tc>
          <w:tcPr>
            <w:tcW w:w="21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(1,200)</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7.950% debentures due 2029</w:t>
            </w:r>
          </w:p>
        </w:tc>
        <w:tc>
          <w:tcPr>
            <w:tcW w:w="21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(14)</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6.625% senior notes due 2030</w:t>
            </w:r>
          </w:p>
        </w:tc>
        <w:tc>
          <w:tcPr>
            <w:tcW w:w="21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(594)</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6.125% senior notes due 2031</w:t>
            </w:r>
          </w:p>
        </w:tc>
        <w:tc>
          <w:tcPr>
            <w:tcW w:w="21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(850)</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5.375% senior notes due 2032</w:t>
            </w:r>
          </w:p>
        </w:tc>
        <w:tc>
          <w:tcPr>
            <w:tcW w:w="21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(252)</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5.550% senior notes due 2034</w:t>
            </w:r>
          </w:p>
        </w:tc>
        <w:tc>
          <w:tcPr>
            <w:tcW w:w="21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(391)</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Zero Coupon senior notes due 2036</w:t>
            </w:r>
          </w:p>
        </w:tc>
        <w:tc>
          <w:tcPr>
            <w:tcW w:w="21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(252)</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0.000% loan due 2039 (CAD denominated)</w:t>
            </w:r>
          </w:p>
        </w:tc>
        <w:tc>
          <w:tcPr>
            <w:tcW w:w="21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4.300% senior notes due 2039</w:t>
            </w:r>
          </w:p>
        </w:tc>
        <w:tc>
          <w:tcPr>
            <w:tcW w:w="21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6.200% senior notes due 2040</w:t>
            </w:r>
          </w:p>
        </w:tc>
        <w:tc>
          <w:tcPr>
            <w:tcW w:w="21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(22)</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4.500% senior notes due 2044</w:t>
            </w:r>
          </w:p>
        </w:tc>
        <w:tc>
          <w:tcPr>
            <w:tcW w:w="21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(7)</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4.625% senior notes due 2045</w:t>
            </w:r>
          </w:p>
        </w:tc>
        <w:tc>
          <w:tcPr>
            <w:tcW w:w="21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(38)</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6.600% senior notes due 2046</w:t>
            </w:r>
          </w:p>
        </w:tc>
        <w:tc>
          <w:tcPr>
            <w:tcW w:w="21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(130)</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4.400% senior notes due 2046</w:t>
            </w:r>
          </w:p>
        </w:tc>
        <w:tc>
          <w:tcPr>
            <w:tcW w:w="21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(133)</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4.100% senior notes due 2047</w:t>
            </w:r>
          </w:p>
        </w:tc>
        <w:tc>
          <w:tcPr>
            <w:tcW w:w="21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(33)</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4.200% senior notes due 2048</w:t>
            </w:r>
          </w:p>
        </w:tc>
        <w:tc>
          <w:tcPr>
            <w:tcW w:w="21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(82)</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4.400% senior notes due 2049</w:t>
            </w:r>
          </w:p>
        </w:tc>
        <w:tc>
          <w:tcPr>
            <w:tcW w:w="21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(36)</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6.050% senior notes due 2054</w:t>
            </w:r>
          </w:p>
        </w:tc>
        <w:tc>
          <w:tcPr>
            <w:tcW w:w="21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(366)</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repayments</w:t>
            </w:r>
          </w:p>
        </w:tc>
        <w:tc>
          <w:tcPr>
            <w:tcW w:w="46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164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(8,609)</w:t>
            </w:r>
          </w:p>
        </w:tc>
        <w:tc>
          <w:tcPr>
            <w:tcW w:w="33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borrowings at face value as of June 30, 2026</w:t>
            </w:r>
          </w:p>
        </w:tc>
        <w:tc>
          <w:tcPr>
            <w:tcW w:w="46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164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11,818</w:t>
            </w:r>
            <w:r>
              <w:rPr>
                <w:color w:val="00539B"/>
              </w:rPr>
              <w:t> </w:t>
            </w:r>
          </w:p>
        </w:tc>
        <w:tc>
          <w:tcPr>
            <w:tcW w:w="33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p>
      <w:pPr>
        <w:pStyle w:val="TextBody"/>
        <w:bidi w:val="0"/>
        <w:spacing w:lineRule="auto" w:line="276" w:before="0" w:after="0"/>
        <w:ind w:left="0" w:right="0" w:firstLine="270"/>
        <w:jc w:val="both"/>
        <w:rPr>
          <w:rFonts w:ascii="Arial;sans-serif" w:hAnsi="Arial;sans-serif"/>
          <w:b/>
          <w:color w:val="00539B"/>
          <w:sz w:val="23"/>
        </w:rPr>
      </w:pPr>
      <w:r>
        <w:rPr>
          <w:rFonts w:ascii="Arial;sans-serif" w:hAnsi="Arial;sans-serif"/>
          <w:b/>
          <w:color w:val="00539B"/>
          <w:sz w:val="23"/>
        </w:rPr>
        <w:t>FAIR VALUE OF DEBT</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estimated fair value of the Company's principal debt as of June 30, 2026 and December 31, 2025, the majority of which was classified as Level 1, was $12.2 billion and $20.8 billion, respectively.</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jc w:val="left"/>
        <w:rPr/>
      </w:pPr>
      <w:r>
        <w:rPr/>
      </w:r>
    </w:p>
    <w:tbl>
      <w:tblPr>
        <w:tblW w:w="7949" w:type="dxa"/>
        <w:jc w:val="left"/>
        <w:tblInd w:w="0" w:type="dxa"/>
        <w:tblLayout w:type="fixed"/>
        <w:tblCellMar>
          <w:top w:w="28" w:type="dxa"/>
          <w:left w:w="28" w:type="dxa"/>
          <w:bottom w:w="28" w:type="dxa"/>
          <w:right w:w="28" w:type="dxa"/>
        </w:tblCellMar>
      </w:tblPr>
      <w:tblGrid>
        <w:gridCol w:w="2546"/>
        <w:gridCol w:w="2237"/>
        <w:gridCol w:w="3166"/>
      </w:tblGrid>
      <w:tr>
        <w:trPr/>
        <w:tc>
          <w:tcPr>
            <w:tcW w:w="254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r>
      <w:tr>
        <w:trPr/>
        <w:tc>
          <w:tcPr>
            <w:tcW w:w="7949" w:type="dxa"/>
            <w:gridSpan w:val="3"/>
            <w:tcBorders>
              <w:top w:val="single" w:sz="12" w:space="0" w:color="00539B"/>
              <w:bottom w:val="single" w:sz="12" w:space="0" w:color="00539B"/>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539B"/>
                <w:sz w:val="28"/>
              </w:rPr>
            </w:pPr>
            <w:r>
              <w:rPr>
                <w:rFonts w:ascii="Arial Narrow;sans-serif" w:hAnsi="Arial Narrow;sans-serif"/>
                <w:b/>
                <w:color w:val="00539B"/>
                <w:sz w:val="28"/>
              </w:rPr>
              <w:t>NOTE 4 - ACQUISITIONS, DIVESTITURES AND OTHER TRANSACTIONS</w:t>
            </w:r>
          </w:p>
        </w:tc>
      </w:tr>
    </w:tbl>
    <w:p>
      <w:pPr>
        <w:pStyle w:val="TextBody"/>
        <w:bidi w:val="0"/>
        <w:spacing w:before="0" w:after="0"/>
        <w:jc w:val="both"/>
        <w:rPr/>
      </w:pPr>
      <w:r>
        <w:rPr/>
      </w:r>
    </w:p>
    <w:p>
      <w:pPr>
        <w:pStyle w:val="TextBody"/>
        <w:bidi w:val="0"/>
        <w:spacing w:lineRule="auto" w:line="288" w:before="100" w:after="283"/>
        <w:jc w:val="both"/>
        <w:rPr>
          <w:rFonts w:ascii="Arial;sans-serif" w:hAnsi="Arial;sans-serif"/>
          <w:b/>
          <w:color w:val="00539B"/>
          <w:sz w:val="23"/>
        </w:rPr>
      </w:pPr>
      <w:r>
        <w:rPr>
          <w:rFonts w:ascii="Arial;sans-serif" w:hAnsi="Arial;sans-serif"/>
          <w:b/>
          <w:color w:val="00539B"/>
          <w:sz w:val="23"/>
        </w:rPr>
        <w:t>ACQUISITIONS AND DIVESTITURES</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During the second quarter of 2026, the Company divested non-core operated and non-operated leasehold interests as well as certain processing plants in the Permian Basin. The Company recorded a loss of $230 million primarily attributable to the processing plants for the first six months of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539B"/>
          <w:sz w:val="23"/>
        </w:rPr>
      </w:pPr>
      <w:r>
        <w:rPr>
          <w:rFonts w:ascii="Arial;sans-serif" w:hAnsi="Arial;sans-serif"/>
          <w:b/>
          <w:color w:val="00539B"/>
          <w:sz w:val="23"/>
        </w:rPr>
        <w:t>DISCONTINUED OPERATIONS</w:t>
      </w:r>
    </w:p>
    <w:p>
      <w:pPr>
        <w:pStyle w:val="TextBody"/>
        <w:bidi w:val="0"/>
        <w:spacing w:lineRule="auto" w:line="288" w:before="0" w:after="0"/>
        <w:ind w:left="0" w:right="0" w:firstLine="270"/>
        <w:jc w:val="both"/>
        <w:rPr/>
      </w:pPr>
      <w:r>
        <w:rPr>
          <w:rFonts w:ascii="Arial;sans-serif" w:hAnsi="Arial;sans-serif"/>
          <w:b w:val="false"/>
          <w:color w:val="000000"/>
          <w:sz w:val="19"/>
        </w:rPr>
        <w:t xml:space="preserve">In October 2025, the Company announced a purchase and sale agreement with Berkshire Hathaway to sell all of the issued and outstanding equity interests in OxyChem in an all-cash transaction for an adjusted sales price of $9.5 billion, subject to additional post-closing adjustments. The sale was completed on January 2, 2026, resulting in a gain of approximately $3.1 billion, net of taxes. The OxyChem Transaction marks a strategic change in the Company's operations. For information related to the presentation of financials for discontinued operations, see </w:t>
      </w:r>
      <w:hyperlink w:anchor="i3d54dccfbfc2441b99c01f1c1099ad60_49">
        <w:r>
          <w:rPr>
            <w:rStyle w:val="InternetLink"/>
            <w:rFonts w:ascii="Arial;sans-serif" w:hAnsi="Arial;sans-serif"/>
            <w:b w:val="false"/>
            <w:color w:val="000000"/>
            <w:sz w:val="19"/>
            <w:u w:val="single"/>
          </w:rPr>
          <w:t>Note 1 - General</w:t>
        </w:r>
      </w:hyperlink>
      <w:r>
        <w:rPr>
          <w:rFonts w:ascii="Arial;sans-serif" w:hAnsi="Arial;sans-serif"/>
          <w:b w:val="false"/>
          <w:color w:val="000000"/>
          <w:sz w:val="19"/>
        </w:rPr>
        <w:t xml:space="preserve">. Refer to </w:t>
      </w:r>
      <w:hyperlink w:anchor="i3d54dccfbfc2441b99c01f1c1099ad60_61">
        <w:r>
          <w:rPr>
            <w:rStyle w:val="InternetLink"/>
            <w:rFonts w:ascii="Arial;sans-serif" w:hAnsi="Arial;sans-serif"/>
            <w:b w:val="false"/>
            <w:color w:val="000000"/>
            <w:sz w:val="19"/>
            <w:u w:val="single"/>
          </w:rPr>
          <w:t xml:space="preserve">Note 3 Long-Term Debt </w:t>
        </w:r>
      </w:hyperlink>
      <w:r>
        <w:rPr>
          <w:rFonts w:ascii="Arial;sans-serif" w:hAnsi="Arial;sans-serif"/>
          <w:b w:val="false"/>
          <w:color w:val="000000"/>
          <w:sz w:val="19"/>
        </w:rPr>
        <w:t>for the Company</w:t>
      </w:r>
      <w:r>
        <w:rPr>
          <w:rFonts w:ascii="Times New Roman;serif" w:hAnsi="Times New Roman;serif"/>
          <w:b w:val="false"/>
          <w:color w:val="000000"/>
          <w:sz w:val="20"/>
        </w:rPr>
        <w:t>'</w:t>
      </w:r>
      <w:r>
        <w:rPr>
          <w:rFonts w:ascii="Arial;sans-serif" w:hAnsi="Arial;sans-serif"/>
          <w:b w:val="false"/>
          <w:color w:val="000000"/>
          <w:sz w:val="19"/>
        </w:rPr>
        <w:t>s use of the after-tax sale proceeds.</w:t>
      </w:r>
    </w:p>
    <w:p>
      <w:pPr>
        <w:pStyle w:val="TextBody"/>
        <w:bidi w:val="0"/>
        <w:spacing w:lineRule="auto" w:line="288" w:before="40" w:after="283"/>
        <w:ind w:left="0" w:right="0" w:firstLine="270"/>
        <w:jc w:val="both"/>
        <w:rPr>
          <w:rFonts w:ascii="Arial;sans-serif" w:hAnsi="Arial;sans-serif"/>
          <w:b w:val="false"/>
          <w:color w:val="000000"/>
          <w:sz w:val="19"/>
        </w:rPr>
      </w:pPr>
      <w:r>
        <w:rPr>
          <w:rFonts w:ascii="Arial;sans-serif" w:hAnsi="Arial;sans-serif"/>
          <w:b w:val="false"/>
          <w:color w:val="000000"/>
          <w:sz w:val="19"/>
        </w:rPr>
        <w:t>The following table summarizes the components of the sales price:</w:t>
      </w:r>
    </w:p>
    <w:p>
      <w:pPr>
        <w:pStyle w:val="TextBody"/>
        <w:bidi w:val="0"/>
        <w:spacing w:before="0" w:after="0"/>
        <w:ind w:left="0" w:right="0" w:firstLine="270"/>
        <w:jc w:val="both"/>
        <w:rPr/>
      </w:pPr>
      <w:r>
        <w:rPr/>
      </w:r>
    </w:p>
    <w:tbl>
      <w:tblPr>
        <w:tblW w:w="3486" w:type="dxa"/>
        <w:jc w:val="left"/>
        <w:tblInd w:w="0" w:type="dxa"/>
        <w:tblLayout w:type="fixed"/>
        <w:tblCellMar>
          <w:top w:w="28" w:type="dxa"/>
          <w:left w:w="28" w:type="dxa"/>
          <w:bottom w:w="28" w:type="dxa"/>
          <w:right w:w="28" w:type="dxa"/>
        </w:tblCellMar>
      </w:tblPr>
      <w:tblGrid>
        <w:gridCol w:w="898"/>
        <w:gridCol w:w="785"/>
        <w:gridCol w:w="792"/>
        <w:gridCol w:w="211"/>
        <w:gridCol w:w="646"/>
        <w:gridCol w:w="154"/>
      </w:tblGrid>
      <w:tr>
        <w:trPr/>
        <w:tc>
          <w:tcPr>
            <w:tcW w:w="89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in millions</w:t>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Total</w:t>
            </w:r>
          </w:p>
        </w:tc>
      </w:tr>
      <w:tr>
        <w:trPr/>
        <w:tc>
          <w:tcPr>
            <w:tcW w:w="24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sales price</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9,700 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Closing adjustments:</w:t>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Working capital adjustment</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Post-close adjustments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cash sales price</w:t>
            </w:r>
          </w:p>
        </w:tc>
        <w:tc>
          <w:tcPr>
            <w:tcW w:w="21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9,472 </w:t>
            </w:r>
          </w:p>
        </w:tc>
        <w:tc>
          <w:tcPr>
            <w:tcW w:w="15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following table presents the amounts reported in discontinued operations, net of income taxes, for the following:</w:t>
      </w:r>
    </w:p>
    <w:p>
      <w:pPr>
        <w:pStyle w:val="TextBody"/>
        <w:bidi w:val="0"/>
        <w:spacing w:before="0" w:after="0"/>
        <w:ind w:left="0" w:right="0" w:firstLine="270"/>
        <w:jc w:val="both"/>
        <w:rPr/>
      </w:pPr>
      <w:r>
        <w:rPr/>
      </w:r>
    </w:p>
    <w:tbl>
      <w:tblPr>
        <w:tblW w:w="10205" w:type="dxa"/>
        <w:jc w:val="left"/>
        <w:tblInd w:w="0" w:type="dxa"/>
        <w:tblLayout w:type="fixed"/>
        <w:tblCellMar>
          <w:top w:w="28" w:type="dxa"/>
          <w:left w:w="28" w:type="dxa"/>
          <w:bottom w:w="28" w:type="dxa"/>
          <w:right w:w="28" w:type="dxa"/>
        </w:tblCellMar>
      </w:tblPr>
      <w:tblGrid>
        <w:gridCol w:w="1787"/>
        <w:gridCol w:w="1542"/>
        <w:gridCol w:w="1561"/>
        <w:gridCol w:w="382"/>
        <w:gridCol w:w="737"/>
        <w:gridCol w:w="197"/>
        <w:gridCol w:w="285"/>
        <w:gridCol w:w="875"/>
        <w:gridCol w:w="146"/>
        <w:gridCol w:w="291"/>
        <w:gridCol w:w="893"/>
        <w:gridCol w:w="150"/>
        <w:gridCol w:w="282"/>
        <w:gridCol w:w="864"/>
        <w:gridCol w:w="213"/>
      </w:tblGrid>
      <w:tr>
        <w:trPr/>
        <w:tc>
          <w:tcPr>
            <w:tcW w:w="1787"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Three months ended</w:t>
            </w:r>
          </w:p>
        </w:tc>
        <w:tc>
          <w:tcPr>
            <w:tcW w:w="269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Six months ended</w:t>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13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June 30, 2026</w:t>
            </w:r>
          </w:p>
        </w:tc>
        <w:tc>
          <w:tcPr>
            <w:tcW w:w="13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June 30, 2025</w:t>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June 30, 2026</w:t>
            </w:r>
          </w:p>
        </w:tc>
        <w:tc>
          <w:tcPr>
            <w:tcW w:w="13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June 30, 2025</w:t>
            </w:r>
          </w:p>
        </w:tc>
      </w:tr>
      <w:tr>
        <w:trPr/>
        <w:tc>
          <w:tcPr>
            <w:tcW w:w="48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Revenues and other income</w:t>
            </w:r>
          </w:p>
        </w:tc>
        <w:tc>
          <w:tcPr>
            <w:tcW w:w="1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sales</w:t>
            </w:r>
          </w:p>
        </w:tc>
        <w:tc>
          <w:tcPr>
            <w:tcW w:w="38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737" w:type="dxa"/>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7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1,156 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9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26</w:t>
            </w:r>
            <w:r>
              <w:rPr>
                <w:color w:val="00539B"/>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2,255 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dividends and other income</w:t>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12</w:t>
            </w:r>
            <w:r>
              <w:rPr>
                <w:color w:val="00539B"/>
              </w:rPr>
              <w:t>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12</w:t>
            </w:r>
            <w:r>
              <w:rPr>
                <w:color w:val="00539B"/>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Gains (losses) on sales of assets and other, net</w:t>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(36)</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4,036</w:t>
            </w:r>
            <w:r>
              <w:rPr>
                <w:color w:val="00539B"/>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revenues and other income</w:t>
            </w:r>
          </w:p>
        </w:tc>
        <w:tc>
          <w:tcPr>
            <w:tcW w:w="111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(24)</w:t>
            </w:r>
          </w:p>
        </w:tc>
        <w:tc>
          <w:tcPr>
            <w:tcW w:w="19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1,155 </w:t>
            </w:r>
          </w:p>
        </w:tc>
        <w:tc>
          <w:tcPr>
            <w:tcW w:w="1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4,074</w:t>
            </w:r>
            <w:r>
              <w:rPr>
                <w:color w:val="00539B"/>
              </w:rPr>
              <w:t> </w:t>
            </w:r>
          </w:p>
        </w:tc>
        <w:tc>
          <w:tcPr>
            <w:tcW w:w="1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2,260 </w:t>
            </w:r>
          </w:p>
        </w:tc>
        <w:tc>
          <w:tcPr>
            <w:tcW w:w="2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Costs and other deductions</w:t>
            </w:r>
          </w:p>
        </w:tc>
        <w:tc>
          <w:tcPr>
            <w:tcW w:w="1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Chemical cost of sales</w:t>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808 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23</w:t>
            </w:r>
            <w:r>
              <w:rPr>
                <w:color w:val="00539B"/>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1,570 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General and administrative expense</w:t>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w:t>
            </w:r>
            <w:r>
              <w:rPr>
                <w:color w:val="00539B"/>
              </w:rPr>
              <w:t>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9</w:t>
            </w:r>
            <w:r>
              <w:rPr>
                <w:color w:val="00539B"/>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operating and non-operating expense</w:t>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47</w:t>
            </w:r>
            <w:r>
              <w:rPr>
                <w:color w:val="00539B"/>
              </w:rPr>
              <w:t>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75</w:t>
            </w:r>
            <w:r>
              <w:rPr>
                <w:color w:val="00539B"/>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118 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Depreciation, depletion and amortization</w:t>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113 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226 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expense, net</w:t>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costs and other deductions</w:t>
            </w:r>
          </w:p>
        </w:tc>
        <w:tc>
          <w:tcPr>
            <w:tcW w:w="111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52</w:t>
            </w:r>
            <w:r>
              <w:rPr>
                <w:color w:val="00539B"/>
              </w:rPr>
              <w:t> </w:t>
            </w:r>
          </w:p>
        </w:tc>
        <w:tc>
          <w:tcPr>
            <w:tcW w:w="19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1,005 </w:t>
            </w:r>
          </w:p>
        </w:tc>
        <w:tc>
          <w:tcPr>
            <w:tcW w:w="1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107</w:t>
            </w:r>
            <w:r>
              <w:rPr>
                <w:color w:val="00539B"/>
              </w:rPr>
              <w:t> </w:t>
            </w:r>
          </w:p>
        </w:tc>
        <w:tc>
          <w:tcPr>
            <w:tcW w:w="1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1,980 </w:t>
            </w:r>
          </w:p>
        </w:tc>
        <w:tc>
          <w:tcPr>
            <w:tcW w:w="2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(loss) before income taxes and other items</w:t>
            </w:r>
          </w:p>
        </w:tc>
        <w:tc>
          <w:tcPr>
            <w:tcW w:w="111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(76)</w:t>
            </w:r>
          </w:p>
        </w:tc>
        <w:tc>
          <w:tcPr>
            <w:tcW w:w="19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150 </w:t>
            </w:r>
          </w:p>
        </w:tc>
        <w:tc>
          <w:tcPr>
            <w:tcW w:w="1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3,967</w:t>
            </w:r>
            <w:r>
              <w:rPr>
                <w:color w:val="00539B"/>
              </w:rPr>
              <w:t> </w:t>
            </w:r>
          </w:p>
        </w:tc>
        <w:tc>
          <w:tcPr>
            <w:tcW w:w="1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280 </w:t>
            </w:r>
          </w:p>
        </w:tc>
        <w:tc>
          <w:tcPr>
            <w:tcW w:w="2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from equity investments and other</w:t>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w:t>
            </w:r>
            <w:r>
              <w:rPr>
                <w:color w:val="00539B"/>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Income (loss) before income taxes </w:t>
            </w:r>
          </w:p>
        </w:tc>
        <w:tc>
          <w:tcPr>
            <w:tcW w:w="111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(76)</w:t>
            </w:r>
          </w:p>
        </w:tc>
        <w:tc>
          <w:tcPr>
            <w:tcW w:w="19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178 </w:t>
            </w:r>
          </w:p>
        </w:tc>
        <w:tc>
          <w:tcPr>
            <w:tcW w:w="1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3,968</w:t>
            </w:r>
            <w:r>
              <w:rPr>
                <w:color w:val="00539B"/>
              </w:rPr>
              <w:t> </w:t>
            </w:r>
          </w:p>
        </w:tc>
        <w:tc>
          <w:tcPr>
            <w:tcW w:w="1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333 </w:t>
            </w:r>
          </w:p>
        </w:tc>
        <w:tc>
          <w:tcPr>
            <w:tcW w:w="2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tax benefit (expense)</w:t>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72</w:t>
            </w:r>
            <w:r>
              <w:rPr>
                <w:color w:val="00539B"/>
              </w:rPr>
              <w:t>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(849)</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(88)</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Income (loss) from discontinued operations, net of tax</w:t>
            </w:r>
          </w:p>
        </w:tc>
        <w:tc>
          <w:tcPr>
            <w:tcW w:w="38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73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(4)</w:t>
            </w:r>
          </w:p>
        </w:tc>
        <w:tc>
          <w:tcPr>
            <w:tcW w:w="19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7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130 </w:t>
            </w:r>
          </w:p>
        </w:tc>
        <w:tc>
          <w:tcPr>
            <w:tcW w:w="14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9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3,119</w:t>
            </w:r>
            <w:r>
              <w:rPr>
                <w:color w:val="00539B"/>
              </w:rPr>
              <w:t> </w:t>
            </w:r>
          </w:p>
        </w:tc>
        <w:tc>
          <w:tcPr>
            <w:tcW w:w="15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6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245 </w:t>
            </w:r>
          </w:p>
        </w:tc>
        <w:tc>
          <w:tcPr>
            <w:tcW w:w="21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effective tax rate for discontinued operations was 21% and 26% for the six months ended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714" w:type="dxa"/>
        <w:jc w:val="left"/>
        <w:tblInd w:w="0" w:type="dxa"/>
        <w:tblLayout w:type="fixed"/>
        <w:tblCellMar>
          <w:top w:w="28" w:type="dxa"/>
          <w:left w:w="28" w:type="dxa"/>
          <w:bottom w:w="28" w:type="dxa"/>
          <w:right w:w="28" w:type="dxa"/>
        </w:tblCellMar>
      </w:tblPr>
      <w:tblGrid>
        <w:gridCol w:w="868"/>
        <w:gridCol w:w="764"/>
        <w:gridCol w:w="1082"/>
      </w:tblGrid>
      <w:tr>
        <w:trPr/>
        <w:tc>
          <w:tcPr>
            <w:tcW w:w="86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12" w:space="0" w:color="00539B"/>
              <w:bottom w:val="single" w:sz="12" w:space="0" w:color="00539B"/>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539B"/>
                <w:sz w:val="28"/>
              </w:rPr>
            </w:pPr>
            <w:r>
              <w:rPr>
                <w:rFonts w:ascii="Arial Narrow;sans-serif" w:hAnsi="Arial Narrow;sans-serif"/>
                <w:b/>
                <w:color w:val="00539B"/>
                <w:sz w:val="28"/>
              </w:rPr>
              <w:t>NOTE 5 - DERIVATIVES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color w:val="00539B"/>
          <w:sz w:val="23"/>
        </w:rPr>
      </w:pPr>
      <w:r>
        <w:rPr>
          <w:rFonts w:ascii="Arial;sans-serif" w:hAnsi="Arial;sans-serif"/>
          <w:b/>
          <w:color w:val="00539B"/>
          <w:sz w:val="23"/>
        </w:rPr>
        <w:t>OBJECTIVE AND STRATEGY</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 xml:space="preserve">The Company uses a variety of derivative financial instruments and physical contracts to manage its exposure to commodity price fluctuations and transportation commitments and to fix margins on the future sale of stored commodity volumes. Derivatives are carried at fair value and on a net basis when a legal right of offset exists with the same counterparty. The Company may occasionally use a variety of derivative financial instruments to manage its exposure to foreign currency fluctuations and interest rate risks. The Company also enters into derivative financial instruments for trading purposes. </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 xml:space="preserve">The Company may elect normal purchases and normal sales exclusions when physically delivered commodities are purchased from a vendor or sold to a customer. </w:t>
      </w:r>
    </w:p>
    <w:p>
      <w:pPr>
        <w:pStyle w:val="TextBody"/>
        <w:bidi w:val="0"/>
        <w:spacing w:before="0" w:after="0"/>
        <w:ind w:left="0" w:right="0" w:firstLine="270"/>
        <w:jc w:val="both"/>
        <w:rPr/>
      </w:pPr>
      <w:r>
        <w:rPr/>
      </w:r>
    </w:p>
    <w:p>
      <w:pPr>
        <w:pStyle w:val="TextBody"/>
        <w:bidi w:val="0"/>
        <w:spacing w:lineRule="auto" w:line="288" w:before="0" w:after="0"/>
        <w:jc w:val="both"/>
        <w:rPr>
          <w:rFonts w:ascii="Arial;sans-serif" w:hAnsi="Arial;sans-serif"/>
          <w:b/>
          <w:color w:val="00539B"/>
          <w:sz w:val="23"/>
        </w:rPr>
      </w:pPr>
      <w:r>
        <w:rPr>
          <w:rFonts w:ascii="Arial;sans-serif" w:hAnsi="Arial;sans-serif"/>
          <w:b/>
          <w:color w:val="00539B"/>
          <w:sz w:val="23"/>
        </w:rPr>
        <w:t>CRUDE COLLARS</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In February 2026, the Company entered into crude two-way collar derivative instruments beginning in March for the remainder of 2026 to manage its near-term exposure to cash flow variability from crude oil price risk. A two-way collar is a combination of a sold call and a purchased put. The sold call establishes a ceiling price and the purchased put establishes a floor price that the Company will receive for the contracted commodity volume for a defined period of time. Gains and losses associated with changes in the fair value of the collars are recognized in net sales, and cash settlements are recognized in operating cash flows. The collars have a notional volume of 100 Mbbl per day, a floor WTI price of $55.00 per barrel and a weighted average ceiling WTI price of $75.89 per barrel.</w:t>
      </w:r>
    </w:p>
    <w:p>
      <w:pPr>
        <w:pStyle w:val="TextBody"/>
        <w:bidi w:val="0"/>
        <w:spacing w:before="0" w:after="0"/>
        <w:ind w:left="0" w:right="0" w:firstLine="270"/>
        <w:jc w:val="both"/>
        <w:rPr/>
      </w:pPr>
      <w:r>
        <w:rPr/>
      </w:r>
    </w:p>
    <w:p>
      <w:pPr>
        <w:pStyle w:val="TextBody"/>
        <w:bidi w:val="0"/>
        <w:spacing w:lineRule="auto" w:line="288" w:before="0" w:after="0"/>
        <w:jc w:val="both"/>
        <w:rPr>
          <w:rFonts w:ascii="Arial;sans-serif" w:hAnsi="Arial;sans-serif"/>
          <w:b/>
          <w:color w:val="00539B"/>
          <w:sz w:val="23"/>
        </w:rPr>
      </w:pPr>
      <w:r>
        <w:rPr>
          <w:rFonts w:ascii="Arial;sans-serif" w:hAnsi="Arial;sans-serif"/>
          <w:b/>
          <w:color w:val="00539B"/>
          <w:sz w:val="23"/>
        </w:rPr>
        <w:t>MARKETING DERIVATIVES</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Company's marketing of derivative instruments includes short-duration physical and financial forward contracts. As of June 30, 2026, the weighted-average settlement price of these forward contracts was $82.03 per barrel and $2.29 per Mcf for crude oil and natural gas, respectively. The weighted-average settlement price was $59.59 per barrel and $2.53 per Mcf for crude oil and natural gas, respectively, as of December 31, 2025. Derivative instruments that are not designated as hedging instruments are required to be recorded on the balance sheet at fair value. Changes in fair value will impact the Company's earnings through mark-to-market adjustments until the physical commodity is delivered or the financial instrument is settled. Net gains and losses associated with marketing derivative instruments are recognized currently in net sales. Cash settlements related to marketing derivatives are presented in operating cash flows.</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following table summarizes net volumes associated with the outstanding marketing commodity derivatives as of:</w:t>
      </w:r>
    </w:p>
    <w:p>
      <w:pPr>
        <w:pStyle w:val="TextBody"/>
        <w:bidi w:val="0"/>
        <w:spacing w:before="0" w:after="0"/>
        <w:jc w:val="both"/>
        <w:rPr/>
      </w:pPr>
      <w:r>
        <w:rPr/>
      </w:r>
    </w:p>
    <w:tbl>
      <w:tblPr>
        <w:tblW w:w="6208" w:type="dxa"/>
        <w:jc w:val="center"/>
        <w:tblInd w:w="0" w:type="dxa"/>
        <w:tblLayout w:type="fixed"/>
        <w:tblCellMar>
          <w:top w:w="28" w:type="dxa"/>
          <w:left w:w="28" w:type="dxa"/>
          <w:bottom w:w="28" w:type="dxa"/>
          <w:right w:w="28" w:type="dxa"/>
        </w:tblCellMar>
      </w:tblPr>
      <w:tblGrid>
        <w:gridCol w:w="1086"/>
        <w:gridCol w:w="954"/>
        <w:gridCol w:w="960"/>
        <w:gridCol w:w="454"/>
        <w:gridCol w:w="454"/>
        <w:gridCol w:w="456"/>
        <w:gridCol w:w="539"/>
        <w:gridCol w:w="539"/>
        <w:gridCol w:w="766"/>
      </w:tblGrid>
      <w:tr>
        <w:trPr/>
        <w:tc>
          <w:tcPr>
            <w:tcW w:w="108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long (short)</w:t>
            </w:r>
          </w:p>
        </w:tc>
        <w:tc>
          <w:tcPr>
            <w:tcW w:w="13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June 30, 2026</w:t>
            </w:r>
          </w:p>
        </w:tc>
        <w:tc>
          <w:tcPr>
            <w:tcW w:w="18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December 31, 2025</w:t>
            </w:r>
          </w:p>
        </w:tc>
      </w:tr>
      <w:tr>
        <w:trPr/>
        <w:tc>
          <w:tcPr>
            <w:tcW w:w="30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9"/>
              </w:rPr>
              <w:t>Oil commodity contracts</w:t>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Volume (MMbbl)</w:t>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(52)</w:t>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(59)</w:t>
            </w:r>
          </w:p>
        </w:tc>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Natural gas commodity contracts</w:t>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Volume (Bcf)</w:t>
            </w:r>
          </w:p>
        </w:tc>
        <w:tc>
          <w:tcPr>
            <w:tcW w:w="90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(307)</w:t>
            </w:r>
          </w:p>
        </w:tc>
        <w:tc>
          <w:tcPr>
            <w:tcW w:w="45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(189)</w:t>
            </w:r>
          </w:p>
        </w:tc>
        <w:tc>
          <w:tcPr>
            <w:tcW w:w="76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539B"/>
          <w:sz w:val="23"/>
        </w:rPr>
      </w:pPr>
      <w:r>
        <w:rPr>
          <w:rFonts w:ascii="Arial;sans-serif" w:hAnsi="Arial;sans-serif"/>
          <w:b/>
          <w:color w:val="00539B"/>
          <w:sz w:val="23"/>
        </w:rPr>
        <w:t>FAIR VALUE OF DERIVATIVES</w:t>
      </w:r>
    </w:p>
    <w:p>
      <w:pPr>
        <w:pStyle w:val="TextBody"/>
        <w:bidi w:val="0"/>
        <w:spacing w:lineRule="auto" w:line="288" w:before="0" w:after="0"/>
        <w:ind w:left="0" w:right="0" w:firstLine="270"/>
        <w:jc w:val="both"/>
        <w:rPr/>
      </w:pPr>
      <w:r>
        <w:rPr>
          <w:rFonts w:ascii="Arial;sans-serif" w:hAnsi="Arial;sans-serif"/>
          <w:b w:val="false"/>
          <w:color w:val="000000"/>
          <w:sz w:val="19"/>
        </w:rPr>
        <w:t>The following tables present the fair values of the Company</w:t>
      </w:r>
      <w:r>
        <w:rPr>
          <w:rFonts w:ascii="Times New Roman;serif" w:hAnsi="Times New Roman;serif"/>
          <w:b w:val="false"/>
          <w:color w:val="000000"/>
          <w:sz w:val="20"/>
        </w:rPr>
        <w:t>'</w:t>
      </w:r>
      <w:r>
        <w:rPr>
          <w:rFonts w:ascii="Arial;sans-serif" w:hAnsi="Arial;sans-serif"/>
          <w:b w:val="false"/>
          <w:color w:val="000000"/>
          <w:sz w:val="19"/>
        </w:rPr>
        <w:t>s outstanding derivatives. Fair values are presented at gross amounts below, including when the derivatives are subject to netting arrangements, and are presented on a net basis in the Consolidated Condensed Balance Sheets:</w:t>
      </w:r>
    </w:p>
    <w:p>
      <w:pPr>
        <w:pStyle w:val="TextBody"/>
        <w:bidi w:val="0"/>
        <w:spacing w:before="0" w:after="0"/>
        <w:jc w:val="both"/>
        <w:rPr/>
      </w:pPr>
      <w:r>
        <w:rPr/>
      </w:r>
    </w:p>
    <w:tbl>
      <w:tblPr>
        <w:tblW w:w="9498" w:type="dxa"/>
        <w:jc w:val="left"/>
        <w:tblInd w:w="0" w:type="dxa"/>
        <w:tblLayout w:type="fixed"/>
        <w:tblCellMar>
          <w:top w:w="28" w:type="dxa"/>
          <w:left w:w="28" w:type="dxa"/>
          <w:bottom w:w="28" w:type="dxa"/>
          <w:right w:w="28" w:type="dxa"/>
        </w:tblCellMar>
      </w:tblPr>
      <w:tblGrid>
        <w:gridCol w:w="1374"/>
        <w:gridCol w:w="1203"/>
        <w:gridCol w:w="1218"/>
        <w:gridCol w:w="259"/>
        <w:gridCol w:w="793"/>
        <w:gridCol w:w="133"/>
        <w:gridCol w:w="259"/>
        <w:gridCol w:w="590"/>
        <w:gridCol w:w="133"/>
        <w:gridCol w:w="259"/>
        <w:gridCol w:w="498"/>
        <w:gridCol w:w="133"/>
        <w:gridCol w:w="211"/>
        <w:gridCol w:w="706"/>
        <w:gridCol w:w="109"/>
        <w:gridCol w:w="404"/>
        <w:gridCol w:w="921"/>
        <w:gridCol w:w="295"/>
      </w:tblGrid>
      <w:tr>
        <w:trPr/>
        <w:tc>
          <w:tcPr>
            <w:tcW w:w="137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305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Fair Value Measurements Using</w:t>
            </w:r>
          </w:p>
        </w:tc>
        <w:tc>
          <w:tcPr>
            <w:tcW w:w="102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0000"/>
                <w:sz w:val="19"/>
              </w:rPr>
              <w:t xml:space="preserve">Netting </w:t>
            </w:r>
            <w:r>
              <w:rPr>
                <w:rFonts w:ascii="Arial;sans-serif" w:hAnsi="Arial;sans-serif"/>
                <w:b/>
                <w:color w:val="000000"/>
                <w:sz w:val="12"/>
              </w:rPr>
              <w:t>(a)</w:t>
            </w:r>
          </w:p>
        </w:tc>
        <w:tc>
          <w:tcPr>
            <w:tcW w:w="1620"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Total Fair Value</w:t>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Balance Sheet Classifications</w:t>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Level 1</w:t>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Level 2</w:t>
            </w:r>
          </w:p>
        </w:tc>
        <w:tc>
          <w:tcPr>
            <w:tcW w:w="8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Level 3</w:t>
            </w:r>
          </w:p>
        </w:tc>
        <w:tc>
          <w:tcPr>
            <w:tcW w:w="102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1620"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37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June 30, 2026</w:t>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Marketing Derivatives</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current assets</w:t>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79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2,261</w:t>
            </w:r>
            <w:r>
              <w:rPr>
                <w:color w:val="00539B"/>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59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416</w:t>
            </w:r>
            <w:r>
              <w:rPr>
                <w:color w:val="00539B"/>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498" w:type="dxa"/>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(2,385)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2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292</w:t>
            </w:r>
            <w:r>
              <w:rPr>
                <w:color w:val="00539B"/>
              </w:rPr>
              <w:t>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long-term assets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w:t>
            </w:r>
            <w:r>
              <w:rPr>
                <w:color w:val="00539B"/>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Accrued liabilities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(2,140)</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(279)</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2,385</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(34)</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Deferred credits and other liabilities - other</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Crude Collars</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Accrued liabilities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(31)</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(31)</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December 31, 2025</w:t>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Marketing Derivatives</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current assets</w:t>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9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345 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9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9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Accrued liabilities</w:t>
            </w:r>
          </w:p>
        </w:tc>
        <w:tc>
          <w:tcPr>
            <w:tcW w:w="105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(336)</w:t>
            </w:r>
          </w:p>
        </w:tc>
        <w:tc>
          <w:tcPr>
            <w:tcW w:w="133"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w:t>
            </w:r>
          </w:p>
        </w:tc>
        <w:tc>
          <w:tcPr>
            <w:tcW w:w="133"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328 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w:t>
            </w:r>
          </w:p>
        </w:tc>
        <w:tc>
          <w:tcPr>
            <w:tcW w:w="295"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2"/>
        </w:rPr>
        <w:t>(a)</w:t>
      </w:r>
      <w:r>
        <w:rPr>
          <w:rFonts w:ascii="Arial;sans-serif" w:hAnsi="Arial;sans-serif"/>
          <w:b w:val="false"/>
          <w:color w:val="000000"/>
          <w:sz w:val="18"/>
        </w:rPr>
        <w:t>These amounts do not include collateral. The Company netted $71 million of collateral received from brokers against derivative assets as of June 30, 2026. As of December 31, 2025, the Company netted $29 million of collateral received from brokers against derivative assets and $23 million of collateral deposited with brokers against derivative liabilities.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539B"/>
          <w:sz w:val="23"/>
        </w:rPr>
      </w:pPr>
      <w:r>
        <w:rPr>
          <w:rFonts w:ascii="Arial;sans-serif" w:hAnsi="Arial;sans-serif"/>
          <w:b/>
          <w:color w:val="00539B"/>
          <w:sz w:val="23"/>
        </w:rPr>
        <w:t>GAINS AND LOSSES ON DERIVATIVES</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following table presents gains and losses related to the Company's derivative instruments and the location on the Consolidated Condensed Statements of Operations:</w:t>
      </w:r>
    </w:p>
    <w:p>
      <w:pPr>
        <w:pStyle w:val="TextBody"/>
        <w:bidi w:val="0"/>
        <w:spacing w:before="0" w:after="0"/>
        <w:jc w:val="both"/>
        <w:rPr/>
      </w:pPr>
      <w:r>
        <w:rPr/>
      </w:r>
    </w:p>
    <w:tbl>
      <w:tblPr>
        <w:tblW w:w="9388" w:type="dxa"/>
        <w:jc w:val="left"/>
        <w:tblInd w:w="0" w:type="dxa"/>
        <w:tblLayout w:type="fixed"/>
        <w:tblCellMar>
          <w:top w:w="28" w:type="dxa"/>
          <w:left w:w="28" w:type="dxa"/>
          <w:bottom w:w="28" w:type="dxa"/>
          <w:right w:w="28" w:type="dxa"/>
        </w:tblCellMar>
      </w:tblPr>
      <w:tblGrid>
        <w:gridCol w:w="1428"/>
        <w:gridCol w:w="1251"/>
        <w:gridCol w:w="1266"/>
        <w:gridCol w:w="359"/>
        <w:gridCol w:w="820"/>
        <w:gridCol w:w="185"/>
        <w:gridCol w:w="388"/>
        <w:gridCol w:w="747"/>
        <w:gridCol w:w="200"/>
        <w:gridCol w:w="334"/>
        <w:gridCol w:w="858"/>
        <w:gridCol w:w="172"/>
        <w:gridCol w:w="364"/>
        <w:gridCol w:w="752"/>
        <w:gridCol w:w="264"/>
      </w:tblGrid>
      <w:tr>
        <w:trPr/>
        <w:tc>
          <w:tcPr>
            <w:tcW w:w="1428"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2699"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 xml:space="preserve">Three months ended </w:t>
            </w:r>
          </w:p>
        </w:tc>
        <w:tc>
          <w:tcPr>
            <w:tcW w:w="2744"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Six months ended</w:t>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Income Statement Classification</w:t>
            </w:r>
          </w:p>
        </w:tc>
        <w:tc>
          <w:tcPr>
            <w:tcW w:w="13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June 30, 2026</w:t>
            </w:r>
          </w:p>
        </w:tc>
        <w:tc>
          <w:tcPr>
            <w:tcW w:w="13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June 30, 2025</w:t>
            </w:r>
          </w:p>
        </w:tc>
        <w:tc>
          <w:tcPr>
            <w:tcW w:w="13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June 30, 2026</w:t>
            </w:r>
          </w:p>
        </w:tc>
        <w:tc>
          <w:tcPr>
            <w:tcW w:w="13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June 30, 2025</w:t>
            </w:r>
          </w:p>
        </w:tc>
      </w:tr>
      <w:tr>
        <w:trPr/>
        <w:tc>
          <w:tcPr>
            <w:tcW w:w="3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Marketing derivatives (included in net sales)</w:t>
            </w:r>
          </w:p>
        </w:tc>
        <w:tc>
          <w:tcPr>
            <w:tcW w:w="35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2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908</w:t>
            </w:r>
            <w:r>
              <w:rPr>
                <w:color w:val="00539B"/>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4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97 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910</w:t>
            </w:r>
            <w:r>
              <w:rPr>
                <w:color w:val="00539B"/>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Crude collars (included in net sales)</w:t>
            </w:r>
          </w:p>
        </w:tc>
        <w:tc>
          <w:tcPr>
            <w:tcW w:w="359"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20"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105</w:t>
            </w:r>
            <w:r>
              <w:rPr>
                <w:color w:val="00539B"/>
              </w:rPr>
              <w:t> </w:t>
            </w:r>
          </w:p>
        </w:tc>
        <w:tc>
          <w:tcPr>
            <w:tcW w:w="185"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8"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47"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4"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8"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(234)</w:t>
            </w:r>
          </w:p>
        </w:tc>
        <w:tc>
          <w:tcPr>
            <w:tcW w:w="17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4"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2"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color w:val="00539B"/>
          <w:sz w:val="23"/>
        </w:rPr>
      </w:pPr>
      <w:r>
        <w:rPr>
          <w:rFonts w:ascii="Arial;sans-serif" w:hAnsi="Arial;sans-serif"/>
          <w:b/>
          <w:color w:val="00539B"/>
          <w:sz w:val="23"/>
        </w:rPr>
        <w:t>CREDIT RISK</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majority of the Company's credit risk is related to the physical delivery of energy commodities to its counterparties and their potential inability to meet their settlement commitments. The Company manages credit risk by selecting counterparties that it believes to be financially strong, by entering into netting arrangements with counterparties and by requiring collateral or other credit risk mitigants, as appropriate. The Company actively evaluates the creditworthiness of its counterparties, assigns appropriate credit limits and monitors credit exposures against those assigned limits. The Company also enters into futures contracts through regulated exchanges with select clearinghouses and brokers, which are subject to minimal credit risk, if any.</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left"/>
        <w:rPr/>
      </w:pPr>
      <w:r>
        <w:rPr/>
      </w:r>
    </w:p>
    <w:tbl>
      <w:tblPr>
        <w:tblW w:w="2940" w:type="dxa"/>
        <w:jc w:val="left"/>
        <w:tblInd w:w="0" w:type="dxa"/>
        <w:tblLayout w:type="fixed"/>
        <w:tblCellMar>
          <w:top w:w="28" w:type="dxa"/>
          <w:left w:w="28" w:type="dxa"/>
          <w:bottom w:w="28" w:type="dxa"/>
          <w:right w:w="28" w:type="dxa"/>
        </w:tblCellMar>
      </w:tblPr>
      <w:tblGrid>
        <w:gridCol w:w="940"/>
        <w:gridCol w:w="827"/>
        <w:gridCol w:w="1173"/>
      </w:tblGrid>
      <w:tr>
        <w:trPr/>
        <w:tc>
          <w:tcPr>
            <w:tcW w:w="94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op w:val="single" w:sz="12" w:space="0" w:color="00539B"/>
              <w:bottom w:val="single" w:sz="12" w:space="0" w:color="00539B"/>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539B"/>
                <w:sz w:val="28"/>
              </w:rPr>
            </w:pPr>
            <w:r>
              <w:rPr>
                <w:rFonts w:ascii="Arial Narrow;sans-serif" w:hAnsi="Arial Narrow;sans-serif"/>
                <w:b/>
                <w:color w:val="00539B"/>
                <w:sz w:val="28"/>
              </w:rPr>
              <w:t>NOTE 6 - INCOME TAXES</w:t>
            </w:r>
          </w:p>
        </w:tc>
      </w:tr>
    </w:tbl>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following table summarizes components of income tax expense:</w:t>
      </w:r>
    </w:p>
    <w:p>
      <w:pPr>
        <w:pStyle w:val="TextBody"/>
        <w:bidi w:val="0"/>
        <w:spacing w:before="0" w:after="0"/>
        <w:jc w:val="both"/>
        <w:rPr/>
      </w:pPr>
      <w:r>
        <w:rPr/>
      </w:r>
    </w:p>
    <w:tbl>
      <w:tblPr>
        <w:tblW w:w="8652" w:type="dxa"/>
        <w:jc w:val="left"/>
        <w:tblInd w:w="0" w:type="dxa"/>
        <w:tblLayout w:type="fixed"/>
        <w:tblCellMar>
          <w:top w:w="28" w:type="dxa"/>
          <w:left w:w="28" w:type="dxa"/>
          <w:bottom w:w="28" w:type="dxa"/>
          <w:right w:w="28" w:type="dxa"/>
        </w:tblCellMar>
      </w:tblPr>
      <w:tblGrid>
        <w:gridCol w:w="1160"/>
        <w:gridCol w:w="1017"/>
        <w:gridCol w:w="1032"/>
        <w:gridCol w:w="475"/>
        <w:gridCol w:w="245"/>
        <w:gridCol w:w="645"/>
        <w:gridCol w:w="464"/>
        <w:gridCol w:w="240"/>
        <w:gridCol w:w="630"/>
        <w:gridCol w:w="475"/>
        <w:gridCol w:w="245"/>
        <w:gridCol w:w="645"/>
        <w:gridCol w:w="447"/>
        <w:gridCol w:w="230"/>
        <w:gridCol w:w="702"/>
      </w:tblGrid>
      <w:tr>
        <w:trPr/>
        <w:tc>
          <w:tcPr>
            <w:tcW w:w="1160"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 xml:space="preserve">Three months ended </w:t>
            </w:r>
          </w:p>
        </w:tc>
        <w:tc>
          <w:tcPr>
            <w:tcW w:w="2744"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Six months ended</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13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June 30, 2026</w:t>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June 30, 2025</w:t>
            </w:r>
          </w:p>
        </w:tc>
        <w:tc>
          <w:tcPr>
            <w:tcW w:w="13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June 30, 2026</w:t>
            </w:r>
          </w:p>
        </w:tc>
        <w:tc>
          <w:tcPr>
            <w:tcW w:w="13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90"/>
              <w:jc w:val="right"/>
              <w:rPr>
                <w:rFonts w:ascii="Arial;sans-serif" w:hAnsi="Arial;sans-serif"/>
                <w:b w:val="false"/>
                <w:color w:val="000000"/>
                <w:sz w:val="19"/>
              </w:rPr>
            </w:pPr>
            <w:r>
              <w:rPr>
                <w:rFonts w:ascii="Arial;sans-serif" w:hAnsi="Arial;sans-serif"/>
                <w:b w:val="false"/>
                <w:color w:val="000000"/>
                <w:sz w:val="19"/>
              </w:rPr>
              <w:t>June 30, 2025</w:t>
            </w:r>
          </w:p>
        </w:tc>
      </w:tr>
      <w:tr>
        <w:trPr/>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Income before income taxes</w:t>
            </w:r>
          </w:p>
        </w:tc>
        <w:tc>
          <w:tcPr>
            <w:tcW w:w="4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9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3,915</w:t>
            </w:r>
          </w:p>
        </w:tc>
        <w:tc>
          <w:tcPr>
            <w:tcW w:w="46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7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560</w:t>
            </w:r>
          </w:p>
        </w:tc>
        <w:tc>
          <w:tcPr>
            <w:tcW w:w="4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9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4,305</w:t>
            </w:r>
          </w:p>
        </w:tc>
        <w:tc>
          <w:tcPr>
            <w:tcW w:w="44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1,737</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Current</w:t>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Federal</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19</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29</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(387)</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State and Local</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(5)</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Foreign</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(222)</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(173)</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(338)</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(302)</w:t>
            </w:r>
          </w:p>
        </w:tc>
      </w:tr>
      <w:tr>
        <w:trPr/>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current tax expense</w:t>
            </w:r>
          </w:p>
        </w:tc>
        <w:tc>
          <w:tcPr>
            <w:tcW w:w="4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9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(208)</w:t>
            </w:r>
          </w:p>
        </w:tc>
        <w:tc>
          <w:tcPr>
            <w:tcW w:w="46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7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(234)</w:t>
            </w:r>
          </w:p>
        </w:tc>
        <w:tc>
          <w:tcPr>
            <w:tcW w:w="4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9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(312)</w:t>
            </w:r>
          </w:p>
        </w:tc>
        <w:tc>
          <w:tcPr>
            <w:tcW w:w="44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(706)</w:t>
            </w:r>
          </w:p>
        </w:tc>
      </w:tr>
      <w:tr>
        <w:trPr/>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Deferred</w:t>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Federal</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(650)</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(678)</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178</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State and Local</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(27)</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(30)</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Foreign</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(30)</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(49)</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w:t>
            </w:r>
          </w:p>
        </w:tc>
      </w:tr>
      <w:tr>
        <w:trPr/>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deferred tax benefit (expense)</w:t>
            </w:r>
          </w:p>
        </w:tc>
        <w:tc>
          <w:tcPr>
            <w:tcW w:w="4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9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(707)</w:t>
            </w:r>
          </w:p>
        </w:tc>
        <w:tc>
          <w:tcPr>
            <w:tcW w:w="46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7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w:t>
            </w:r>
          </w:p>
        </w:tc>
        <w:tc>
          <w:tcPr>
            <w:tcW w:w="4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9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(757)</w:t>
            </w:r>
          </w:p>
        </w:tc>
        <w:tc>
          <w:tcPr>
            <w:tcW w:w="44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137</w:t>
            </w:r>
          </w:p>
        </w:tc>
      </w:tr>
      <w:tr>
        <w:trPr/>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income tax expense</w:t>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Federal</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(631)</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(649)</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(209)</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State and Local</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(32)</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(33)</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Foreign</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(252)</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(199)</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(387)</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(346)</w:t>
            </w:r>
          </w:p>
        </w:tc>
      </w:tr>
      <w:tr>
        <w:trPr/>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income tax expense</w:t>
            </w:r>
          </w:p>
        </w:tc>
        <w:tc>
          <w:tcPr>
            <w:tcW w:w="4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9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(915)</w:t>
            </w:r>
          </w:p>
        </w:tc>
        <w:tc>
          <w:tcPr>
            <w:tcW w:w="46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7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(222)</w:t>
            </w:r>
          </w:p>
        </w:tc>
        <w:tc>
          <w:tcPr>
            <w:tcW w:w="4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9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(1,069)</w:t>
            </w:r>
          </w:p>
        </w:tc>
        <w:tc>
          <w:tcPr>
            <w:tcW w:w="44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(569)</w:t>
            </w:r>
          </w:p>
        </w:tc>
      </w:tr>
      <w:tr>
        <w:trPr/>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from continuing operations</w:t>
            </w:r>
          </w:p>
        </w:tc>
        <w:tc>
          <w:tcPr>
            <w:tcW w:w="4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9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3,000</w:t>
            </w:r>
          </w:p>
        </w:tc>
        <w:tc>
          <w:tcPr>
            <w:tcW w:w="46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7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338</w:t>
            </w:r>
          </w:p>
        </w:tc>
        <w:tc>
          <w:tcPr>
            <w:tcW w:w="4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9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3,236</w:t>
            </w:r>
          </w:p>
        </w:tc>
        <w:tc>
          <w:tcPr>
            <w:tcW w:w="44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1,168</w:t>
            </w:r>
          </w:p>
        </w:tc>
      </w:tr>
      <w:tr>
        <w:trPr/>
        <w:tc>
          <w:tcPr>
            <w:tcW w:w="320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Worldwide effective tax rate</w:t>
            </w:r>
          </w:p>
        </w:tc>
        <w:tc>
          <w:tcPr>
            <w:tcW w:w="720"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23</w:t>
            </w:r>
            <w:r>
              <w:rPr>
                <w:color w:val="00539B"/>
              </w:rPr>
              <w:t> </w:t>
            </w:r>
          </w:p>
        </w:tc>
        <w:tc>
          <w:tcPr>
            <w:tcW w:w="64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w:t>
            </w:r>
          </w:p>
        </w:tc>
        <w:tc>
          <w:tcPr>
            <w:tcW w:w="704"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40 </w:t>
            </w:r>
          </w:p>
        </w:tc>
        <w:tc>
          <w:tcPr>
            <w:tcW w:w="63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720"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25</w:t>
            </w:r>
            <w:r>
              <w:rPr>
                <w:color w:val="00539B"/>
              </w:rPr>
              <w:t> </w:t>
            </w:r>
          </w:p>
        </w:tc>
        <w:tc>
          <w:tcPr>
            <w:tcW w:w="64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w:t>
            </w:r>
          </w:p>
        </w:tc>
        <w:tc>
          <w:tcPr>
            <w:tcW w:w="677"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33 </w:t>
            </w:r>
          </w:p>
        </w:tc>
        <w:tc>
          <w:tcPr>
            <w:tcW w:w="70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 xml:space="preserve">The worldwide effective tax rates for the periods presented in the table above were primarily driven by the Company's jurisdictional mix of income from continuing operations. U.S. income is taxed at a U.S. federal statutory rate of 21%, while international income is subject to tax at statutory rates as high as 55%.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left"/>
        <w:rPr/>
      </w:pPr>
      <w:r>
        <w:rPr/>
      </w:r>
    </w:p>
    <w:tbl>
      <w:tblPr>
        <w:tblW w:w="6975" w:type="dxa"/>
        <w:jc w:val="left"/>
        <w:tblInd w:w="0" w:type="dxa"/>
        <w:tblLayout w:type="fixed"/>
        <w:tblCellMar>
          <w:top w:w="28" w:type="dxa"/>
          <w:left w:w="28" w:type="dxa"/>
          <w:bottom w:w="28" w:type="dxa"/>
          <w:right w:w="28" w:type="dxa"/>
        </w:tblCellMar>
      </w:tblPr>
      <w:tblGrid>
        <w:gridCol w:w="2233"/>
        <w:gridCol w:w="1962"/>
        <w:gridCol w:w="2780"/>
      </w:tblGrid>
      <w:tr>
        <w:trPr/>
        <w:tc>
          <w:tcPr>
            <w:tcW w:w="2233"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2780"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top w:val="single" w:sz="12" w:space="0" w:color="00539B"/>
              <w:bottom w:val="single" w:sz="12" w:space="0" w:color="00539B"/>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539B"/>
                <w:sz w:val="28"/>
              </w:rPr>
            </w:pPr>
            <w:r>
              <w:rPr>
                <w:rFonts w:ascii="Arial Narrow;sans-serif" w:hAnsi="Arial Narrow;sans-serif"/>
                <w:b/>
                <w:color w:val="00539B"/>
                <w:sz w:val="28"/>
              </w:rPr>
              <w:t>NOTE 7 - ENVIRONMENTAL LIABILITIES AND EXPENDITURES</w:t>
            </w:r>
          </w:p>
        </w:tc>
      </w:tr>
    </w:tbl>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Company and its subsidiaries and their respective operations are subject to stringent federal, regional, state, provincial, tribal, local and international laws and regulations related to improving or maintaining environmental quality. The laws that require or address environmental remediation, including CERCLA and similar federal, regional, state, provincial, tribal, local and international laws, may apply retroactively and regardless of fault, the legality of the original activities or the current ownership or control of sites. The Company or certain of its subsidiaries participate in or actively monitor a range of remedial activities and government or private proceedings under these laws with respect to alleged past practices at Third-Party, Currently Operated, and Closed or Non-operated Sites, in addition to NPL Sites. Remedial activities may include one or more of the following: investigation involving sampling, modeling, risk assessment or monitoring; clean-up measures including removal, treatment or disposal; or operation and maintenance of remedial systems. The environmental proceedings seek funding or performance of remediation and, in some cases, compensation for alleged property damage, natural resource damages, punitive damages, civil penalties, injunctive relief and government oversight costs.</w:t>
      </w:r>
    </w:p>
    <w:p>
      <w:pPr>
        <w:pStyle w:val="TextBody"/>
        <w:bidi w:val="0"/>
        <w:spacing w:lineRule="auto" w:line="288" w:before="0" w:after="0"/>
        <w:ind w:left="0" w:right="0" w:firstLine="270"/>
        <w:jc w:val="both"/>
        <w:rPr/>
      </w:pPr>
      <w:r>
        <w:rPr>
          <w:rFonts w:ascii="Arial;sans-serif" w:hAnsi="Arial;sans-serif"/>
          <w:b w:val="false"/>
          <w:color w:val="000000"/>
          <w:sz w:val="19"/>
        </w:rPr>
        <w:t xml:space="preserve">As discussed in </w:t>
      </w:r>
      <w:hyperlink w:anchor="i3d54dccfbfc2441b99c01f1c1099ad60_49">
        <w:r>
          <w:rPr>
            <w:rStyle w:val="InternetLink"/>
            <w:rFonts w:ascii="Arial;sans-serif" w:hAnsi="Arial;sans-serif"/>
            <w:b w:val="false"/>
            <w:color w:val="000000"/>
            <w:sz w:val="19"/>
            <w:u w:val="single"/>
          </w:rPr>
          <w:t>Note 1 - General</w:t>
        </w:r>
      </w:hyperlink>
      <w:r>
        <w:rPr>
          <w:rFonts w:ascii="Arial;sans-serif" w:hAnsi="Arial;sans-serif"/>
          <w:b w:val="false"/>
          <w:color w:val="000000"/>
          <w:sz w:val="19"/>
        </w:rPr>
        <w:t>, certain Occidental subsidiaries, including Environmental Resource Holdings, LLC (ERH), remain responsible for environmental remediation at legacy sites and the indemnification of legacy environmental liabilities and pre-closing liabilities of OxyChem, which were not classified as held for sale. Expenses related to the oil and gas and midstream businesses are reported as continuing operations for all periods presented. Expenses related to OxyChem and the retained liabilities and indemnification obligations associated with the chemical business are reported as discontinued operations for all periods presented, reflecting the OxyChem Transaction.</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539B"/>
          <w:sz w:val="23"/>
        </w:rPr>
      </w:pPr>
      <w:r>
        <w:rPr>
          <w:rFonts w:ascii="Arial;sans-serif" w:hAnsi="Arial;sans-serif"/>
          <w:b/>
          <w:color w:val="00539B"/>
          <w:sz w:val="23"/>
        </w:rPr>
        <w:t>ENVIRONMENTAL REMEDIATION</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As of June 30, 2026, the Company participated in or monitored remedial activities or proceedings at 149 sites. The following table presents the current and non-current environmental remediation liabilities of the Company: </w:t>
      </w:r>
    </w:p>
    <w:tbl>
      <w:tblPr>
        <w:tblW w:w="10205" w:type="dxa"/>
        <w:jc w:val="left"/>
        <w:tblInd w:w="0" w:type="dxa"/>
        <w:tblLayout w:type="fixed"/>
        <w:tblCellMar>
          <w:top w:w="28" w:type="dxa"/>
          <w:left w:w="28" w:type="dxa"/>
          <w:bottom w:w="28" w:type="dxa"/>
          <w:right w:w="28" w:type="dxa"/>
        </w:tblCellMar>
      </w:tblPr>
      <w:tblGrid>
        <w:gridCol w:w="843"/>
        <w:gridCol w:w="665"/>
        <w:gridCol w:w="601"/>
        <w:gridCol w:w="425"/>
        <w:gridCol w:w="972"/>
        <w:gridCol w:w="221"/>
        <w:gridCol w:w="291"/>
        <w:gridCol w:w="893"/>
        <w:gridCol w:w="152"/>
        <w:gridCol w:w="211"/>
        <w:gridCol w:w="646"/>
        <w:gridCol w:w="109"/>
        <w:gridCol w:w="389"/>
        <w:gridCol w:w="890"/>
        <w:gridCol w:w="203"/>
        <w:gridCol w:w="364"/>
        <w:gridCol w:w="1121"/>
        <w:gridCol w:w="190"/>
        <w:gridCol w:w="211"/>
        <w:gridCol w:w="646"/>
        <w:gridCol w:w="162"/>
      </w:tblGrid>
      <w:tr>
        <w:trPr/>
        <w:tc>
          <w:tcPr>
            <w:tcW w:w="84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392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539B"/>
              </w:rPr>
            </w:pPr>
            <w:r>
              <w:rPr>
                <w:color w:val="00539B"/>
              </w:rPr>
              <w:t> </w:t>
            </w:r>
            <w:r>
              <w:rPr>
                <w:rFonts w:ascii="Arial;sans-serif" w:hAnsi="Arial;sans-serif"/>
                <w:b/>
                <w:color w:val="00539B"/>
                <w:sz w:val="19"/>
              </w:rPr>
              <w:t>as of June 30, 2026</w:t>
            </w:r>
          </w:p>
        </w:tc>
        <w:tc>
          <w:tcPr>
            <w:tcW w:w="417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as of December 31, 2025</w:t>
            </w:r>
          </w:p>
        </w:tc>
      </w:tr>
      <w:tr>
        <w:trPr/>
        <w:tc>
          <w:tcPr>
            <w:tcW w:w="2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Continuing Operations</w:t>
            </w:r>
          </w:p>
        </w:tc>
        <w:tc>
          <w:tcPr>
            <w:tcW w:w="13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Discontinued</w:t>
              <w:br/>
              <w:t>Operations</w:t>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Total</w:t>
            </w:r>
          </w:p>
        </w:tc>
        <w:tc>
          <w:tcPr>
            <w:tcW w:w="14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Continuing Operations</w:t>
            </w:r>
          </w:p>
        </w:tc>
        <w:tc>
          <w:tcPr>
            <w:tcW w:w="16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Discontinued Operations</w:t>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Total</w:t>
            </w:r>
          </w:p>
        </w:tc>
      </w:tr>
      <w:tr>
        <w:trPr/>
        <w:tc>
          <w:tcPr>
            <w:tcW w:w="2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Current Portion:</w:t>
            </w:r>
          </w:p>
        </w:tc>
        <w:tc>
          <w:tcPr>
            <w:tcW w:w="1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Accrued liabilities</w:t>
            </w:r>
          </w:p>
        </w:tc>
        <w:tc>
          <w:tcPr>
            <w:tcW w:w="4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7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55</w:t>
            </w:r>
            <w:r>
              <w:rPr>
                <w:color w:val="00539B"/>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9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96</w:t>
            </w:r>
            <w:r>
              <w:rPr>
                <w:color w:val="00539B"/>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151</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96 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151 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Non-Current Portion:</w:t>
            </w:r>
          </w:p>
        </w:tc>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deferred credits and liabilities</w:t>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135</w:t>
            </w:r>
            <w:r>
              <w:rPr>
                <w:color w:val="00539B"/>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1,567</w:t>
            </w:r>
            <w:r>
              <w:rPr>
                <w:color w:val="00539B"/>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1,702</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141 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1,578 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1,719 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current and non-current</w:t>
            </w:r>
          </w:p>
        </w:tc>
        <w:tc>
          <w:tcPr>
            <w:tcW w:w="42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7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190</w:t>
            </w:r>
            <w:r>
              <w:rPr>
                <w:color w:val="00539B"/>
              </w:rPr>
              <w:t> </w:t>
            </w:r>
          </w:p>
        </w:tc>
        <w:tc>
          <w:tcPr>
            <w:tcW w:w="22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9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1,663</w:t>
            </w:r>
            <w:r>
              <w:rPr>
                <w:color w:val="00539B"/>
              </w:rPr>
              <w:t> </w:t>
            </w:r>
          </w:p>
        </w:tc>
        <w:tc>
          <w:tcPr>
            <w:tcW w:w="15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64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1,853</w:t>
            </w:r>
            <w:r>
              <w:rPr>
                <w:color w:val="00539B"/>
              </w:rPr>
              <w:t> </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196 </w:t>
            </w:r>
          </w:p>
        </w:tc>
        <w:tc>
          <w:tcPr>
            <w:tcW w:w="20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2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1,674 </w:t>
            </w:r>
          </w:p>
        </w:tc>
        <w:tc>
          <w:tcPr>
            <w:tcW w:w="19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1,870 </w:t>
            </w:r>
          </w:p>
        </w:tc>
        <w:tc>
          <w:tcPr>
            <w:tcW w:w="16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09"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2109"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2109"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5142" w:type="dxa"/>
            <w:gridSpan w:val="12"/>
            <w:tcBorders/>
          </w:tcPr>
          <w:p>
            <w:pPr>
              <w:pStyle w:val="TableContents"/>
              <w:bidi w:val="0"/>
              <w:spacing w:before="0" w:after="283"/>
              <w:jc w:val="left"/>
              <w:rPr>
                <w:sz w:val="4"/>
                <w:szCs w:val="4"/>
              </w:rPr>
            </w:pPr>
            <w:r>
              <w:rPr>
                <w:sz w:val="4"/>
                <w:szCs w:val="4"/>
              </w:rPr>
            </w:r>
          </w:p>
        </w:tc>
      </w:tr>
      <w:tr>
        <w:trPr/>
        <w:tc>
          <w:tcPr>
            <w:tcW w:w="2109"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5142" w:type="dxa"/>
            <w:gridSpan w:val="12"/>
            <w:tcBorders/>
          </w:tcPr>
          <w:p>
            <w:pPr>
              <w:pStyle w:val="TableContents"/>
              <w:bidi w:val="0"/>
              <w:spacing w:before="0" w:after="283"/>
              <w:jc w:val="left"/>
              <w:rPr>
                <w:sz w:val="4"/>
                <w:szCs w:val="4"/>
              </w:rPr>
            </w:pPr>
            <w:r>
              <w:rPr>
                <w:sz w:val="4"/>
                <w:szCs w:val="4"/>
              </w:rPr>
            </w:r>
          </w:p>
        </w:tc>
      </w:tr>
      <w:tr>
        <w:trPr/>
        <w:tc>
          <w:tcPr>
            <w:tcW w:w="2109"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2109"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estimates of environmental remediation liabilities in the table above vary over time depending on factors such as acquisitions or divestitures, identification of additional sites, remedy selection and implementation and changes in applicable laws or regulations, among other factors. Environmental remediation expenses primarily relate to existing conditions from alleged past practices.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Environmental remediation sites are grouped into NPL Sites and the following three categories of non-NPL Sites — Third-Party Sites, Currently Operated Sites and Closed or Non-operated Sites.</w:t>
      </w:r>
    </w:p>
    <w:p>
      <w:pPr>
        <w:pStyle w:val="TextBody"/>
        <w:bidi w:val="0"/>
        <w:spacing w:before="0" w:after="0"/>
        <w:jc w:val="both"/>
        <w:rPr/>
      </w:pPr>
      <w:r>
        <w:rPr/>
      </w:r>
    </w:p>
    <w:tbl>
      <w:tblPr>
        <w:tblW w:w="6612" w:type="dxa"/>
        <w:jc w:val="left"/>
        <w:tblInd w:w="0" w:type="dxa"/>
        <w:tblLayout w:type="fixed"/>
        <w:tblCellMar>
          <w:top w:w="28" w:type="dxa"/>
          <w:left w:w="28" w:type="dxa"/>
          <w:bottom w:w="28" w:type="dxa"/>
          <w:right w:w="28" w:type="dxa"/>
        </w:tblCellMar>
      </w:tblPr>
      <w:tblGrid>
        <w:gridCol w:w="1046"/>
        <w:gridCol w:w="922"/>
        <w:gridCol w:w="926"/>
        <w:gridCol w:w="534"/>
        <w:gridCol w:w="534"/>
        <w:gridCol w:w="536"/>
        <w:gridCol w:w="440"/>
        <w:gridCol w:w="1351"/>
        <w:gridCol w:w="323"/>
      </w:tblGrid>
      <w:tr>
        <w:trPr/>
        <w:tc>
          <w:tcPr>
            <w:tcW w:w="104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June 30, 2026</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 except number of sites</w:t>
            </w:r>
          </w:p>
        </w:tc>
        <w:tc>
          <w:tcPr>
            <w:tcW w:w="16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Number of Sites</w:t>
            </w:r>
          </w:p>
        </w:tc>
        <w:tc>
          <w:tcPr>
            <w:tcW w:w="2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Remediation Balance</w:t>
            </w:r>
          </w:p>
        </w:tc>
      </w:tr>
      <w:tr>
        <w:trPr/>
        <w:tc>
          <w:tcPr>
            <w:tcW w:w="28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NPL Sites</w:t>
            </w:r>
          </w:p>
        </w:tc>
        <w:tc>
          <w:tcPr>
            <w:tcW w:w="106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29</w:t>
            </w:r>
            <w:r>
              <w:rPr>
                <w:color w:val="00539B"/>
              </w:rPr>
              <w:t> </w:t>
            </w:r>
          </w:p>
        </w:tc>
        <w:tc>
          <w:tcPr>
            <w:tcW w:w="5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13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1,367</w:t>
            </w:r>
            <w:r>
              <w:rPr>
                <w:color w:val="00539B"/>
              </w:rPr>
              <w:t> </w:t>
            </w:r>
          </w:p>
        </w:tc>
        <w:tc>
          <w:tcPr>
            <w:tcW w:w="3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Third-Party Sites</w:t>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68</w:t>
            </w:r>
            <w:r>
              <w:rPr>
                <w:color w:val="00539B"/>
              </w:rPr>
              <w:t>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247</w:t>
            </w:r>
            <w:r>
              <w:rPr>
                <w:color w:val="00539B"/>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Currently Operated Sites</w:t>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w:t>
            </w:r>
            <w:r>
              <w:rPr>
                <w:color w:val="00539B"/>
              </w:rPr>
              <w:t>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25</w:t>
            </w:r>
            <w:r>
              <w:rPr>
                <w:color w:val="00539B"/>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Closed or Non-operated Sites</w:t>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49</w:t>
            </w:r>
            <w:r>
              <w:rPr>
                <w:color w:val="00539B"/>
              </w:rPr>
              <w:t>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214</w:t>
            </w:r>
            <w:r>
              <w:rPr>
                <w:color w:val="00539B"/>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1068"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149</w:t>
            </w:r>
            <w:r>
              <w:rPr>
                <w:color w:val="00539B"/>
              </w:rPr>
              <w:t> </w:t>
            </w:r>
          </w:p>
        </w:tc>
        <w:tc>
          <w:tcPr>
            <w:tcW w:w="53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135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1,853</w:t>
            </w:r>
            <w:r>
              <w:rPr>
                <w:color w:val="00539B"/>
              </w:rPr>
              <w:t> </w:t>
            </w:r>
          </w:p>
        </w:tc>
        <w:tc>
          <w:tcPr>
            <w:tcW w:w="32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As of June 30, 2026, environmental remediation liabilities of Occidental subsidiaries exceeded $10 million each at 15 of the 149 sites described above, and 85 of the sites had liabilities less than $1 million each. Based on current estimates, the Company expects its subsidiaries to expend funds corresponding to approximately 30% of the remediation balance over the next three to four years with the remainder over the subsequent 10 or more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Company believes the range of reasonably possible additional losses of its subsidiaries beyond those amounts currently recorded for environmental remediation for the 149 environmental sites in the table above could be up to $1.9 billion. The status of the Company's involvement with the sites and related significant assumptions have not changed materially since December 31, 2025.</w:t>
      </w:r>
    </w:p>
    <w:p>
      <w:pPr>
        <w:pStyle w:val="TextBody"/>
        <w:bidi w:val="0"/>
        <w:spacing w:before="0" w:after="0"/>
        <w:ind w:left="0" w:right="0" w:firstLine="270"/>
        <w:jc w:val="both"/>
        <w:rPr/>
      </w:pPr>
      <w:r>
        <w:rPr/>
      </w:r>
    </w:p>
    <w:p>
      <w:pPr>
        <w:pStyle w:val="TextBody"/>
        <w:bidi w:val="0"/>
        <w:spacing w:lineRule="auto" w:line="288" w:before="0" w:after="0"/>
        <w:jc w:val="both"/>
        <w:rPr>
          <w:rFonts w:ascii="Arial;sans-serif" w:hAnsi="Arial;sans-serif"/>
          <w:b/>
          <w:i/>
          <w:color w:val="00539B"/>
          <w:sz w:val="20"/>
        </w:rPr>
      </w:pPr>
      <w:r>
        <w:rPr>
          <w:rFonts w:ascii="Arial;sans-serif" w:hAnsi="Arial;sans-serif"/>
          <w:b/>
          <w:i/>
          <w:color w:val="00539B"/>
          <w:sz w:val="20"/>
        </w:rPr>
        <w:t>DIAMOND ALKALI SUPERFUND SITE</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EPA has organized the DASS into four OUs for evaluating, selecting and implementing remediation under CERCLA. Current activities in each OU are summarized below, many of which are performed by Glenn Springs Holdings, Inc.</w:t>
      </w:r>
    </w:p>
    <w:p>
      <w:pPr>
        <w:pStyle w:val="TextBody"/>
        <w:bidi w:val="0"/>
        <w:spacing w:lineRule="auto" w:line="288" w:before="0" w:after="0"/>
        <w:ind w:left="0" w:right="0" w:firstLine="270"/>
        <w:jc w:val="both"/>
        <w:rPr/>
      </w:pPr>
      <w:r>
        <w:rPr>
          <w:rFonts w:ascii="Arial;sans-serif" w:hAnsi="Arial;sans-serif"/>
          <w:b/>
          <w:color w:val="000000"/>
          <w:sz w:val="19"/>
        </w:rPr>
        <w:t xml:space="preserve">OU1 – </w:t>
      </w:r>
      <w:r>
        <w:rPr>
          <w:rFonts w:ascii="Arial;sans-serif" w:hAnsi="Arial;sans-serif"/>
          <w:b w:val="false"/>
          <w:color w:val="000000"/>
          <w:sz w:val="19"/>
        </w:rPr>
        <w:t>80 and 120 Lister Avenue in Newark, New Jersey:</w:t>
      </w:r>
      <w:r>
        <w:rPr>
          <w:color w:val="000000"/>
        </w:rPr>
        <w:t xml:space="preserve"> </w:t>
      </w:r>
      <w:r>
        <w:rPr>
          <w:rFonts w:ascii="Arial;sans-serif" w:hAnsi="Arial;sans-serif"/>
          <w:b w:val="false"/>
          <w:color w:val="000000"/>
          <w:sz w:val="19"/>
        </w:rPr>
        <w:t>Glenn Springs Holdings, Inc. currently performs maintenance and monitoring for the interim remedy of OU1 pursuant to a 1990 Consent Decree for which such subsidiary inherited legal responsibility. In January 2025, the EPA issued a ROD for the final remedy of OU1 that provides for optimized containment for which it estimated a cost of</w:t>
      </w:r>
      <w:r>
        <w:rPr>
          <w:color w:val="000000"/>
        </w:rPr>
        <w:t xml:space="preserve"> </w:t>
      </w:r>
      <w:r>
        <w:rPr>
          <w:rFonts w:ascii="Arial;sans-serif" w:hAnsi="Arial;sans-serif"/>
          <w:b w:val="false"/>
          <w:color w:val="000000"/>
          <w:sz w:val="19"/>
        </w:rPr>
        <w:t>$16 million.</w:t>
      </w:r>
    </w:p>
    <w:p>
      <w:pPr>
        <w:pStyle w:val="TextBody"/>
        <w:bidi w:val="0"/>
        <w:spacing w:lineRule="auto" w:line="288" w:before="0" w:after="0"/>
        <w:ind w:left="0" w:right="0" w:firstLine="270"/>
        <w:jc w:val="both"/>
        <w:rPr/>
      </w:pPr>
      <w:r>
        <w:rPr>
          <w:rFonts w:ascii="Arial;sans-serif" w:hAnsi="Arial;sans-serif"/>
          <w:b/>
          <w:color w:val="000000"/>
          <w:sz w:val="19"/>
        </w:rPr>
        <w:t xml:space="preserve">OU2 – </w:t>
      </w:r>
      <w:r>
        <w:rPr>
          <w:rFonts w:ascii="Arial;sans-serif" w:hAnsi="Arial;sans-serif"/>
          <w:b w:val="false"/>
          <w:color w:val="000000"/>
          <w:sz w:val="19"/>
        </w:rPr>
        <w:t>The Lower 8.3 Miles of the Lower Passaic River: In March 2016, the EPA issued a ROD specifying remedial actions required for OU2. During the third quarter of 2016, the EPA and an Occidental subsidiary entered into an AOC to complete the design of the remedy selected in the ROD. In May 2024, the EPA approved the remedial design for OU2. In June 2024, the EPA notified the subsidiary that the work required by the AOC has been fully performed in accordance with its terms. The EPA has estimated the cost to remediate OU2 to be approximately $1.4 billion.</w:t>
      </w:r>
    </w:p>
    <w:p>
      <w:pPr>
        <w:pStyle w:val="TextBody"/>
        <w:bidi w:val="0"/>
        <w:spacing w:lineRule="auto" w:line="288" w:before="0" w:after="0"/>
        <w:ind w:left="0" w:right="0" w:firstLine="270"/>
        <w:jc w:val="both"/>
        <w:rPr/>
      </w:pPr>
      <w:r>
        <w:rPr>
          <w:rFonts w:ascii="Arial;sans-serif" w:hAnsi="Arial;sans-serif"/>
          <w:b/>
          <w:color w:val="000000"/>
          <w:sz w:val="19"/>
        </w:rPr>
        <w:t>OU3 –</w:t>
      </w:r>
      <w:r>
        <w:rPr>
          <w:color w:val="000000"/>
        </w:rPr>
        <w:t xml:space="preserve"> </w:t>
      </w:r>
      <w:r>
        <w:rPr>
          <w:rFonts w:ascii="Arial;sans-serif" w:hAnsi="Arial;sans-serif"/>
          <w:b w:val="false"/>
          <w:color w:val="000000"/>
          <w:sz w:val="19"/>
        </w:rPr>
        <w:t>Newark Bay Study Area, including Newark Bay and portions of the Hackensack River, Arthur Kill, and Kill van Kull: A remedial investigation and feasibility study of OU3 was launched pursuant to a 2004 AOC which was amended in 2010. An Occidental subsidiary is currently performing feasibility study activities in OU3.</w:t>
      </w:r>
    </w:p>
    <w:p>
      <w:pPr>
        <w:pStyle w:val="TextBody"/>
        <w:bidi w:val="0"/>
        <w:spacing w:lineRule="auto" w:line="288" w:before="0" w:after="0"/>
        <w:ind w:left="0" w:right="0" w:firstLine="270"/>
        <w:jc w:val="both"/>
        <w:rPr/>
      </w:pPr>
      <w:r>
        <w:rPr>
          <w:rFonts w:ascii="Arial;sans-serif" w:hAnsi="Arial;sans-serif"/>
          <w:b/>
          <w:color w:val="000000"/>
          <w:sz w:val="19"/>
        </w:rPr>
        <w:t>OU4 –</w:t>
      </w:r>
      <w:r>
        <w:rPr>
          <w:color w:val="000000"/>
        </w:rPr>
        <w:t xml:space="preserve"> </w:t>
      </w:r>
      <w:r>
        <w:rPr>
          <w:rFonts w:ascii="Arial;sans-serif" w:hAnsi="Arial;sans-serif"/>
          <w:b w:val="false"/>
          <w:color w:val="000000"/>
          <w:sz w:val="19"/>
        </w:rPr>
        <w:t>The 17-mile Lower Passaic River Study Area, comprising OU2 and the Upper 9 Miles of the Lower Passaic River: In September 2021, the EPA issued a ROD selecting an interim remedy for the portion of OU4 that excludes OU2 and is located upstream from the Lister Avenue Plant site for which an Occidental subsidiary inherited legal responsibility. In March 2023, the EPA issued a Unilateral Administrative Order in which it directed and ordered such subsidiary to design the EPA's selected interim remedy for OU4. The EPA has estimated the cost to remediate OU4 to be approximately $440 million.</w:t>
      </w:r>
    </w:p>
    <w:p>
      <w:pPr>
        <w:pStyle w:val="TextBody"/>
        <w:bidi w:val="0"/>
        <w:spacing w:lineRule="auto" w:line="288" w:before="0" w:after="0"/>
        <w:ind w:left="0" w:right="0" w:firstLine="270"/>
        <w:jc w:val="both"/>
        <w:rPr/>
      </w:pPr>
      <w:r>
        <w:rPr>
          <w:rFonts w:ascii="Arial;sans-serif" w:hAnsi="Arial;sans-serif"/>
          <w:b/>
          <w:color w:val="000000"/>
          <w:sz w:val="19"/>
        </w:rPr>
        <w:t>Natural Resource Trustees –</w:t>
      </w:r>
      <w:r>
        <w:rPr>
          <w:color w:val="000000"/>
        </w:rPr>
        <w:t xml:space="preserve"> </w:t>
      </w:r>
      <w:r>
        <w:rPr>
          <w:rFonts w:ascii="Arial;sans-serif" w:hAnsi="Arial;sans-serif"/>
          <w:b w:val="false"/>
          <w:color w:val="000000"/>
          <w:sz w:val="19"/>
        </w:rPr>
        <w:t>In addition to the activities described above, federal and state natural resource trustees are assessing natural resources in the Lower Passaic River and Greater Newark Bay to evaluate potential claims for natural resource damages.</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539B"/>
          <w:sz w:val="20"/>
        </w:rPr>
      </w:pPr>
      <w:r>
        <w:rPr>
          <w:rFonts w:ascii="Arial;sans-serif" w:hAnsi="Arial;sans-serif"/>
          <w:b/>
          <w:i/>
          <w:color w:val="00539B"/>
          <w:sz w:val="20"/>
        </w:rPr>
        <w:t>Legal matters related to the DASS (Alden Leeds)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 December 2022, the EPA and the DOJ filed a proposed Consent Decree in the Alden Leeds litigation, seeking court approval to settle with 85 parties for a total of $150 million for cleanup costs associated with OU2 and OU4. In January 2024, the DOJ filed a proposed Amended Consent Decree that excluded three companies from the original settlement, among other changes, and subsequently filed a motion to approve the Amended Consent Decree. In December 2024, the U.S. District Court for the District of New Jersey (District Court) approved the Amended Consent Decree. In its order approving the Amended Consent Decree, the District Court accepted the EPA's revised determination that the Company was responsible for approximately 85% of the cleanup costs for OU2 and OU4. ERH appealed the District Court's ruling on the grounds that the decision was flawed for several reasons, including the failure to consider the impact of recent Supreme Court decisions that restrict EPA authority and limit judicial deference to EPA actions. The Notice of Appeal was filed in February 2025, and all briefs have been filed as of January 2026.</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As a result of the District Court's approval of the Amended Consent Decree, the non-current environmental remediation liability related to OU2 and OU4 was increased by $925 million in the fourth quarter of 2024. This charge was included in asset impairments and other charges in the Company's Consolidated Statements of Operations and represented the additional share of the total estimated remediation costs which may be incurred because of the assignment by the District Court of 85% of the responsibility for OU2 and OU4. These costs have not been discounted as the timing and amount of the payments are not fixed or reliably determinable. It is expected that the cash outlay for remediation costs will be expended over ten to twenty years, or more.</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The Alden Leeds settlement does not address the liability of entities that were excluded from the settlement, including for OU2, OU3, OU4 or natural resource damages, or the liability of any settling party with respect to OU3 or natural resource damages. </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While the remedies for OU2 and OU4 are expected to take ten to twenty years to complete, the EPA may seek to require the Company to perform a substantial majority or all of the remediation work and provide additional financial assurance. It is uncertain when or to what extent the EPA may take action to compel further remediation in OU2 or OU4, or the amount of financial assurance that could be required. </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In June 2018, the Company filed a complaint under CERCLA in the District Court against numerous potentially responsible parties seeking contribution and cost recovery of amounts incurred or to be incurred to comply with the AOC and the OU2 ROD, or to perform other remediation activities related to the DASS (2018 Contribution Action). Because costs are being incurred to implement the OU4 Unilateral Administrative Order, a cost recovery action under CERCLA was brought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in March 2023 in the District Court against multiple parties (2023 Cost Recovery Action). Both the 2018 Contribution Action and the 2023 Cost Recovery Action were stayed pending the outcome of the Alden Leeds litigation. The Company does not know when the Court will lift the stay in those matters. If not reversed on appeal, the approved Amended Consent Decree could bar the Company from pursuing contribution against the settling parties for remediation costs incurred or that may be incurred in the future to design and implement the remedies in OU2 and OU4, including claims asserted in the 2018 Contribution Action.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539B"/>
          <w:sz w:val="20"/>
        </w:rPr>
        <w:t>Other information</w:t>
      </w:r>
      <w:r>
        <w:rPr>
          <w:color w:val="000000"/>
        </w:rPr>
        <w:t xml:space="preserve"> </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For the DASS, a reserve has been accrued relating to the estimated allocable share of the costs to perform the maintenance and monitoring required in the OU1 Consent Decree, as well as the remedial investigation and feasibility study required in OU3 (Newark Bay). Subject to and without waiver of any rights, including appeal, a reserve has also been accrued for design and implementation of remedies selected in the OU2 ROD and AOC, and the OU4 ROD and OU4 Unilateral Administrative Order, based on the December 2024 Order of the District Court approving the Amended Consent Decree described above, which Order is currently being appealed.</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accrued environmental remediation reserve does not account for the possibility of additional remediation costs or natural resource damages for the DASS that are not considered reasonably estimable. The ultimate liability at the DASS may be greater or less than both the reserved amount and any reasonably possible additional losses, and will depend on final design plans, future actions by the EPA and natural resource trustees, as well as the resolution of the allocable share with other potentially responsible parties, among other factors.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estimated costs currently recorded for remediation at the DASS and the range of reasonably possible additional losses beyond the amounts currently recognized are evaluated periodically. Due to the complexity and scope of the remediation efforts, the estimated costs may fluctuate over time as new information becomes available.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875" w:type="dxa"/>
        <w:jc w:val="left"/>
        <w:tblInd w:w="0" w:type="dxa"/>
        <w:tblLayout w:type="fixed"/>
        <w:tblCellMar>
          <w:top w:w="28" w:type="dxa"/>
          <w:left w:w="28" w:type="dxa"/>
          <w:bottom w:w="28" w:type="dxa"/>
          <w:right w:w="28" w:type="dxa"/>
        </w:tblCellMar>
      </w:tblPr>
      <w:tblGrid>
        <w:gridCol w:w="2521"/>
        <w:gridCol w:w="2217"/>
        <w:gridCol w:w="3137"/>
      </w:tblGrid>
      <w:tr>
        <w:trPr/>
        <w:tc>
          <w:tcPr>
            <w:tcW w:w="2521"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3137" w:type="dxa"/>
            <w:tcBorders/>
            <w:vAlign w:val="center"/>
          </w:tcPr>
          <w:p>
            <w:pPr>
              <w:pStyle w:val="TableContents"/>
              <w:bidi w:val="0"/>
              <w:spacing w:before="0" w:after="283"/>
              <w:jc w:val="left"/>
              <w:rPr>
                <w:sz w:val="4"/>
                <w:szCs w:val="4"/>
              </w:rPr>
            </w:pPr>
            <w:r>
              <w:rPr>
                <w:sz w:val="4"/>
                <w:szCs w:val="4"/>
              </w:rPr>
            </w:r>
          </w:p>
        </w:tc>
      </w:tr>
      <w:tr>
        <w:trPr/>
        <w:tc>
          <w:tcPr>
            <w:tcW w:w="7875" w:type="dxa"/>
            <w:gridSpan w:val="3"/>
            <w:tcBorders>
              <w:top w:val="single" w:sz="12" w:space="0" w:color="00539B"/>
              <w:bottom w:val="single" w:sz="12" w:space="0" w:color="00539B"/>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539B"/>
                <w:sz w:val="28"/>
              </w:rPr>
            </w:pPr>
            <w:r>
              <w:rPr>
                <w:rFonts w:ascii="Arial Narrow;sans-serif" w:hAnsi="Arial Narrow;sans-serif"/>
                <w:b/>
                <w:color w:val="00539B"/>
                <w:sz w:val="28"/>
              </w:rPr>
              <w:t xml:space="preserve">NOTE 8 - LAWSUITS, CLAIMS, COMMITMENTS AND CONTINGENCIES </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color w:val="00539B"/>
          <w:sz w:val="23"/>
        </w:rPr>
      </w:pPr>
      <w:r>
        <w:rPr>
          <w:rFonts w:ascii="Arial;sans-serif" w:hAnsi="Arial;sans-serif"/>
          <w:b/>
          <w:color w:val="00539B"/>
          <w:sz w:val="23"/>
        </w:rPr>
        <w:t>LEGAL MATTERS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is involved, in the normal course of business, in lawsuits, claims and other legal proceedings that seek, among other things, compensation for alleged personal injury, breach of contract, property damage or other losses, punitive damages, civil penalties, or injunctive or declaratory relief. The Company also is involved in proceedings under CERCLA and similar federal, regional, state, provincial, tribal, local and international environmental laws. These environmental proceedings seek funding or performance of remediation and, in some cases, compensation for alleged property damage, natural resource damages, punitive damages, civil penalties, injunctive relief and government oversight costs. Usually the Company is among many companies in these environmental proceedings and has to date been successful in sharing remediation costs with other financially sound companies. Further, some lawsuits, claims and legal proceedings involve acquired or divested assets with respect to which a third party or the Company retains liability or indemnifies the other party for conditions that existed prior to the transaction.</w:t>
      </w:r>
    </w:p>
    <w:p>
      <w:pPr>
        <w:pStyle w:val="TextBody"/>
        <w:bidi w:val="0"/>
        <w:spacing w:lineRule="auto" w:line="288" w:before="0" w:after="0"/>
        <w:jc w:val="both"/>
        <w:rPr/>
      </w:pPr>
      <w:r>
        <w:rPr>
          <w:rFonts w:ascii="Arial;sans-serif" w:hAnsi="Arial;sans-serif"/>
          <w:b w:val="false"/>
          <w:color w:val="000000"/>
          <w:sz w:val="19"/>
        </w:rPr>
        <w:t xml:space="preserve">In accordance with applicable accounting guidance, the Company accrues contingency reserves for outstanding lawsuits, claims and proceedings when it is probable that a liability has been incurred and the liability can be reasonably estimated. Contingency reserves for matters, other than for tax matters discussed below and environmental matters discussed in </w:t>
      </w:r>
      <w:hyperlink w:anchor="i3d54dccfbfc2441b99c01f1c1099ad60_73">
        <w:r>
          <w:rPr>
            <w:rStyle w:val="InternetLink"/>
            <w:rFonts w:ascii="Arial;sans-serif" w:hAnsi="Arial;sans-serif"/>
            <w:b w:val="false"/>
            <w:color w:val="000000"/>
            <w:sz w:val="19"/>
            <w:u w:val="single"/>
          </w:rPr>
          <w:t>Note 7 – Environmental Liabilities and Expenditures</w:t>
        </w:r>
      </w:hyperlink>
      <w:r>
        <w:rPr>
          <w:rFonts w:ascii="Arial;sans-serif" w:hAnsi="Arial;sans-serif"/>
          <w:b w:val="false"/>
          <w:color w:val="000000"/>
          <w:sz w:val="19"/>
        </w:rPr>
        <w:t>, that satisfy these criteria as of June 30, 2026 were not material to the Company's Consolidated Condensed Balance Sheets.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If unfavorable outcomes of these matters were to occur, future results of operations or cash flows for any particular quarterly or annual period could be materially adversely affected. The Company's estimates are based on information known about the legal matters and its experience in contesting, litigating and settling similar matters. The Company will reassess the probability and estimability of contingent losses as new information becomes available.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539B"/>
          <w:sz w:val="23"/>
        </w:rPr>
      </w:pPr>
      <w:r>
        <w:rPr>
          <w:rFonts w:ascii="Arial;sans-serif" w:hAnsi="Arial;sans-serif"/>
          <w:b/>
          <w:color w:val="00539B"/>
          <w:sz w:val="23"/>
        </w:rPr>
        <w:t>TAX MATTERS AND DISPUTES</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During the course of its operations, the Company is subject to audit by tax authorities for varying periods in various federal, state, local and international tax jurisdictions. Tax years through 2021 for U.S. federal income tax purposes have been audited by the IRS pursuant to its Compliance Assurance Program and subsequent taxable years are currently under review. Tax years through 2018 have been audited for state income tax purposes. There are no outstanding significant audit matters in international jurisdictions. During the course of tax audits, disputes have arisen and other disputes may arise as to facts and matters of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IRS is currently reviewing the legal entity reorganization transaction as part of the Company's 2022 federal tax audit. Following the acquisition of Anadarko and related divestitures, the Company reorganized its legal entities to better align with the nature of its business activities. This reorganization resulted in the Company making an adjustment to the tax basis in a portion of its operating assets, reducing deferred tax liabilities and recording a $2.7 billion tax benefit in 2022.</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 xml:space="preserve">For Anadarko, its taxable years through 2014 and tax year 2016 for U.S. federal tax purposes have been audited and closed by the IRS. Tax years 2015 and 2017 through 2019 have been audited by the IRS but remain open pending the outcome of the Tronox U.S. Tax Court litigation discussed below. Tax years through 2018 have been audited for state income tax purposes. There are no outstanding significant audit matters in international jurisdictions. As stated above, during the course of tax audits, disputes have arisen and other disputes may arise as to facts and matters of law. </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 xml:space="preserve">Other than the dispute discussed below, the Company believes that the resolution of these outstanding tax disputes would not have a material adverse effect on its consolidated financial position or results of operations. </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Anadarko received an $881 million tentative refund in 2016 related to its $5.2 billion Tronox Adversary Proceeding settlement payment in 2015. In September 2018, Anadarko received a statutory notice of deficiency from the IRS disallowing the net operating loss carryback and rejecting Anadarko's refund claim. Anadarko disagreed and, in November 2018, filed a petition with the U.S. Tax Court to dispute the disallowance. Trial was held in May 2023. The parties filed post-trial briefs throughout 2023 and 2024. Closing arguments were held in May 2024. The Tax Court may issue an opinion at any time. If the Tax Court opines that all or a portion of the original $5.2 billion deduction is not deductible, a computation phase will commence where the parties will compute the tax amount to be included in the Tax Court's decision. Once the parties submit their computation, the Tax Court will formally enter the decision reflecting the computed tax amount. To pursue an appeal of the Tax Court's decision, any tax due as a result of the Tax Court's decision must be fully bonded or paid within 90 days of the decision's entry. If Anadarko does not pursue an appeal, the IRS will assess any resulting tax deficiency, including interest, and issue a notice demanding payment thereof.</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In accordance with ASC 740's guidance on the accounting for uncertain tax positions, the Company has recorded no tax benefit on the tentative cash tax refund of $881 million. Additionally, the Company has recorded no tax benefit on approximately $500 million of additional cash tax benefits realized from the utilization of tax attributes generated as a result of the deduction of the $5.2 billion Tronox Adversary Proceeding settlement payment in 2015. If the payment is ultimately determined not to be deductible, the Company would be required to repay the tentative refund received, plus other cash benefits received related to the $5.2 billion deduction, plus interest, which as of June 30, 2026 totaled approximately $2.4 billion. As a result, should the Company not ultimately prevail on the issue, there would be no additional tax expense recorded relative to this position for financial statement purposes other than future interest. However, in that event, as of June 30, 2026, the Company would be required to repay approximately $1.4 billion in federal and state taxes and accrued interest of $1.0 billion. A liability for the taxes and interest is included in other liabilities.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539B"/>
          <w:sz w:val="23"/>
        </w:rPr>
      </w:pPr>
      <w:r>
        <w:rPr>
          <w:rFonts w:ascii="Arial;sans-serif" w:hAnsi="Arial;sans-serif"/>
          <w:b/>
          <w:color w:val="00539B"/>
          <w:sz w:val="23"/>
        </w:rPr>
        <w:t>INDEMNITIES TO THIRD PARTIES</w:t>
      </w:r>
    </w:p>
    <w:p>
      <w:pPr>
        <w:pStyle w:val="TextBody"/>
        <w:bidi w:val="0"/>
        <w:spacing w:lineRule="auto" w:line="288" w:before="0" w:after="0"/>
        <w:ind w:left="0" w:right="0" w:firstLine="270"/>
        <w:jc w:val="both"/>
        <w:rPr/>
      </w:pPr>
      <w:r>
        <w:rPr>
          <w:rFonts w:ascii="Arial;sans-serif" w:hAnsi="Arial;sans-serif"/>
          <w:b w:val="false"/>
          <w:color w:val="000000"/>
          <w:sz w:val="19"/>
        </w:rPr>
        <w:t xml:space="preserve">The Company has indemnified various parties against specified liabilities those parties might incur in the future in connection with purchases and other transactions that they have entered into with the Company. These indemnities usually are contingent upon the other party incurring liabilities that reach specified thresholds. The Company reserves for indemnity claims when a payment for such claims is probable and estimable. As discussed in </w:t>
      </w:r>
      <w:hyperlink w:anchor="i3d54dccfbfc2441b99c01f1c1099ad60_49">
        <w:r>
          <w:rPr>
            <w:rStyle w:val="InternetLink"/>
            <w:rFonts w:ascii="Arial;sans-serif" w:hAnsi="Arial;sans-serif"/>
            <w:b w:val="false"/>
            <w:color w:val="000000"/>
            <w:sz w:val="19"/>
            <w:u w:val="single"/>
          </w:rPr>
          <w:t>Note 1 - General</w:t>
        </w:r>
      </w:hyperlink>
      <w:r>
        <w:rPr>
          <w:rFonts w:ascii="Arial;sans-serif" w:hAnsi="Arial;sans-serif"/>
          <w:b w:val="false"/>
          <w:color w:val="000000"/>
          <w:sz w:val="19"/>
        </w:rPr>
        <w:t>, Berkshire Hathaway has post-closing indemnification rights in connection with the OxyChem Transaction.</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left"/>
        <w:rPr/>
      </w:pPr>
      <w:r>
        <w:rPr/>
      </w:r>
    </w:p>
    <w:tbl>
      <w:tblPr>
        <w:tblW w:w="5250" w:type="dxa"/>
        <w:jc w:val="left"/>
        <w:tblInd w:w="0" w:type="dxa"/>
        <w:tblLayout w:type="fixed"/>
        <w:tblCellMar>
          <w:top w:w="28" w:type="dxa"/>
          <w:left w:w="28" w:type="dxa"/>
          <w:bottom w:w="28" w:type="dxa"/>
          <w:right w:w="28" w:type="dxa"/>
        </w:tblCellMar>
      </w:tblPr>
      <w:tblGrid>
        <w:gridCol w:w="1679"/>
        <w:gridCol w:w="1476"/>
        <w:gridCol w:w="2095"/>
      </w:tblGrid>
      <w:tr>
        <w:trPr/>
        <w:tc>
          <w:tcPr>
            <w:tcW w:w="167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op w:val="single" w:sz="12" w:space="0" w:color="00539B"/>
              <w:bottom w:val="single" w:sz="12" w:space="0" w:color="00539B"/>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539B"/>
                <w:sz w:val="28"/>
              </w:rPr>
            </w:pPr>
            <w:r>
              <w:rPr>
                <w:rFonts w:ascii="Arial Narrow;sans-serif" w:hAnsi="Arial Narrow;sans-serif"/>
                <w:b/>
                <w:color w:val="00539B"/>
                <w:sz w:val="28"/>
              </w:rPr>
              <w:t>NOTE 9 - EARNINGS PER SHARE AND EQUITY</w:t>
            </w:r>
          </w:p>
        </w:tc>
      </w:tr>
    </w:tbl>
    <w:p>
      <w:pPr>
        <w:pStyle w:val="TextBody"/>
        <w:bidi w:val="0"/>
        <w:spacing w:before="0" w:after="0"/>
        <w:ind w:left="0" w:right="0" w:hanging="360"/>
        <w:jc w:val="both"/>
        <w:rPr/>
      </w:pPr>
      <w:r>
        <w:rPr/>
      </w:r>
    </w:p>
    <w:p>
      <w:pPr>
        <w:pStyle w:val="TextBody"/>
        <w:bidi w:val="0"/>
        <w:spacing w:lineRule="auto" w:line="288" w:before="0" w:after="0"/>
        <w:ind w:left="0" w:right="0" w:firstLine="270"/>
        <w:jc w:val="left"/>
        <w:rPr>
          <w:rFonts w:ascii="Arial;sans-serif" w:hAnsi="Arial;sans-serif"/>
          <w:b w:val="false"/>
          <w:color w:val="000000"/>
          <w:sz w:val="19"/>
        </w:rPr>
      </w:pPr>
      <w:r>
        <w:rPr>
          <w:rFonts w:ascii="Arial;sans-serif" w:hAnsi="Arial;sans-serif"/>
          <w:b w:val="false"/>
          <w:color w:val="000000"/>
          <w:sz w:val="19"/>
        </w:rPr>
        <w:t>The following table presents the calculation of basic and diluted EPS attributable to common stockholders:</w:t>
      </w:r>
    </w:p>
    <w:tbl>
      <w:tblPr>
        <w:tblW w:w="10205" w:type="dxa"/>
        <w:jc w:val="left"/>
        <w:tblInd w:w="0" w:type="dxa"/>
        <w:tblLayout w:type="fixed"/>
        <w:tblCellMar>
          <w:top w:w="28" w:type="dxa"/>
          <w:left w:w="28" w:type="dxa"/>
          <w:bottom w:w="28" w:type="dxa"/>
          <w:right w:w="28" w:type="dxa"/>
        </w:tblCellMar>
      </w:tblPr>
      <w:tblGrid>
        <w:gridCol w:w="1933"/>
        <w:gridCol w:w="1566"/>
        <w:gridCol w:w="1576"/>
        <w:gridCol w:w="280"/>
        <w:gridCol w:w="859"/>
        <w:gridCol w:w="144"/>
        <w:gridCol w:w="315"/>
        <w:gridCol w:w="779"/>
        <w:gridCol w:w="156"/>
        <w:gridCol w:w="280"/>
        <w:gridCol w:w="859"/>
        <w:gridCol w:w="145"/>
        <w:gridCol w:w="272"/>
        <w:gridCol w:w="834"/>
        <w:gridCol w:w="207"/>
      </w:tblGrid>
      <w:tr>
        <w:trPr/>
        <w:tc>
          <w:tcPr>
            <w:tcW w:w="1933"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5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 xml:space="preserve">Three months ended </w:t>
            </w:r>
          </w:p>
        </w:tc>
        <w:tc>
          <w:tcPr>
            <w:tcW w:w="2597"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Six months ended</w:t>
            </w:r>
          </w:p>
        </w:tc>
      </w:tr>
      <w:tr>
        <w:trPr/>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 except per-share amounts</w:t>
            </w:r>
          </w:p>
        </w:tc>
        <w:tc>
          <w:tcPr>
            <w:tcW w:w="12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June 30, 2026</w:t>
            </w:r>
          </w:p>
        </w:tc>
        <w:tc>
          <w:tcPr>
            <w:tcW w:w="12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June 30, 2025</w:t>
            </w:r>
          </w:p>
        </w:tc>
        <w:tc>
          <w:tcPr>
            <w:tcW w:w="12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June 30, 2026</w:t>
            </w:r>
          </w:p>
        </w:tc>
        <w:tc>
          <w:tcPr>
            <w:tcW w:w="13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June 30, 2025</w:t>
            </w:r>
          </w:p>
        </w:tc>
      </w:tr>
      <w:tr>
        <w:trPr/>
        <w:tc>
          <w:tcPr>
            <w:tcW w:w="50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Income from continuing operations </w:t>
            </w:r>
          </w:p>
        </w:tc>
        <w:tc>
          <w:tcPr>
            <w:tcW w:w="2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3,000</w:t>
            </w:r>
            <w:r>
              <w:rPr>
                <w:color w:val="00539B"/>
              </w:rPr>
              <w:t> </w:t>
            </w:r>
          </w:p>
        </w:tc>
        <w:tc>
          <w:tcPr>
            <w:tcW w:w="14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338 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3,236</w:t>
            </w:r>
            <w:r>
              <w:rPr>
                <w:color w:val="00539B"/>
              </w:rPr>
              <w:t>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1,168 </w:t>
            </w:r>
          </w:p>
        </w:tc>
        <w:tc>
          <w:tcPr>
            <w:tcW w:w="20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Discontinued operations, net of taxes</w:t>
            </w:r>
          </w:p>
        </w:tc>
        <w:tc>
          <w:tcPr>
            <w:tcW w:w="11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(4)</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3,119</w:t>
            </w:r>
            <w:r>
              <w:rPr>
                <w:color w:val="00539B"/>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245 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w:t>
            </w:r>
          </w:p>
        </w:tc>
        <w:tc>
          <w:tcPr>
            <w:tcW w:w="2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2,996</w:t>
            </w:r>
            <w:r>
              <w:rPr>
                <w:color w:val="00539B"/>
              </w:rPr>
              <w:t> </w:t>
            </w:r>
          </w:p>
        </w:tc>
        <w:tc>
          <w:tcPr>
            <w:tcW w:w="14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468 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6,355</w:t>
            </w:r>
            <w:r>
              <w:rPr>
                <w:color w:val="00539B"/>
              </w:rPr>
              <w:t>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1,413 </w:t>
            </w:r>
          </w:p>
        </w:tc>
        <w:tc>
          <w:tcPr>
            <w:tcW w:w="207"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Less: Income attributable to noncontrolling interest</w:t>
            </w:r>
          </w:p>
        </w:tc>
        <w:tc>
          <w:tcPr>
            <w:tcW w:w="11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(19)</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20"/>
              </w:rPr>
            </w:pPr>
            <w:r>
              <w:rPr>
                <w:rFonts w:ascii="Arial;sans-serif" w:hAnsi="Arial;sans-serif"/>
                <w:b/>
                <w:color w:val="00539B"/>
                <w:sz w:val="20"/>
              </w:rPr>
              <w:t>(33)</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20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Less: Preferred stock dividends</w:t>
            </w:r>
          </w:p>
        </w:tc>
        <w:tc>
          <w:tcPr>
            <w:tcW w:w="11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(170)</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(170)</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(340)</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(340)</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attributable to common stock</w:t>
            </w:r>
          </w:p>
        </w:tc>
        <w:tc>
          <w:tcPr>
            <w:tcW w:w="2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2,807</w:t>
            </w:r>
            <w:r>
              <w:rPr>
                <w:color w:val="00539B"/>
              </w:rPr>
              <w:t> </w:t>
            </w:r>
          </w:p>
        </w:tc>
        <w:tc>
          <w:tcPr>
            <w:tcW w:w="14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288 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5,982</w:t>
            </w:r>
            <w:r>
              <w:rPr>
                <w:color w:val="00539B"/>
              </w:rPr>
              <w:t>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1,054 </w:t>
            </w:r>
          </w:p>
        </w:tc>
        <w:tc>
          <w:tcPr>
            <w:tcW w:w="207"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Less: Incremental fair value for warrants inducement</w:t>
            </w:r>
          </w:p>
        </w:tc>
        <w:tc>
          <w:tcPr>
            <w:tcW w:w="11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20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Less: Net income allocated to participating securities</w:t>
            </w:r>
          </w:p>
        </w:tc>
        <w:tc>
          <w:tcPr>
            <w:tcW w:w="11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(20)</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(37)</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net of participating securities</w:t>
            </w:r>
          </w:p>
        </w:tc>
        <w:tc>
          <w:tcPr>
            <w:tcW w:w="2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2,787</w:t>
            </w:r>
            <w:r>
              <w:rPr>
                <w:color w:val="00539B"/>
              </w:rPr>
              <w:t> </w:t>
            </w:r>
          </w:p>
        </w:tc>
        <w:tc>
          <w:tcPr>
            <w:tcW w:w="14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261 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5,945</w:t>
            </w:r>
            <w:r>
              <w:rPr>
                <w:color w:val="00539B"/>
              </w:rPr>
              <w:t>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1,022 </w:t>
            </w:r>
          </w:p>
        </w:tc>
        <w:tc>
          <w:tcPr>
            <w:tcW w:w="20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Weighted-average number of basic shares</w:t>
            </w:r>
          </w:p>
        </w:tc>
        <w:tc>
          <w:tcPr>
            <w:tcW w:w="12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997.1</w:t>
            </w:r>
          </w:p>
        </w:tc>
        <w:tc>
          <w:tcPr>
            <w:tcW w:w="12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985.1</w:t>
            </w:r>
          </w:p>
        </w:tc>
        <w:tc>
          <w:tcPr>
            <w:tcW w:w="12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993.7</w:t>
            </w:r>
          </w:p>
        </w:tc>
        <w:tc>
          <w:tcPr>
            <w:tcW w:w="13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963.5</w:t>
            </w:r>
          </w:p>
        </w:tc>
      </w:tr>
      <w:tr>
        <w:trPr/>
        <w:tc>
          <w:tcPr>
            <w:tcW w:w="50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Basic income per common share</w:t>
            </w:r>
          </w:p>
        </w:tc>
        <w:tc>
          <w:tcPr>
            <w:tcW w:w="2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2.80</w:t>
            </w:r>
            <w:r>
              <w:rPr>
                <w:color w:val="00539B"/>
              </w:rPr>
              <w:t> </w:t>
            </w:r>
          </w:p>
        </w:tc>
        <w:tc>
          <w:tcPr>
            <w:tcW w:w="14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0.27 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5.98</w:t>
            </w:r>
            <w:r>
              <w:rPr>
                <w:color w:val="00539B"/>
              </w:rPr>
              <w:t>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1.06 </w:t>
            </w:r>
          </w:p>
        </w:tc>
        <w:tc>
          <w:tcPr>
            <w:tcW w:w="20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attributable to common stock</w:t>
            </w:r>
          </w:p>
        </w:tc>
        <w:tc>
          <w:tcPr>
            <w:tcW w:w="2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2,807</w:t>
            </w:r>
            <w:r>
              <w:rPr>
                <w:color w:val="00539B"/>
              </w:rPr>
              <w:t> </w:t>
            </w:r>
          </w:p>
        </w:tc>
        <w:tc>
          <w:tcPr>
            <w:tcW w:w="14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288 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5,982</w:t>
            </w:r>
            <w:r>
              <w:rPr>
                <w:color w:val="00539B"/>
              </w:rPr>
              <w:t>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1,054 </w:t>
            </w:r>
          </w:p>
        </w:tc>
        <w:tc>
          <w:tcPr>
            <w:tcW w:w="207"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Less: Incremental fair value for warrants inducement</w:t>
            </w:r>
          </w:p>
        </w:tc>
        <w:tc>
          <w:tcPr>
            <w:tcW w:w="11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w:t>
            </w:r>
          </w:p>
        </w:tc>
        <w:tc>
          <w:tcPr>
            <w:tcW w:w="20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Less: Net income allocated to participating securities</w:t>
            </w:r>
          </w:p>
        </w:tc>
        <w:tc>
          <w:tcPr>
            <w:tcW w:w="11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(19)</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(37)</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net of participating securities</w:t>
            </w:r>
          </w:p>
        </w:tc>
        <w:tc>
          <w:tcPr>
            <w:tcW w:w="2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2,788</w:t>
            </w:r>
            <w:r>
              <w:rPr>
                <w:color w:val="00539B"/>
              </w:rPr>
              <w:t> </w:t>
            </w:r>
          </w:p>
        </w:tc>
        <w:tc>
          <w:tcPr>
            <w:tcW w:w="14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261 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5,945</w:t>
            </w:r>
            <w:r>
              <w:rPr>
                <w:color w:val="00539B"/>
              </w:rPr>
              <w:t>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1,022 </w:t>
            </w:r>
          </w:p>
        </w:tc>
        <w:tc>
          <w:tcPr>
            <w:tcW w:w="20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Weighted-average number of basic shares</w:t>
            </w:r>
          </w:p>
        </w:tc>
        <w:tc>
          <w:tcPr>
            <w:tcW w:w="113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997.1</w:t>
            </w:r>
            <w:r>
              <w:rPr>
                <w:color w:val="00539B"/>
              </w:rPr>
              <w:t> </w:t>
            </w:r>
          </w:p>
        </w:tc>
        <w:tc>
          <w:tcPr>
            <w:tcW w:w="14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985.1 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993.7</w:t>
            </w:r>
            <w:r>
              <w:rPr>
                <w:color w:val="00539B"/>
              </w:rPr>
              <w:t>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963.5 </w:t>
            </w:r>
          </w:p>
        </w:tc>
        <w:tc>
          <w:tcPr>
            <w:tcW w:w="20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Dilutive securities</w:t>
            </w:r>
          </w:p>
        </w:tc>
        <w:tc>
          <w:tcPr>
            <w:tcW w:w="113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15.1</w:t>
            </w:r>
            <w:r>
              <w:rPr>
                <w:color w:val="00539B"/>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16.1</w:t>
            </w:r>
            <w:r>
              <w:rPr>
                <w:color w:val="00539B"/>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33.5 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diluted weighted-average common shares</w:t>
            </w:r>
          </w:p>
        </w:tc>
        <w:tc>
          <w:tcPr>
            <w:tcW w:w="113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1,012.2</w:t>
            </w:r>
            <w:r>
              <w:rPr>
                <w:color w:val="00539B"/>
              </w:rPr>
              <w:t> </w:t>
            </w:r>
          </w:p>
        </w:tc>
        <w:tc>
          <w:tcPr>
            <w:tcW w:w="14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1,010.4 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1,009.8</w:t>
            </w:r>
            <w:r>
              <w:rPr>
                <w:color w:val="00539B"/>
              </w:rPr>
              <w:t>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997.0 </w:t>
            </w:r>
          </w:p>
        </w:tc>
        <w:tc>
          <w:tcPr>
            <w:tcW w:w="20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Diluted income per common share</w:t>
            </w:r>
          </w:p>
        </w:tc>
        <w:tc>
          <w:tcPr>
            <w:tcW w:w="2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2.75</w:t>
            </w:r>
            <w:r>
              <w:rPr>
                <w:color w:val="00539B"/>
              </w:rPr>
              <w:t> </w:t>
            </w:r>
          </w:p>
        </w:tc>
        <w:tc>
          <w:tcPr>
            <w:tcW w:w="14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0.26 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5.89</w:t>
            </w:r>
            <w:r>
              <w:rPr>
                <w:color w:val="00539B"/>
              </w:rPr>
              <w:t>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1.03 </w:t>
            </w:r>
          </w:p>
        </w:tc>
        <w:tc>
          <w:tcPr>
            <w:tcW w:w="20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Anti-dilutive securities excluded from diluted shares (millions)</w:t>
            </w:r>
          </w:p>
        </w:tc>
        <w:tc>
          <w:tcPr>
            <w:tcW w:w="1139"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83.9</w:t>
            </w:r>
            <w:r>
              <w:rPr>
                <w:color w:val="00539B"/>
              </w:rPr>
              <w:t> </w:t>
            </w:r>
          </w:p>
        </w:tc>
        <w:tc>
          <w:tcPr>
            <w:tcW w:w="14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84.2 </w:t>
            </w:r>
          </w:p>
        </w:tc>
        <w:tc>
          <w:tcPr>
            <w:tcW w:w="15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83.9</w:t>
            </w:r>
            <w:r>
              <w:rPr>
                <w:color w:val="00539B"/>
              </w:rPr>
              <w:t> </w:t>
            </w:r>
          </w:p>
        </w:tc>
        <w:tc>
          <w:tcPr>
            <w:tcW w:w="14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83.9 </w:t>
            </w:r>
          </w:p>
        </w:tc>
        <w:tc>
          <w:tcPr>
            <w:tcW w:w="20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following table presents Occidental's common share activity, including exercises of warrants, and other transactions in Occidental's common stock in 2026:</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28"/>
        <w:gridCol w:w="551"/>
        <w:gridCol w:w="560"/>
        <w:gridCol w:w="744"/>
        <w:gridCol w:w="659"/>
        <w:gridCol w:w="644"/>
        <w:gridCol w:w="109"/>
        <w:gridCol w:w="510"/>
        <w:gridCol w:w="511"/>
        <w:gridCol w:w="263"/>
        <w:gridCol w:w="870"/>
        <w:gridCol w:w="799"/>
        <w:gridCol w:w="802"/>
        <w:gridCol w:w="817"/>
        <w:gridCol w:w="722"/>
        <w:gridCol w:w="1016"/>
      </w:tblGrid>
      <w:tr>
        <w:trPr/>
        <w:tc>
          <w:tcPr>
            <w:tcW w:w="62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Period</w:t>
            </w:r>
          </w:p>
        </w:tc>
        <w:tc>
          <w:tcPr>
            <w:tcW w:w="20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0000"/>
                <w:sz w:val="19"/>
              </w:rPr>
              <w:t xml:space="preserve">Exercise of Warrants </w:t>
            </w:r>
            <w:r>
              <w:rPr>
                <w:rFonts w:ascii="Arial;sans-serif" w:hAnsi="Arial;sans-serif"/>
                <w:b/>
                <w:color w:val="000000"/>
                <w:sz w:val="12"/>
              </w:rPr>
              <w:t>(a)</w:t>
            </w:r>
          </w:p>
        </w:tc>
        <w:tc>
          <w:tcPr>
            <w:tcW w:w="109" w:type="dxa"/>
            <w:tcBorders/>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0000"/>
                <w:sz w:val="19"/>
              </w:rPr>
              <w:t xml:space="preserve">Other </w:t>
            </w:r>
            <w:r>
              <w:rPr>
                <w:rFonts w:ascii="Arial;sans-serif" w:hAnsi="Arial;sans-serif"/>
                <w:b/>
                <w:color w:val="000000"/>
                <w:sz w:val="12"/>
              </w:rPr>
              <w:t>(b)</w:t>
            </w:r>
          </w:p>
        </w:tc>
        <w:tc>
          <w:tcPr>
            <w:tcW w:w="24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0000"/>
                <w:sz w:val="19"/>
              </w:rPr>
              <w:t xml:space="preserve">Treasury Stock Purchases </w:t>
            </w:r>
            <w:r>
              <w:rPr>
                <w:rFonts w:ascii="Arial;sans-serif" w:hAnsi="Arial;sans-serif"/>
                <w:b/>
                <w:color w:val="000000"/>
                <w:sz w:val="12"/>
              </w:rPr>
              <w:t>(c)</w:t>
            </w:r>
            <w:r>
              <w:rPr>
                <w:color w:val="000000"/>
              </w:rPr>
              <w:t xml:space="preserve"> </w:t>
            </w:r>
          </w:p>
        </w:tc>
        <w:tc>
          <w:tcPr>
            <w:tcW w:w="25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9"/>
              </w:rPr>
            </w:pPr>
            <w:r>
              <w:rPr>
                <w:rFonts w:ascii="Arial;sans-serif" w:hAnsi="Arial;sans-serif"/>
                <w:b/>
                <w:color w:val="000000"/>
                <w:sz w:val="19"/>
              </w:rPr>
              <w:t>Common Stock Outstanding</w:t>
            </w:r>
          </w:p>
        </w:tc>
      </w:tr>
      <w:tr>
        <w:trPr/>
        <w:tc>
          <w:tcPr>
            <w:tcW w:w="17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December 31, 2025</w:t>
            </w:r>
          </w:p>
        </w:tc>
        <w:tc>
          <w:tcPr>
            <w:tcW w:w="20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986,026,416 </w:t>
            </w:r>
          </w:p>
        </w:tc>
        <w:tc>
          <w:tcPr>
            <w:tcW w:w="10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First Quarter 2026</w:t>
            </w:r>
          </w:p>
        </w:tc>
        <w:tc>
          <w:tcPr>
            <w:tcW w:w="14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3,609,243 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2,939,668 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(1,382,767)</w:t>
            </w:r>
          </w:p>
        </w:tc>
        <w:tc>
          <w:tcPr>
            <w:tcW w:w="8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991,192,560 </w:t>
            </w:r>
          </w:p>
        </w:tc>
        <w:tc>
          <w:tcPr>
            <w:tcW w:w="10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Second Quarter 2026</w:t>
            </w:r>
          </w:p>
        </w:tc>
        <w:tc>
          <w:tcPr>
            <w:tcW w:w="14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8,929,988 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222,559 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(636,556)</w:t>
            </w:r>
          </w:p>
        </w:tc>
        <w:tc>
          <w:tcPr>
            <w:tcW w:w="8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999,708,551 </w:t>
            </w:r>
          </w:p>
        </w:tc>
        <w:tc>
          <w:tcPr>
            <w:tcW w:w="10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1403"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12,539,231 </w:t>
            </w:r>
          </w:p>
        </w:tc>
        <w:tc>
          <w:tcPr>
            <w:tcW w:w="64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3,162,227 </w:t>
            </w:r>
          </w:p>
        </w:tc>
        <w:tc>
          <w:tcPr>
            <w:tcW w:w="26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(2,019,323)</w:t>
            </w:r>
          </w:p>
        </w:tc>
        <w:tc>
          <w:tcPr>
            <w:tcW w:w="80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999,708,551 </w:t>
            </w:r>
          </w:p>
        </w:tc>
        <w:tc>
          <w:tcPr>
            <w:tcW w:w="101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2"/>
        </w:rPr>
        <w:t>(a)    </w:t>
      </w:r>
      <w:r>
        <w:rPr>
          <w:rFonts w:ascii="Arial;sans-serif" w:hAnsi="Arial;sans-serif"/>
          <w:b w:val="false"/>
          <w:color w:val="000000"/>
          <w:sz w:val="18"/>
        </w:rPr>
        <w:t>$276 million of cash was received in the first six months of 2026 from the exercise of Common Stock Warrants.</w:t>
      </w:r>
    </w:p>
    <w:p>
      <w:pPr>
        <w:pStyle w:val="TextBody"/>
        <w:bidi w:val="0"/>
        <w:spacing w:lineRule="auto" w:line="288" w:before="0" w:after="0"/>
        <w:ind w:left="0" w:right="0" w:hanging="360"/>
        <w:jc w:val="both"/>
        <w:rPr/>
      </w:pPr>
      <w:r>
        <w:rPr>
          <w:rFonts w:ascii="Arial;sans-serif" w:hAnsi="Arial;sans-serif"/>
          <w:b w:val="false"/>
          <w:color w:val="000000"/>
          <w:sz w:val="12"/>
        </w:rPr>
        <w:t>(b)    </w:t>
      </w:r>
      <w:r>
        <w:rPr>
          <w:rFonts w:ascii="Arial;sans-serif" w:hAnsi="Arial;sans-serif"/>
          <w:b w:val="false"/>
          <w:color w:val="000000"/>
          <w:sz w:val="18"/>
        </w:rPr>
        <w:t>Includes issuances under the 2015 long-term incentive plan and the OPC savings plan.</w:t>
      </w:r>
    </w:p>
    <w:p>
      <w:pPr>
        <w:pStyle w:val="TextBody"/>
        <w:bidi w:val="0"/>
        <w:spacing w:lineRule="auto" w:line="288" w:before="0" w:after="0"/>
        <w:ind w:left="0" w:right="0" w:hanging="360"/>
        <w:jc w:val="both"/>
        <w:rPr/>
      </w:pPr>
      <w:r>
        <w:rPr>
          <w:rFonts w:ascii="Arial;sans-serif" w:hAnsi="Arial;sans-serif"/>
          <w:b w:val="false"/>
          <w:color w:val="000000"/>
          <w:sz w:val="12"/>
        </w:rPr>
        <w:t>(c)    </w:t>
      </w:r>
      <w:r>
        <w:rPr>
          <w:rFonts w:ascii="Arial;sans-serif" w:hAnsi="Arial;sans-serif"/>
          <w:b w:val="false"/>
          <w:color w:val="000000"/>
          <w:sz w:val="18"/>
        </w:rPr>
        <w:t xml:space="preserve">Includes purchases from the trustee of Occidental's defined contribution savings plan that are not part of publicly announced plans or programs. </w:t>
      </w:r>
    </w:p>
    <w:p>
      <w:pPr>
        <w:pStyle w:val="TextBody"/>
        <w:bidi w:val="0"/>
        <w:spacing w:before="0" w:after="0"/>
        <w:jc w:val="both"/>
        <w:rPr/>
      </w:pPr>
      <w:r>
        <w:rPr/>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As of June 30, 2026, Occidental had 17.9 million Common Stock Warrants with a strike of $22.00 per share and 83.9 million Berkshire Warrants held by Berkshire Hathaway with a strike of $59.59 per share.</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On March 3, 2025, Occidental announced an offer to holders of its Common Stock Warrants to exercise their warrants, each exercisable at $22.00, at a temporarily reduced price of $21.30 per share with an expiration date of March 31, 2025. In April 2025, Occidental issued 41.9 million shares of stock in return for proceeds of approximately $890 million. The incremental fair value associated with the Common Stock Warrants related to the change in exercise price was recognized as an equity issuance cost. The proceeds from the warrant exercise were used to repay near-term debt maturities.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625" w:type="dxa"/>
        <w:jc w:val="left"/>
        <w:tblInd w:w="0" w:type="dxa"/>
        <w:tblLayout w:type="fixed"/>
        <w:tblCellMar>
          <w:top w:w="28" w:type="dxa"/>
          <w:left w:w="28" w:type="dxa"/>
          <w:bottom w:w="28" w:type="dxa"/>
          <w:right w:w="28" w:type="dxa"/>
        </w:tblCellMar>
      </w:tblPr>
      <w:tblGrid>
        <w:gridCol w:w="840"/>
        <w:gridCol w:w="739"/>
        <w:gridCol w:w="1046"/>
      </w:tblGrid>
      <w:tr>
        <w:trPr/>
        <w:tc>
          <w:tcPr>
            <w:tcW w:w="84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12" w:space="0" w:color="00539B"/>
              <w:bottom w:val="single" w:sz="12" w:space="0" w:color="00539B"/>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539B"/>
                <w:sz w:val="28"/>
              </w:rPr>
            </w:pPr>
            <w:r>
              <w:rPr>
                <w:rFonts w:ascii="Arial Narrow;sans-serif" w:hAnsi="Arial Narrow;sans-serif"/>
                <w:b/>
                <w:color w:val="00539B"/>
                <w:sz w:val="28"/>
              </w:rPr>
              <w:t>NOTE 10 - SEGMENTS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conducts its operations through two segments: oil and gas and midstream and marketing. Income taxes, interest income, interest expense, environmental remediation expenses and unallocated corporate expenses are included under corporate and eliminations. Intersegment sales eliminate upon consolidation and are made at prices that approximate market. Identifiable assets are those assets used in the operations of the segments. Corporate assets consist of cash and restricted cash, certain corporate receivables and PP&amp;E.</w:t>
      </w:r>
    </w:p>
    <w:p>
      <w:pPr>
        <w:pStyle w:val="TextBody"/>
        <w:bidi w:val="0"/>
        <w:spacing w:lineRule="auto" w:line="288" w:before="0" w:after="0"/>
        <w:jc w:val="both"/>
        <w:rPr/>
      </w:pPr>
      <w:r>
        <w:rPr>
          <w:rFonts w:ascii="Arial;sans-serif" w:hAnsi="Arial;sans-serif"/>
          <w:b w:val="false"/>
          <w:color w:val="000000"/>
          <w:sz w:val="19"/>
        </w:rPr>
        <w:t xml:space="preserve">As a result of the OxyChem Transaction, the chemical segment results are presented separately as discontinued operations and corporate costs directly attributable to the chemical segment are included under discontinued operations. See </w:t>
      </w:r>
      <w:hyperlink w:anchor="i3d54dccfbfc2441b99c01f1c1099ad60_49">
        <w:r>
          <w:rPr>
            <w:rStyle w:val="InternetLink"/>
            <w:rFonts w:ascii="Arial;sans-serif" w:hAnsi="Arial;sans-serif"/>
            <w:b w:val="false"/>
            <w:color w:val="000000"/>
            <w:sz w:val="19"/>
            <w:u w:val="single"/>
          </w:rPr>
          <w:t>Note 1 - General</w:t>
        </w:r>
      </w:hyperlink>
      <w:r>
        <w:rPr>
          <w:color w:val="000000"/>
        </w:rPr>
        <w:t xml:space="preserve"> </w:t>
      </w:r>
      <w:r>
        <w:rPr>
          <w:rFonts w:ascii="Arial;sans-serif" w:hAnsi="Arial;sans-serif"/>
          <w:b w:val="false"/>
          <w:color w:val="000000"/>
          <w:sz w:val="19"/>
        </w:rPr>
        <w:t>for related disclosure.</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Occidental's President and CEO is ultimately responsible for allocating resources and assessing the performance of each operating segment and is the Chief Operating Decision Maker. The CEO may be assisted in this function by other members of Occidental's executive management including, but not limited to, the Chief Financial Officer. While other executives are responsible for the performance of their individual areas, the CEO is solely responsible for allocating resources across the Company as a whole.</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For both reporting segments, segment income (loss) from continuing operations before income taxes is used to measure performance, as well as allocate resources (including financial or capital resources) for each segment, predominantly in the annual budget and forecasting process. </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table reconciles segment income from continuing operations before taxes to net income attributable to common shares: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893"/>
        <w:gridCol w:w="1617"/>
        <w:gridCol w:w="1635"/>
        <w:gridCol w:w="277"/>
        <w:gridCol w:w="853"/>
        <w:gridCol w:w="143"/>
        <w:gridCol w:w="319"/>
        <w:gridCol w:w="729"/>
        <w:gridCol w:w="164"/>
        <w:gridCol w:w="278"/>
        <w:gridCol w:w="852"/>
        <w:gridCol w:w="143"/>
        <w:gridCol w:w="270"/>
        <w:gridCol w:w="828"/>
        <w:gridCol w:w="204"/>
      </w:tblGrid>
      <w:tr>
        <w:trPr/>
        <w:tc>
          <w:tcPr>
            <w:tcW w:w="1893"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Three months ended</w:t>
            </w:r>
          </w:p>
        </w:tc>
        <w:tc>
          <w:tcPr>
            <w:tcW w:w="257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Six months ended</w:t>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 xml:space="preserve">millions </w:t>
            </w:r>
          </w:p>
        </w:tc>
        <w:tc>
          <w:tcPr>
            <w:tcW w:w="12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June 30, 2026</w:t>
            </w:r>
          </w:p>
        </w:tc>
        <w:tc>
          <w:tcPr>
            <w:tcW w:w="12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June 30, 2025</w:t>
            </w:r>
          </w:p>
        </w:tc>
        <w:tc>
          <w:tcPr>
            <w:tcW w:w="12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June 30, 2026</w:t>
            </w:r>
          </w:p>
        </w:tc>
        <w:tc>
          <w:tcPr>
            <w:tcW w:w="13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9"/>
              </w:rPr>
            </w:pPr>
            <w:r>
              <w:rPr>
                <w:rFonts w:ascii="Arial;sans-serif" w:hAnsi="Arial;sans-serif"/>
                <w:b w:val="false"/>
                <w:color w:val="000000"/>
                <w:sz w:val="19"/>
              </w:rPr>
              <w:t>June 30, 2025</w:t>
            </w:r>
          </w:p>
        </w:tc>
      </w:tr>
      <w:tr>
        <w:trPr/>
        <w:tc>
          <w:tcPr>
            <w:tcW w:w="51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Segment income (losses) from continuing operations before taxes</w:t>
            </w:r>
          </w:p>
        </w:tc>
        <w:tc>
          <w:tcPr>
            <w:tcW w:w="1273"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Oil and gas segment</w:t>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2,849</w:t>
            </w:r>
            <w:r>
              <w:rPr>
                <w:color w:val="00539B"/>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2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934 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3,866</w:t>
            </w:r>
            <w:r>
              <w:rPr>
                <w:color w:val="00539B"/>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2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2,631 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Midstream and marketing segment</w:t>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1,338</w:t>
            </w:r>
            <w:r>
              <w:rPr>
                <w:color w:val="00539B"/>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1,251</w:t>
            </w:r>
            <w:r>
              <w:rPr>
                <w:color w:val="00539B"/>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Corporate and eliminations</w:t>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(164)</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(142)</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(272)</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(280)</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and debt expense, net</w:t>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(108)</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(271)</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(540)</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(581)</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r>
      <w:tr>
        <w:trPr/>
        <w:tc>
          <w:tcPr>
            <w:tcW w:w="5145"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r>
      <w:tr>
        <w:trPr/>
        <w:tc>
          <w:tcPr>
            <w:tcW w:w="5145"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r>
      <w:tr>
        <w:trPr/>
        <w:tc>
          <w:tcPr>
            <w:tcW w:w="5145"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r>
      <w:tr>
        <w:trPr/>
        <w:tc>
          <w:tcPr>
            <w:tcW w:w="5145"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r>
      <w:tr>
        <w:trPr/>
        <w:tc>
          <w:tcPr>
            <w:tcW w:w="5145"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1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Income from continuing operations before income taxes</w:t>
            </w:r>
          </w:p>
        </w:tc>
        <w:tc>
          <w:tcPr>
            <w:tcW w:w="27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3,915</w:t>
            </w:r>
            <w:r>
              <w:rPr>
                <w:color w:val="00539B"/>
              </w:rPr>
              <w:t> </w:t>
            </w:r>
          </w:p>
        </w:tc>
        <w:tc>
          <w:tcPr>
            <w:tcW w:w="1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2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560 </w:t>
            </w:r>
          </w:p>
        </w:tc>
        <w:tc>
          <w:tcPr>
            <w:tcW w:w="16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4,305</w:t>
            </w:r>
            <w:r>
              <w:rPr>
                <w:color w:val="00539B"/>
              </w:rPr>
              <w:t> </w:t>
            </w:r>
          </w:p>
        </w:tc>
        <w:tc>
          <w:tcPr>
            <w:tcW w:w="1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2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1,737 </w:t>
            </w:r>
          </w:p>
        </w:tc>
        <w:tc>
          <w:tcPr>
            <w:tcW w:w="20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Income tax expense</w:t>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(915)</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(222)</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(1,069)</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(569)</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Income from continuing operations</w:t>
            </w:r>
          </w:p>
        </w:tc>
        <w:tc>
          <w:tcPr>
            <w:tcW w:w="27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3,000</w:t>
            </w:r>
            <w:r>
              <w:rPr>
                <w:color w:val="00539B"/>
              </w:rPr>
              <w:t> </w:t>
            </w:r>
          </w:p>
        </w:tc>
        <w:tc>
          <w:tcPr>
            <w:tcW w:w="1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2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338 </w:t>
            </w:r>
          </w:p>
        </w:tc>
        <w:tc>
          <w:tcPr>
            <w:tcW w:w="16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3,236</w:t>
            </w:r>
            <w:r>
              <w:rPr>
                <w:color w:val="00539B"/>
              </w:rPr>
              <w:t> </w:t>
            </w:r>
          </w:p>
        </w:tc>
        <w:tc>
          <w:tcPr>
            <w:tcW w:w="1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2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1,168 </w:t>
            </w:r>
          </w:p>
        </w:tc>
        <w:tc>
          <w:tcPr>
            <w:tcW w:w="20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Discontinued operations, net of tax</w:t>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(4)</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130 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3,119</w:t>
            </w:r>
            <w:r>
              <w:rPr>
                <w:color w:val="00539B"/>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245 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Net income</w:t>
            </w:r>
          </w:p>
        </w:tc>
        <w:tc>
          <w:tcPr>
            <w:tcW w:w="27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2,996</w:t>
            </w:r>
            <w:r>
              <w:rPr>
                <w:color w:val="00539B"/>
              </w:rPr>
              <w:t> </w:t>
            </w:r>
          </w:p>
        </w:tc>
        <w:tc>
          <w:tcPr>
            <w:tcW w:w="1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2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468 </w:t>
            </w:r>
          </w:p>
        </w:tc>
        <w:tc>
          <w:tcPr>
            <w:tcW w:w="16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6,355</w:t>
            </w:r>
            <w:r>
              <w:rPr>
                <w:color w:val="00539B"/>
              </w:rPr>
              <w:t> </w:t>
            </w:r>
          </w:p>
        </w:tc>
        <w:tc>
          <w:tcPr>
            <w:tcW w:w="1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2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1,413 </w:t>
            </w:r>
          </w:p>
        </w:tc>
        <w:tc>
          <w:tcPr>
            <w:tcW w:w="20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Less: Net income attributable to noncontrolling interest</w:t>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(19)</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(33)</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Less: Preferred stock dividends </w:t>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(170)</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(170)</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(340)</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(340)</w:t>
            </w:r>
          </w:p>
        </w:tc>
        <w:tc>
          <w:tcPr>
            <w:tcW w:w="20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4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Net income attributable to common stockholders</w:t>
            </w:r>
          </w:p>
        </w:tc>
        <w:tc>
          <w:tcPr>
            <w:tcW w:w="27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2,807</w:t>
            </w:r>
            <w:r>
              <w:rPr>
                <w:color w:val="00539B"/>
              </w:rPr>
              <w:t> </w:t>
            </w:r>
          </w:p>
        </w:tc>
        <w:tc>
          <w:tcPr>
            <w:tcW w:w="14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2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288 </w:t>
            </w:r>
          </w:p>
        </w:tc>
        <w:tc>
          <w:tcPr>
            <w:tcW w:w="16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5,982</w:t>
            </w:r>
            <w:r>
              <w:rPr>
                <w:color w:val="00539B"/>
              </w:rPr>
              <w:t> </w:t>
            </w:r>
          </w:p>
        </w:tc>
        <w:tc>
          <w:tcPr>
            <w:tcW w:w="14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2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1,054 </w:t>
            </w:r>
          </w:p>
        </w:tc>
        <w:tc>
          <w:tcPr>
            <w:tcW w:w="20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tables include a summary of significant revenue and expense line items for each segment. Items within "Significant segment expenses" align with the significant segment-level information that is regularly provided to the Chief Operating Decision Maker.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Arial;sans-serif" w:hAnsi="Arial;sans-serif"/>
          <w:b/>
          <w:color w:val="00539B"/>
          <w:sz w:val="23"/>
        </w:rPr>
      </w:pPr>
      <w:r>
        <w:rPr>
          <w:rFonts w:ascii="Arial;sans-serif" w:hAnsi="Arial;sans-serif"/>
          <w:b/>
          <w:color w:val="00539B"/>
          <w:sz w:val="23"/>
        </w:rPr>
        <w:t xml:space="preserve">OIL AND GAS SEGMENT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814"/>
        <w:gridCol w:w="1552"/>
        <w:gridCol w:w="1571"/>
        <w:gridCol w:w="286"/>
        <w:gridCol w:w="877"/>
        <w:gridCol w:w="147"/>
        <w:gridCol w:w="280"/>
        <w:gridCol w:w="859"/>
        <w:gridCol w:w="144"/>
        <w:gridCol w:w="261"/>
        <w:gridCol w:w="929"/>
        <w:gridCol w:w="134"/>
        <w:gridCol w:w="254"/>
        <w:gridCol w:w="905"/>
        <w:gridCol w:w="192"/>
      </w:tblGrid>
      <w:tr>
        <w:trPr/>
        <w:tc>
          <w:tcPr>
            <w:tcW w:w="1814"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9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Three months ended</w:t>
            </w:r>
          </w:p>
        </w:tc>
        <w:tc>
          <w:tcPr>
            <w:tcW w:w="267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Six months ended</w:t>
            </w:r>
          </w:p>
        </w:tc>
      </w:tr>
      <w:tr>
        <w:trPr/>
        <w:tc>
          <w:tcPr>
            <w:tcW w:w="4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 xml:space="preserve">millions </w:t>
            </w:r>
          </w:p>
        </w:tc>
        <w:tc>
          <w:tcPr>
            <w:tcW w:w="13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June 30, 2026</w:t>
            </w:r>
          </w:p>
        </w:tc>
        <w:tc>
          <w:tcPr>
            <w:tcW w:w="12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June 30, 2025</w:t>
            </w:r>
          </w:p>
        </w:tc>
        <w:tc>
          <w:tcPr>
            <w:tcW w:w="13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June 30, 2026</w:t>
            </w:r>
          </w:p>
        </w:tc>
        <w:tc>
          <w:tcPr>
            <w:tcW w:w="13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June 30, 2025</w:t>
            </w:r>
          </w:p>
        </w:tc>
      </w:tr>
      <w:tr>
        <w:trPr/>
        <w:tc>
          <w:tcPr>
            <w:tcW w:w="4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Revenues and other income</w:t>
            </w:r>
          </w:p>
        </w:tc>
        <w:tc>
          <w:tcPr>
            <w:tcW w:w="1310"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Net sales </w:t>
            </w:r>
            <w:r>
              <w:rPr>
                <w:rFonts w:ascii="Arial;sans-serif" w:hAnsi="Arial;sans-serif"/>
                <w:b w:val="false"/>
                <w:color w:val="000000"/>
                <w:sz w:val="12"/>
              </w:rPr>
              <w:t>(a)</w:t>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7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6,882</w:t>
            </w:r>
            <w:r>
              <w:rPr>
                <w:color w:val="00539B"/>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5,009 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2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11,857</w:t>
            </w:r>
            <w:r>
              <w:rPr>
                <w:color w:val="00539B"/>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10,692 </w:t>
            </w:r>
          </w:p>
        </w:tc>
        <w:tc>
          <w:tcPr>
            <w:tcW w:w="19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Losses on sale of assets and other, net</w:t>
            </w:r>
          </w:p>
        </w:tc>
        <w:tc>
          <w:tcPr>
            <w:tcW w:w="11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(13)</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(42)</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4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7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6,869</w:t>
            </w:r>
            <w:r>
              <w:rPr>
                <w:color w:val="00539B"/>
              </w:rPr>
              <w:t> </w:t>
            </w:r>
          </w:p>
        </w:tc>
        <w:tc>
          <w:tcPr>
            <w:tcW w:w="14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5,007 </w:t>
            </w:r>
          </w:p>
        </w:tc>
        <w:tc>
          <w:tcPr>
            <w:tcW w:w="14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2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11,815</w:t>
            </w:r>
            <w:r>
              <w:rPr>
                <w:color w:val="00539B"/>
              </w:rPr>
              <w:t> </w:t>
            </w:r>
          </w:p>
        </w:tc>
        <w:tc>
          <w:tcPr>
            <w:tcW w:w="13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10,684 </w:t>
            </w:r>
          </w:p>
        </w:tc>
        <w:tc>
          <w:tcPr>
            <w:tcW w:w="19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4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Significant segment expenses</w:t>
            </w:r>
          </w:p>
        </w:tc>
        <w:tc>
          <w:tcPr>
            <w:tcW w:w="1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Oil and gas lease operating expense</w:t>
            </w:r>
          </w:p>
        </w:tc>
        <w:tc>
          <w:tcPr>
            <w:tcW w:w="116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1,117</w:t>
            </w:r>
            <w:r>
              <w:rPr>
                <w:color w:val="00539B"/>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1,135 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2,235</w:t>
            </w:r>
            <w:r>
              <w:rPr>
                <w:color w:val="00539B"/>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2,352 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Transportation and gathering expense</w:t>
            </w:r>
          </w:p>
        </w:tc>
        <w:tc>
          <w:tcPr>
            <w:tcW w:w="116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395</w:t>
            </w:r>
            <w:r>
              <w:rPr>
                <w:color w:val="00539B"/>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403 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786</w:t>
            </w:r>
            <w:r>
              <w:rPr>
                <w:color w:val="00539B"/>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810 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493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493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operating and non-operating expense</w:t>
            </w:r>
          </w:p>
        </w:tc>
        <w:tc>
          <w:tcPr>
            <w:tcW w:w="116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272</w:t>
            </w:r>
            <w:r>
              <w:rPr>
                <w:color w:val="00539B"/>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357 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545</w:t>
            </w:r>
            <w:r>
              <w:rPr>
                <w:color w:val="00539B"/>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601 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Taxes other than on income</w:t>
            </w:r>
          </w:p>
        </w:tc>
        <w:tc>
          <w:tcPr>
            <w:tcW w:w="116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338</w:t>
            </w:r>
            <w:r>
              <w:rPr>
                <w:color w:val="00539B"/>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262 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590</w:t>
            </w:r>
            <w:r>
              <w:rPr>
                <w:color w:val="00539B"/>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522 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Depreciation, depletion and amortization</w:t>
            </w:r>
          </w:p>
        </w:tc>
        <w:tc>
          <w:tcPr>
            <w:tcW w:w="116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1,745</w:t>
            </w:r>
            <w:r>
              <w:rPr>
                <w:color w:val="00539B"/>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1,718 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3,435</w:t>
            </w:r>
            <w:r>
              <w:rPr>
                <w:color w:val="00539B"/>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3,420 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493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Other segment expenses </w:t>
            </w:r>
            <w:r>
              <w:rPr>
                <w:rFonts w:ascii="Arial;sans-serif" w:hAnsi="Arial;sans-serif"/>
                <w:b w:val="false"/>
                <w:color w:val="000000"/>
                <w:sz w:val="12"/>
              </w:rPr>
              <w:t>(b)</w:t>
            </w:r>
          </w:p>
        </w:tc>
        <w:tc>
          <w:tcPr>
            <w:tcW w:w="116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135</w:t>
            </w:r>
            <w:r>
              <w:rPr>
                <w:color w:val="00539B"/>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187 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338</w:t>
            </w:r>
            <w:r>
              <w:rPr>
                <w:color w:val="00539B"/>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337 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493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4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7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4,002</w:t>
            </w:r>
            <w:r>
              <w:rPr>
                <w:color w:val="00539B"/>
              </w:rPr>
              <w:t> </w:t>
            </w:r>
          </w:p>
        </w:tc>
        <w:tc>
          <w:tcPr>
            <w:tcW w:w="14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4,062 </w:t>
            </w:r>
          </w:p>
        </w:tc>
        <w:tc>
          <w:tcPr>
            <w:tcW w:w="14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2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7,929</w:t>
            </w:r>
            <w:r>
              <w:rPr>
                <w:color w:val="00539B"/>
              </w:rPr>
              <w:t> </w:t>
            </w:r>
          </w:p>
        </w:tc>
        <w:tc>
          <w:tcPr>
            <w:tcW w:w="13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8,042 </w:t>
            </w:r>
          </w:p>
        </w:tc>
        <w:tc>
          <w:tcPr>
            <w:tcW w:w="19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Segment income before other items</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7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2,867</w:t>
            </w:r>
            <w:r>
              <w:rPr>
                <w:color w:val="00539B"/>
              </w:rPr>
              <w:t> </w:t>
            </w:r>
          </w:p>
        </w:tc>
        <w:tc>
          <w:tcPr>
            <w:tcW w:w="14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945 </w:t>
            </w:r>
          </w:p>
        </w:tc>
        <w:tc>
          <w:tcPr>
            <w:tcW w:w="14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2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3,886</w:t>
            </w:r>
            <w:r>
              <w:rPr>
                <w:color w:val="00539B"/>
              </w:rPr>
              <w:t> </w:t>
            </w:r>
          </w:p>
        </w:tc>
        <w:tc>
          <w:tcPr>
            <w:tcW w:w="13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2,642 </w:t>
            </w:r>
          </w:p>
        </w:tc>
        <w:tc>
          <w:tcPr>
            <w:tcW w:w="19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493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Losses from equity investments and other</w:t>
            </w:r>
          </w:p>
        </w:tc>
        <w:tc>
          <w:tcPr>
            <w:tcW w:w="11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(18)</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(20)</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Segment income from continuing operations before taxes</w:t>
            </w:r>
          </w:p>
        </w:tc>
        <w:tc>
          <w:tcPr>
            <w:tcW w:w="28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7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2,849</w:t>
            </w:r>
            <w:r>
              <w:rPr>
                <w:color w:val="00539B"/>
              </w:rPr>
              <w:t> </w:t>
            </w:r>
          </w:p>
        </w:tc>
        <w:tc>
          <w:tcPr>
            <w:tcW w:w="14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934 </w:t>
            </w:r>
          </w:p>
        </w:tc>
        <w:tc>
          <w:tcPr>
            <w:tcW w:w="14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2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3,866</w:t>
            </w:r>
            <w:r>
              <w:rPr>
                <w:color w:val="00539B"/>
              </w:rPr>
              <w:t> </w:t>
            </w:r>
          </w:p>
        </w:tc>
        <w:tc>
          <w:tcPr>
            <w:tcW w:w="13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2,631 </w:t>
            </w:r>
          </w:p>
        </w:tc>
        <w:tc>
          <w:tcPr>
            <w:tcW w:w="19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3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360"/>
        <w:jc w:val="both"/>
        <w:rPr/>
      </w:pPr>
      <w:r>
        <w:rPr>
          <w:rFonts w:ascii="Arial;sans-serif" w:hAnsi="Arial;sans-serif"/>
          <w:b w:val="false"/>
          <w:color w:val="000000"/>
          <w:sz w:val="12"/>
        </w:rPr>
        <w:t>(a)    </w:t>
      </w:r>
      <w:r>
        <w:rPr>
          <w:rFonts w:ascii="Arial;sans-serif" w:hAnsi="Arial;sans-serif"/>
          <w:b w:val="false"/>
          <w:color w:val="000000"/>
          <w:sz w:val="18"/>
        </w:rPr>
        <w:t>Includes revenue from customers and all other revenues.</w:t>
      </w:r>
    </w:p>
    <w:p>
      <w:pPr>
        <w:pStyle w:val="TextBody"/>
        <w:bidi w:val="0"/>
        <w:spacing w:lineRule="auto" w:line="276" w:before="0" w:after="0"/>
        <w:ind w:left="0" w:right="0" w:hanging="360"/>
        <w:jc w:val="both"/>
        <w:rPr/>
      </w:pPr>
      <w:r>
        <w:rPr>
          <w:rFonts w:ascii="Arial;sans-serif" w:hAnsi="Arial;sans-serif"/>
          <w:b w:val="false"/>
          <w:color w:val="000000"/>
          <w:sz w:val="12"/>
        </w:rPr>
        <w:t>(b)    </w:t>
      </w:r>
      <w:r>
        <w:rPr>
          <w:rFonts w:ascii="Arial;sans-serif" w:hAnsi="Arial;sans-serif"/>
          <w:b w:val="false"/>
          <w:color w:val="000000"/>
          <w:sz w:val="18"/>
        </w:rPr>
        <w:t>Includes general and administrative expense and exploration expense.</w:t>
      </w:r>
    </w:p>
    <w:p>
      <w:pPr>
        <w:pStyle w:val="TextBody"/>
        <w:bidi w:val="0"/>
        <w:spacing w:before="0" w:after="0"/>
        <w:ind w:left="0" w:right="0" w:hanging="90"/>
        <w:jc w:val="both"/>
        <w:rPr/>
      </w:pPr>
      <w:r>
        <w:rPr/>
      </w:r>
    </w:p>
    <w:p>
      <w:pPr>
        <w:pStyle w:val="TextBody"/>
        <w:bidi w:val="0"/>
        <w:spacing w:lineRule="auto" w:line="276" w:before="0" w:after="0"/>
        <w:ind w:left="0" w:right="0" w:hanging="90"/>
        <w:jc w:val="both"/>
        <w:rPr>
          <w:rFonts w:ascii="Arial;sans-serif" w:hAnsi="Arial;sans-serif"/>
          <w:b/>
          <w:color w:val="00539B"/>
          <w:sz w:val="23"/>
        </w:rPr>
      </w:pPr>
      <w:r>
        <w:rPr>
          <w:rFonts w:ascii="Arial;sans-serif" w:hAnsi="Arial;sans-serif"/>
          <w:b/>
          <w:color w:val="00539B"/>
          <w:sz w:val="23"/>
        </w:rPr>
        <w:t xml:space="preserve">MIDSTREAM AND MARKETING SEGMENT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920"/>
        <w:gridCol w:w="1618"/>
        <w:gridCol w:w="1638"/>
        <w:gridCol w:w="277"/>
        <w:gridCol w:w="854"/>
        <w:gridCol w:w="143"/>
        <w:gridCol w:w="319"/>
        <w:gridCol w:w="731"/>
        <w:gridCol w:w="164"/>
        <w:gridCol w:w="278"/>
        <w:gridCol w:w="853"/>
        <w:gridCol w:w="143"/>
        <w:gridCol w:w="296"/>
        <w:gridCol w:w="747"/>
        <w:gridCol w:w="224"/>
      </w:tblGrid>
      <w:tr>
        <w:trPr/>
        <w:tc>
          <w:tcPr>
            <w:tcW w:w="1920"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5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Three months ended</w:t>
            </w:r>
          </w:p>
        </w:tc>
        <w:tc>
          <w:tcPr>
            <w:tcW w:w="2541"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Six months ended</w:t>
            </w:r>
          </w:p>
        </w:tc>
      </w:tr>
      <w:tr>
        <w:trPr/>
        <w:tc>
          <w:tcPr>
            <w:tcW w:w="5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 xml:space="preserve">millions </w:t>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June 30, 2026</w:t>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June 30, 2025</w:t>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June 30, 2026</w:t>
            </w:r>
          </w:p>
        </w:tc>
        <w:tc>
          <w:tcPr>
            <w:tcW w:w="12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June 30, 2025</w:t>
            </w:r>
          </w:p>
        </w:tc>
      </w:tr>
      <w:tr>
        <w:trPr/>
        <w:tc>
          <w:tcPr>
            <w:tcW w:w="5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Revenues and other income</w:t>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Net sales </w:t>
            </w:r>
            <w:r>
              <w:rPr>
                <w:rFonts w:ascii="Arial;sans-serif" w:hAnsi="Arial;sans-serif"/>
                <w:b w:val="false"/>
                <w:color w:val="000000"/>
                <w:sz w:val="12"/>
              </w:rPr>
              <w:t>(a)</w:t>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1,326</w:t>
            </w:r>
            <w:r>
              <w:rPr>
                <w:color w:val="00539B"/>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3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390 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1,723</w:t>
            </w:r>
            <w:r>
              <w:rPr>
                <w:color w:val="00539B"/>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4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563 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Gains on sale of assets and other income, net</w:t>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225</w:t>
            </w:r>
            <w:r>
              <w:rPr>
                <w:color w:val="00539B"/>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76</w:t>
            </w:r>
            <w:r>
              <w:rPr>
                <w:color w:val="00539B"/>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6"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5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27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1,551</w:t>
            </w:r>
            <w:r>
              <w:rPr>
                <w:color w:val="00539B"/>
              </w:rPr>
              <w:t> </w:t>
            </w:r>
          </w:p>
        </w:tc>
        <w:tc>
          <w:tcPr>
            <w:tcW w:w="1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429 </w:t>
            </w:r>
          </w:p>
        </w:tc>
        <w:tc>
          <w:tcPr>
            <w:tcW w:w="16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1,799</w:t>
            </w:r>
            <w:r>
              <w:rPr>
                <w:color w:val="00539B"/>
              </w:rPr>
              <w:t> </w:t>
            </w:r>
          </w:p>
        </w:tc>
        <w:tc>
          <w:tcPr>
            <w:tcW w:w="1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4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629 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6"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5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Significant segment expenses</w:t>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6"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5176"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5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Transportation and gathering expense</w:t>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219</w:t>
            </w:r>
            <w:r>
              <w:rPr>
                <w:color w:val="00539B"/>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197 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403</w:t>
            </w:r>
            <w:r>
              <w:rPr>
                <w:color w:val="00539B"/>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400 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6"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5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operating and non-operating expense</w:t>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54</w:t>
            </w:r>
            <w:r>
              <w:rPr>
                <w:color w:val="00539B"/>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95 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133</w:t>
            </w:r>
            <w:r>
              <w:rPr>
                <w:color w:val="00539B"/>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176 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6"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5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Depreciation, depletion and amortization</w:t>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68</w:t>
            </w:r>
            <w:r>
              <w:rPr>
                <w:color w:val="00539B"/>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139</w:t>
            </w:r>
            <w:r>
              <w:rPr>
                <w:color w:val="00539B"/>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147 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Asset impairments and other charges</w:t>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105</w:t>
            </w:r>
            <w:r>
              <w:rPr>
                <w:color w:val="00539B"/>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Other segment expenses</w:t>
            </w:r>
            <w:r>
              <w:rPr>
                <w:color w:val="000000"/>
              </w:rPr>
              <w:t xml:space="preserve"> </w:t>
            </w:r>
            <w:r>
              <w:rPr>
                <w:rFonts w:ascii="Arial;sans-serif" w:hAnsi="Arial;sans-serif"/>
                <w:b w:val="false"/>
                <w:color w:val="000000"/>
                <w:sz w:val="12"/>
              </w:rPr>
              <w:t>(b)</w:t>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24</w:t>
            </w:r>
            <w:r>
              <w:rPr>
                <w:color w:val="00539B"/>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58</w:t>
            </w:r>
            <w:r>
              <w:rPr>
                <w:color w:val="00539B"/>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6"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5176"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5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27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365</w:t>
            </w:r>
            <w:r>
              <w:rPr>
                <w:color w:val="00539B"/>
              </w:rPr>
              <w:t> </w:t>
            </w:r>
          </w:p>
        </w:tc>
        <w:tc>
          <w:tcPr>
            <w:tcW w:w="1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397 </w:t>
            </w:r>
          </w:p>
        </w:tc>
        <w:tc>
          <w:tcPr>
            <w:tcW w:w="16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838</w:t>
            </w:r>
            <w:r>
              <w:rPr>
                <w:color w:val="00539B"/>
              </w:rPr>
              <w:t> </w:t>
            </w:r>
          </w:p>
        </w:tc>
        <w:tc>
          <w:tcPr>
            <w:tcW w:w="1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4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783 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Segment income (losses) before other items</w:t>
            </w:r>
          </w:p>
        </w:tc>
        <w:tc>
          <w:tcPr>
            <w:tcW w:w="27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1,186</w:t>
            </w:r>
            <w:r>
              <w:rPr>
                <w:color w:val="00539B"/>
              </w:rPr>
              <w:t> </w:t>
            </w:r>
          </w:p>
        </w:tc>
        <w:tc>
          <w:tcPr>
            <w:tcW w:w="1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32 </w:t>
            </w:r>
          </w:p>
        </w:tc>
        <w:tc>
          <w:tcPr>
            <w:tcW w:w="16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961</w:t>
            </w:r>
            <w:r>
              <w:rPr>
                <w:color w:val="00539B"/>
              </w:rPr>
              <w:t> </w:t>
            </w:r>
          </w:p>
        </w:tc>
        <w:tc>
          <w:tcPr>
            <w:tcW w:w="1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4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(154)</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6"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5176"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51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Income from equity investments and other</w:t>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152</w:t>
            </w:r>
            <w:r>
              <w:rPr>
                <w:color w:val="00539B"/>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290</w:t>
            </w:r>
            <w:r>
              <w:rPr>
                <w:color w:val="00539B"/>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121 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Segment income (losses) from continuing operations before taxes</w:t>
            </w:r>
          </w:p>
        </w:tc>
        <w:tc>
          <w:tcPr>
            <w:tcW w:w="27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1,338</w:t>
            </w:r>
            <w:r>
              <w:rPr>
                <w:color w:val="00539B"/>
              </w:rPr>
              <w:t> </w:t>
            </w:r>
          </w:p>
        </w:tc>
        <w:tc>
          <w:tcPr>
            <w:tcW w:w="14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3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39 </w:t>
            </w:r>
          </w:p>
        </w:tc>
        <w:tc>
          <w:tcPr>
            <w:tcW w:w="16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5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1,251</w:t>
            </w:r>
            <w:r>
              <w:rPr>
                <w:color w:val="00539B"/>
              </w:rPr>
              <w:t> </w:t>
            </w:r>
          </w:p>
        </w:tc>
        <w:tc>
          <w:tcPr>
            <w:tcW w:w="14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4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w:t>
            </w:r>
          </w:p>
        </w:tc>
        <w:tc>
          <w:tcPr>
            <w:tcW w:w="22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176"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360"/>
        <w:jc w:val="left"/>
        <w:rPr/>
      </w:pPr>
      <w:r>
        <w:rPr>
          <w:rFonts w:ascii="Arial;sans-serif" w:hAnsi="Arial;sans-serif"/>
          <w:b w:val="false"/>
          <w:color w:val="000000"/>
          <w:sz w:val="12"/>
        </w:rPr>
        <w:t>(a)    </w:t>
      </w:r>
      <w:r>
        <w:rPr>
          <w:rFonts w:ascii="Arial;sans-serif" w:hAnsi="Arial;sans-serif"/>
          <w:b w:val="false"/>
          <w:color w:val="000000"/>
          <w:sz w:val="18"/>
        </w:rPr>
        <w:t>Includes revenue from customers and all other revenues.</w:t>
      </w:r>
    </w:p>
    <w:p>
      <w:pPr>
        <w:pStyle w:val="TextBody"/>
        <w:bidi w:val="0"/>
        <w:spacing w:lineRule="auto" w:line="276" w:before="0" w:after="0"/>
        <w:ind w:left="0" w:right="0" w:hanging="360"/>
        <w:jc w:val="left"/>
        <w:rPr/>
      </w:pPr>
      <w:r>
        <w:rPr>
          <w:rFonts w:ascii="Arial;sans-serif" w:hAnsi="Arial;sans-serif"/>
          <w:b w:val="false"/>
          <w:color w:val="000000"/>
          <w:sz w:val="12"/>
        </w:rPr>
        <w:t>(b)    </w:t>
      </w:r>
      <w:r>
        <w:rPr>
          <w:rFonts w:ascii="Arial;sans-serif" w:hAnsi="Arial;sans-serif"/>
          <w:b w:val="false"/>
          <w:color w:val="000000"/>
          <w:sz w:val="18"/>
        </w:rPr>
        <w:t>Includes taxes other than on income and general and administrative expense.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Arial;sans-serif" w:hAnsi="Arial;sans-serif"/>
          <w:b/>
          <w:color w:val="00539B"/>
          <w:sz w:val="23"/>
        </w:rPr>
      </w:pPr>
      <w:r>
        <w:rPr>
          <w:rFonts w:ascii="Arial;sans-serif" w:hAnsi="Arial;sans-serif"/>
          <w:b/>
          <w:color w:val="00539B"/>
          <w:sz w:val="23"/>
        </w:rPr>
        <w:t>SEGMENT PROPERTY PLANT AND EQUIPMENT AND INVESTMENTS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9"/>
        </w:rPr>
      </w:pPr>
      <w:r>
        <w:rPr>
          <w:rFonts w:ascii="Arial;sans-serif" w:hAnsi="Arial;sans-serif"/>
          <w:b w:val="false"/>
          <w:color w:val="000000"/>
          <w:sz w:val="19"/>
        </w:rPr>
        <w:t>The following table includes segment-level additions to property, plant and equipment:</w:t>
      </w:r>
    </w:p>
    <w:p>
      <w:pPr>
        <w:pStyle w:val="TextBody"/>
        <w:bidi w:val="0"/>
        <w:spacing w:before="0" w:after="0"/>
        <w:jc w:val="both"/>
        <w:rPr/>
      </w:pPr>
      <w:r>
        <w:rPr/>
      </w:r>
    </w:p>
    <w:tbl>
      <w:tblPr>
        <w:tblW w:w="7874" w:type="dxa"/>
        <w:jc w:val="left"/>
        <w:tblInd w:w="0" w:type="dxa"/>
        <w:tblLayout w:type="fixed"/>
        <w:tblCellMar>
          <w:top w:w="28" w:type="dxa"/>
          <w:left w:w="28" w:type="dxa"/>
          <w:bottom w:w="28" w:type="dxa"/>
          <w:right w:w="28" w:type="dxa"/>
        </w:tblCellMar>
      </w:tblPr>
      <w:tblGrid>
        <w:gridCol w:w="880"/>
        <w:gridCol w:w="773"/>
        <w:gridCol w:w="777"/>
        <w:gridCol w:w="298"/>
        <w:gridCol w:w="913"/>
        <w:gridCol w:w="154"/>
        <w:gridCol w:w="291"/>
        <w:gridCol w:w="893"/>
        <w:gridCol w:w="150"/>
        <w:gridCol w:w="298"/>
        <w:gridCol w:w="913"/>
        <w:gridCol w:w="154"/>
        <w:gridCol w:w="288"/>
        <w:gridCol w:w="882"/>
        <w:gridCol w:w="210"/>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Three months ended</w:t>
            </w:r>
          </w:p>
        </w:tc>
        <w:tc>
          <w:tcPr>
            <w:tcW w:w="274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Six months ended</w:t>
            </w:r>
          </w:p>
        </w:tc>
      </w:tr>
      <w:tr>
        <w:trPr/>
        <w:tc>
          <w:tcPr>
            <w:tcW w:w="24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 xml:space="preserve">millions </w:t>
            </w:r>
          </w:p>
        </w:tc>
        <w:tc>
          <w:tcPr>
            <w:tcW w:w="13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June 30, 2026</w:t>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June 30, 2025</w:t>
            </w:r>
          </w:p>
        </w:tc>
        <w:tc>
          <w:tcPr>
            <w:tcW w:w="13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June 30, 2026</w:t>
            </w:r>
          </w:p>
        </w:tc>
        <w:tc>
          <w:tcPr>
            <w:tcW w:w="13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June 30, 2025</w:t>
            </w:r>
          </w:p>
        </w:tc>
      </w:tr>
      <w:tr>
        <w:trPr/>
        <w:tc>
          <w:tcPr>
            <w:tcW w:w="24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Oil and gas</w:t>
            </w:r>
          </w:p>
        </w:tc>
        <w:tc>
          <w:tcPr>
            <w:tcW w:w="29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1,481</w:t>
            </w:r>
            <w:r>
              <w:rPr>
                <w:color w:val="00539B"/>
              </w:rPr>
              <w:t>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1,541 </w:t>
            </w:r>
          </w:p>
        </w:tc>
        <w:tc>
          <w:tcPr>
            <w:tcW w:w="1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2,883</w:t>
            </w:r>
            <w:r>
              <w:rPr>
                <w:color w:val="00539B"/>
              </w:rPr>
              <w:t>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3,109 </w:t>
            </w:r>
          </w:p>
        </w:tc>
        <w:tc>
          <w:tcPr>
            <w:tcW w:w="2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Midstream and marketing</w:t>
            </w:r>
          </w:p>
        </w:tc>
        <w:tc>
          <w:tcPr>
            <w:tcW w:w="12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142</w:t>
            </w:r>
            <w:r>
              <w:rPr>
                <w:color w:val="00539B"/>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188 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334</w:t>
            </w:r>
            <w:r>
              <w:rPr>
                <w:color w:val="00539B"/>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336 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Corporate and eliminations</w:t>
            </w:r>
          </w:p>
        </w:tc>
        <w:tc>
          <w:tcPr>
            <w:tcW w:w="12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19</w:t>
            </w:r>
            <w:r>
              <w:rPr>
                <w:color w:val="00539B"/>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29</w:t>
            </w:r>
            <w:r>
              <w:rPr>
                <w:color w:val="00539B"/>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w:t>
            </w:r>
          </w:p>
        </w:tc>
        <w:tc>
          <w:tcPr>
            <w:tcW w:w="29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20"/>
              </w:rPr>
            </w:pPr>
            <w:r>
              <w:rPr>
                <w:rFonts w:ascii="Arial;sans-serif" w:hAnsi="Arial;sans-serif"/>
                <w:b/>
                <w:color w:val="00539B"/>
                <w:sz w:val="20"/>
              </w:rPr>
              <w:t>$</w:t>
            </w:r>
          </w:p>
        </w:tc>
        <w:tc>
          <w:tcPr>
            <w:tcW w:w="91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20"/>
              </w:rPr>
              <w:t>1,642</w:t>
            </w:r>
            <w:r>
              <w:rPr>
                <w:color w:val="00539B"/>
              </w:rPr>
              <w:t> </w:t>
            </w:r>
          </w:p>
        </w:tc>
        <w:tc>
          <w:tcPr>
            <w:tcW w:w="15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1,751 </w:t>
            </w:r>
          </w:p>
        </w:tc>
        <w:tc>
          <w:tcPr>
            <w:tcW w:w="15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20"/>
              </w:rPr>
            </w:pPr>
            <w:r>
              <w:rPr>
                <w:rFonts w:ascii="Arial;sans-serif" w:hAnsi="Arial;sans-serif"/>
                <w:b/>
                <w:color w:val="00539B"/>
                <w:sz w:val="20"/>
              </w:rPr>
              <w:t>$</w:t>
            </w:r>
          </w:p>
        </w:tc>
        <w:tc>
          <w:tcPr>
            <w:tcW w:w="91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20"/>
              </w:rPr>
              <w:t>3,246</w:t>
            </w:r>
            <w:r>
              <w:rPr>
                <w:color w:val="00539B"/>
              </w:rPr>
              <w:t> </w:t>
            </w:r>
          </w:p>
        </w:tc>
        <w:tc>
          <w:tcPr>
            <w:tcW w:w="15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3,475 </w:t>
            </w:r>
          </w:p>
        </w:tc>
        <w:tc>
          <w:tcPr>
            <w:tcW w:w="21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9"/>
        </w:rPr>
      </w:pPr>
      <w:r>
        <w:rPr>
          <w:rFonts w:ascii="Arial;sans-serif" w:hAnsi="Arial;sans-serif"/>
          <w:b w:val="false"/>
          <w:color w:val="000000"/>
          <w:sz w:val="19"/>
        </w:rPr>
        <w:t>The following table includes segment-level balance sheet information:</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99"/>
        <w:gridCol w:w="772"/>
        <w:gridCol w:w="779"/>
        <w:gridCol w:w="211"/>
        <w:gridCol w:w="841"/>
        <w:gridCol w:w="109"/>
        <w:gridCol w:w="367"/>
        <w:gridCol w:w="1284"/>
        <w:gridCol w:w="189"/>
        <w:gridCol w:w="432"/>
        <w:gridCol w:w="1293"/>
        <w:gridCol w:w="223"/>
        <w:gridCol w:w="336"/>
        <w:gridCol w:w="983"/>
        <w:gridCol w:w="173"/>
        <w:gridCol w:w="211"/>
        <w:gridCol w:w="841"/>
        <w:gridCol w:w="162"/>
      </w:tblGrid>
      <w:tr>
        <w:trPr/>
        <w:tc>
          <w:tcPr>
            <w:tcW w:w="99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millions</w:t>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Oil and gas</w:t>
            </w:r>
          </w:p>
        </w:tc>
        <w:tc>
          <w:tcPr>
            <w:tcW w:w="184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Midstream and marketing</w:t>
            </w:r>
          </w:p>
        </w:tc>
        <w:tc>
          <w:tcPr>
            <w:tcW w:w="19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Corporate and eliminations</w:t>
            </w:r>
          </w:p>
        </w:tc>
        <w:tc>
          <w:tcPr>
            <w:tcW w:w="14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Assets held for sale</w:t>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Total</w:t>
            </w:r>
          </w:p>
        </w:tc>
      </w:tr>
      <w:tr>
        <w:trPr/>
        <w:tc>
          <w:tcPr>
            <w:tcW w:w="555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As of June 30, 2026</w:t>
            </w:r>
          </w:p>
        </w:tc>
        <w:tc>
          <w:tcPr>
            <w:tcW w:w="1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Gross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8"/>
              </w:rPr>
            </w:pPr>
            <w:r>
              <w:rPr>
                <w:rFonts w:ascii="Arial;sans-serif" w:hAnsi="Arial;sans-serif"/>
                <w:b/>
                <w:color w:val="00539B"/>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8"/>
              </w:rPr>
              <w:t>124,245</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8"/>
              </w:rPr>
            </w:pPr>
            <w:r>
              <w:rPr>
                <w:rFonts w:ascii="Arial;sans-serif" w:hAnsi="Arial;sans-serif"/>
                <w:b/>
                <w:color w:val="00539B"/>
                <w:sz w:val="18"/>
              </w:rPr>
              <w:t>$</w:t>
            </w:r>
          </w:p>
        </w:tc>
        <w:tc>
          <w:tcPr>
            <w:tcW w:w="128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8"/>
              </w:rPr>
              <w:t>8,930</w:t>
            </w:r>
            <w:r>
              <w:rPr>
                <w:color w:val="00539B"/>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8"/>
              </w:rPr>
            </w:pPr>
            <w:r>
              <w:rPr>
                <w:rFonts w:ascii="Arial;sans-serif" w:hAnsi="Arial;sans-serif"/>
                <w:b/>
                <w:color w:val="00539B"/>
                <w:sz w:val="18"/>
              </w:rPr>
              <w:t>$</w:t>
            </w:r>
          </w:p>
        </w:tc>
        <w:tc>
          <w:tcPr>
            <w:tcW w:w="129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8"/>
              </w:rPr>
              <w:t>1,234</w:t>
            </w:r>
            <w:r>
              <w:rPr>
                <w:color w:val="00539B"/>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8"/>
              </w:rPr>
            </w:pPr>
            <w:r>
              <w:rPr>
                <w:rFonts w:ascii="Arial;sans-serif" w:hAnsi="Arial;sans-serif"/>
                <w:b/>
                <w:color w:val="00539B"/>
                <w:sz w:val="18"/>
              </w:rPr>
              <w:t>$</w:t>
            </w:r>
          </w:p>
        </w:tc>
        <w:tc>
          <w:tcPr>
            <w:tcW w:w="983" w:type="dxa"/>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8"/>
              </w:rPr>
            </w:pPr>
            <w:r>
              <w:rPr>
                <w:rFonts w:ascii="Arial;sans-serif" w:hAnsi="Arial;sans-serif"/>
                <w:b/>
                <w:color w:val="00539B"/>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8"/>
              </w:rPr>
              <w:t>134,409</w:t>
            </w:r>
            <w:r>
              <w:rPr>
                <w:color w:val="00539B"/>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DD&amp;A</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8"/>
              </w:rPr>
            </w:pPr>
            <w:r>
              <w:rPr>
                <w:rFonts w:ascii="Arial;sans-serif" w:hAnsi="Arial;sans-serif"/>
                <w:b/>
                <w:color w:val="00539B"/>
                <w:sz w:val="18"/>
              </w:rPr>
              <w:t>(68,619)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8"/>
              </w:rPr>
            </w:pPr>
            <w:r>
              <w:rPr>
                <w:rFonts w:ascii="Arial;sans-serif" w:hAnsi="Arial;sans-serif"/>
                <w:b/>
                <w:color w:val="00539B"/>
                <w:sz w:val="18"/>
              </w:rPr>
              <w:t>(2,592)</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8"/>
              </w:rPr>
            </w:pPr>
            <w:r>
              <w:rPr>
                <w:rFonts w:ascii="Arial;sans-serif" w:hAnsi="Arial;sans-serif"/>
                <w:b/>
                <w:color w:val="00539B"/>
                <w:sz w:val="18"/>
              </w:rPr>
              <w:t>(598)</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8"/>
              </w:rPr>
            </w:pPr>
            <w:r>
              <w:rPr>
                <w:rFonts w:ascii="Arial;sans-serif" w:hAnsi="Arial;sans-serif"/>
                <w:b/>
                <w:color w:val="00539B"/>
                <w:sz w:val="18"/>
              </w:rPr>
              <w:t>(71,809)</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8"/>
              </w:rPr>
            </w:pPr>
            <w:r>
              <w:rPr>
                <w:rFonts w:ascii="Arial;sans-serif" w:hAnsi="Arial;sans-serif"/>
                <w:b/>
                <w:color w:val="00539B"/>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8"/>
              </w:rPr>
              <w:t>55,626</w:t>
            </w:r>
            <w:r>
              <w:rPr>
                <w:color w:val="00539B"/>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8"/>
              </w:rPr>
            </w:pPr>
            <w:r>
              <w:rPr>
                <w:rFonts w:ascii="Arial;sans-serif" w:hAnsi="Arial;sans-serif"/>
                <w:b/>
                <w:color w:val="00539B"/>
                <w:sz w:val="18"/>
              </w:rPr>
              <w:t>$</w:t>
            </w:r>
          </w:p>
        </w:tc>
        <w:tc>
          <w:tcPr>
            <w:tcW w:w="128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8"/>
              </w:rPr>
              <w:t>6,338</w:t>
            </w:r>
            <w:r>
              <w:rPr>
                <w:color w:val="00539B"/>
              </w:rPr>
              <w:t> </w:t>
            </w:r>
          </w:p>
        </w:tc>
        <w:tc>
          <w:tcPr>
            <w:tcW w:w="18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8"/>
              </w:rPr>
            </w:pPr>
            <w:r>
              <w:rPr>
                <w:rFonts w:ascii="Arial;sans-serif" w:hAnsi="Arial;sans-serif"/>
                <w:b/>
                <w:color w:val="00539B"/>
                <w:sz w:val="18"/>
              </w:rPr>
              <w:t>$</w:t>
            </w:r>
          </w:p>
        </w:tc>
        <w:tc>
          <w:tcPr>
            <w:tcW w:w="129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8"/>
              </w:rPr>
              <w:t>636</w:t>
            </w:r>
            <w:r>
              <w:rPr>
                <w:color w:val="00539B"/>
              </w:rPr>
              <w:t> </w:t>
            </w:r>
          </w:p>
        </w:tc>
        <w:tc>
          <w:tcPr>
            <w:tcW w:w="2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8"/>
              </w:rPr>
            </w:pPr>
            <w:r>
              <w:rPr>
                <w:rFonts w:ascii="Arial;sans-serif" w:hAnsi="Arial;sans-serif"/>
                <w:b/>
                <w:color w:val="00539B"/>
                <w:sz w:val="18"/>
              </w:rPr>
              <w:t>$</w:t>
            </w:r>
          </w:p>
        </w:tc>
        <w:tc>
          <w:tcPr>
            <w:tcW w:w="98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7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8"/>
              </w:rPr>
            </w:pPr>
            <w:r>
              <w:rPr>
                <w:rFonts w:ascii="Arial;sans-serif" w:hAnsi="Arial;sans-serif"/>
                <w:b/>
                <w:color w:val="00539B"/>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8"/>
              </w:rPr>
              <w:t>62,600</w:t>
            </w:r>
            <w:r>
              <w:rPr>
                <w:color w:val="00539B"/>
              </w:rPr>
              <w:t> </w:t>
            </w:r>
          </w:p>
        </w:tc>
        <w:tc>
          <w:tcPr>
            <w:tcW w:w="16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in unconsolidated entities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8"/>
              </w:rPr>
            </w:pPr>
            <w:r>
              <w:rPr>
                <w:rFonts w:ascii="Arial;sans-serif" w:hAnsi="Arial;sans-serif"/>
                <w:b/>
                <w:color w:val="00539B"/>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8"/>
              </w:rPr>
              <w:t>148</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8"/>
              </w:rPr>
            </w:pPr>
            <w:r>
              <w:rPr>
                <w:rFonts w:ascii="Arial;sans-serif" w:hAnsi="Arial;sans-serif"/>
                <w:b/>
                <w:color w:val="00539B"/>
                <w:sz w:val="18"/>
              </w:rPr>
              <w:t>$</w:t>
            </w:r>
          </w:p>
        </w:tc>
        <w:tc>
          <w:tcPr>
            <w:tcW w:w="128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8"/>
              </w:rPr>
              <w:t>2,421</w:t>
            </w:r>
            <w:r>
              <w:rPr>
                <w:color w:val="00539B"/>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8"/>
              </w:rPr>
            </w:pPr>
            <w:r>
              <w:rPr>
                <w:rFonts w:ascii="Arial;sans-serif" w:hAnsi="Arial;sans-serif"/>
                <w:b/>
                <w:color w:val="00539B"/>
                <w:sz w:val="18"/>
              </w:rPr>
              <w:t>$</w:t>
            </w:r>
          </w:p>
        </w:tc>
        <w:tc>
          <w:tcPr>
            <w:tcW w:w="1293" w:type="dxa"/>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8"/>
              </w:rPr>
            </w:pPr>
            <w:r>
              <w:rPr>
                <w:rFonts w:ascii="Arial;sans-serif" w:hAnsi="Arial;sans-serif"/>
                <w:b/>
                <w:color w:val="00539B"/>
                <w:sz w:val="18"/>
              </w:rPr>
              <w:t>$</w:t>
            </w:r>
          </w:p>
        </w:tc>
        <w:tc>
          <w:tcPr>
            <w:tcW w:w="983" w:type="dxa"/>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8"/>
              </w:rPr>
            </w:pPr>
            <w:r>
              <w:rPr>
                <w:rFonts w:ascii="Arial;sans-serif" w:hAnsi="Arial;sans-serif"/>
                <w:b/>
                <w:color w:val="00539B"/>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8"/>
              </w:rPr>
              <w:t>2,569</w:t>
            </w:r>
            <w:r>
              <w:rPr>
                <w:color w:val="00539B"/>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8"/>
              </w:rPr>
            </w:pPr>
            <w:r>
              <w:rPr>
                <w:rFonts w:ascii="Arial;sans-serif" w:hAnsi="Arial;sans-serif"/>
                <w:b/>
                <w:color w:val="00539B"/>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8"/>
              </w:rPr>
              <w:t>59,531</w:t>
            </w:r>
            <w:r>
              <w:rPr>
                <w:color w:val="00539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8"/>
              </w:rPr>
            </w:pPr>
            <w:r>
              <w:rPr>
                <w:rFonts w:ascii="Arial;sans-serif" w:hAnsi="Arial;sans-serif"/>
                <w:b/>
                <w:color w:val="00539B"/>
                <w:sz w:val="18"/>
              </w:rPr>
              <w:t>$</w:t>
            </w:r>
          </w:p>
        </w:tc>
        <w:tc>
          <w:tcPr>
            <w:tcW w:w="128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8"/>
              </w:rPr>
              <w:t>14,883</w:t>
            </w:r>
            <w:r>
              <w:rPr>
                <w:color w:val="00539B"/>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8"/>
              </w:rPr>
            </w:pPr>
            <w:r>
              <w:rPr>
                <w:rFonts w:ascii="Arial;sans-serif" w:hAnsi="Arial;sans-serif"/>
                <w:b/>
                <w:color w:val="00539B"/>
                <w:sz w:val="18"/>
              </w:rPr>
              <w:t>$</w:t>
            </w:r>
          </w:p>
        </w:tc>
        <w:tc>
          <w:tcPr>
            <w:tcW w:w="129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8"/>
              </w:rPr>
              <w:t>5,944</w:t>
            </w:r>
            <w:r>
              <w:rPr>
                <w:color w:val="00539B"/>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8"/>
              </w:rPr>
            </w:pPr>
            <w:r>
              <w:rPr>
                <w:rFonts w:ascii="Arial;sans-serif" w:hAnsi="Arial;sans-serif"/>
                <w:b/>
                <w:color w:val="00539B"/>
                <w:sz w:val="18"/>
              </w:rPr>
              <w:t>$</w:t>
            </w:r>
          </w:p>
        </w:tc>
        <w:tc>
          <w:tcPr>
            <w:tcW w:w="983" w:type="dxa"/>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8"/>
              </w:rPr>
            </w:pPr>
            <w:r>
              <w:rPr>
                <w:rFonts w:ascii="Arial;sans-serif" w:hAnsi="Arial;sans-serif"/>
                <w:b/>
                <w:color w:val="00539B"/>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8"/>
              </w:rPr>
              <w:t>80,358</w:t>
            </w:r>
            <w:r>
              <w:rPr>
                <w:color w:val="00539B"/>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As of December 31, 2025</w:t>
            </w:r>
          </w:p>
        </w:tc>
        <w:tc>
          <w:tcPr>
            <w:tcW w:w="1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Gross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126,896 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9,638 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1,219 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137,753 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DD&amp;A</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(3,273)</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(74,110)</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56,604 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6,365 </w:t>
            </w:r>
          </w:p>
        </w:tc>
        <w:tc>
          <w:tcPr>
            <w:tcW w:w="18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674 </w:t>
            </w:r>
          </w:p>
        </w:tc>
        <w:tc>
          <w:tcPr>
            <w:tcW w:w="2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63,643 </w:t>
            </w:r>
          </w:p>
        </w:tc>
        <w:tc>
          <w:tcPr>
            <w:tcW w:w="16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in unconsolidated entities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2,346 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2,475 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60,393 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7"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4"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13,901 </w:t>
            </w:r>
          </w:p>
        </w:tc>
        <w:tc>
          <w:tcPr>
            <w:tcW w:w="18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3"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3,372 </w:t>
            </w:r>
          </w:p>
        </w:tc>
        <w:tc>
          <w:tcPr>
            <w:tcW w:w="223"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6,520 </w:t>
            </w:r>
          </w:p>
        </w:tc>
        <w:tc>
          <w:tcPr>
            <w:tcW w:w="173"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84,186 </w:t>
            </w:r>
          </w:p>
        </w:tc>
        <w:tc>
          <w:tcPr>
            <w:tcW w:w="16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539B"/>
          <w:sz w:val="23"/>
        </w:rPr>
      </w:pPr>
      <w:r>
        <w:rPr>
          <w:rFonts w:ascii="Arial;sans-serif" w:hAnsi="Arial;sans-serif"/>
          <w:b/>
          <w:color w:val="00539B"/>
          <w:sz w:val="23"/>
        </w:rPr>
        <w:t>Item 2. Management's Discussion and Analysis of Financial Condition and Results of Operations</w:t>
      </w:r>
    </w:p>
    <w:p>
      <w:pPr>
        <w:pStyle w:val="TextBody"/>
        <w:bidi w:val="0"/>
        <w:spacing w:lineRule="auto" w:line="264" w:before="120" w:after="120"/>
        <w:ind w:left="0" w:right="0" w:firstLine="270"/>
        <w:jc w:val="both"/>
        <w:rPr>
          <w:rFonts w:ascii="Arial;sans-serif" w:hAnsi="Arial;sans-serif"/>
          <w:b w:val="false"/>
          <w:color w:val="000000"/>
          <w:sz w:val="17"/>
        </w:rPr>
      </w:pPr>
      <w:r>
        <w:rPr>
          <w:rFonts w:ascii="Arial;sans-serif" w:hAnsi="Arial;sans-serif"/>
          <w:b w:val="false"/>
          <w:color w:val="000000"/>
          <w:sz w:val="17"/>
        </w:rPr>
        <w:t>The following discussion should be read together with the Consolidated Condensed Financial Statements and the notes to the Consolidated Condensed Financial Statements, which are included in this report in Part I, Item 1; the information set forth in Risk Factors under Part II, Item 1A; the Consolidated Financial Statements and the notes to the Consolidated Financial Statements, which are included in Part II, Item 8 of the 2025 Form 10-K; and the information set forth in Risk Factors under Part I, Item 1A of the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699" w:type="dxa"/>
        <w:jc w:val="left"/>
        <w:tblInd w:w="0" w:type="dxa"/>
        <w:tblLayout w:type="fixed"/>
        <w:tblCellMar>
          <w:top w:w="28" w:type="dxa"/>
          <w:left w:w="28" w:type="dxa"/>
          <w:bottom w:w="28" w:type="dxa"/>
          <w:right w:w="28" w:type="dxa"/>
        </w:tblCellMar>
      </w:tblPr>
      <w:tblGrid>
        <w:gridCol w:w="2785"/>
        <w:gridCol w:w="2449"/>
        <w:gridCol w:w="3465"/>
      </w:tblGrid>
      <w:tr>
        <w:trPr/>
        <w:tc>
          <w:tcPr>
            <w:tcW w:w="2785"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3465" w:type="dxa"/>
            <w:tcBorders/>
            <w:vAlign w:val="center"/>
          </w:tcPr>
          <w:p>
            <w:pPr>
              <w:pStyle w:val="TableContents"/>
              <w:bidi w:val="0"/>
              <w:spacing w:before="0" w:after="283"/>
              <w:jc w:val="left"/>
              <w:rPr>
                <w:sz w:val="4"/>
                <w:szCs w:val="4"/>
              </w:rPr>
            </w:pPr>
            <w:r>
              <w:rPr>
                <w:sz w:val="4"/>
                <w:szCs w:val="4"/>
              </w:rPr>
            </w:r>
          </w:p>
        </w:tc>
      </w:tr>
      <w:tr>
        <w:trPr/>
        <w:tc>
          <w:tcPr>
            <w:tcW w:w="8699" w:type="dxa"/>
            <w:gridSpan w:val="3"/>
            <w:tcBorders>
              <w:top w:val="single" w:sz="12" w:space="0" w:color="00539B"/>
              <w:bottom w:val="single" w:sz="12" w:space="0" w:color="00539B"/>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539B"/>
                <w:sz w:val="28"/>
              </w:rPr>
            </w:pPr>
            <w:r>
              <w:rPr>
                <w:rFonts w:ascii="Arial Narrow;sans-serif" w:hAnsi="Arial Narrow;sans-serif"/>
                <w:b/>
                <w:color w:val="00539B"/>
                <w:sz w:val="28"/>
              </w:rPr>
              <w:t>CAUTIONARY STATEMENT REGARDING FORWARD-LOOKING STATEMENTS</w:t>
            </w:r>
          </w:p>
        </w:tc>
      </w:tr>
    </w:tbl>
    <w:p>
      <w:pPr>
        <w:pStyle w:val="TextBody"/>
        <w:bidi w:val="0"/>
        <w:spacing w:lineRule="auto" w:line="264" w:before="120" w:after="283"/>
        <w:ind w:left="0" w:right="0" w:firstLine="270"/>
        <w:jc w:val="both"/>
        <w:rPr>
          <w:rFonts w:ascii="Arial;sans-serif" w:hAnsi="Arial;sans-serif"/>
          <w:b w:val="false"/>
          <w:color w:val="000000"/>
          <w:sz w:val="17"/>
        </w:rPr>
      </w:pPr>
      <w:r>
        <w:rPr>
          <w:rFonts w:ascii="Arial;sans-serif" w:hAnsi="Arial;sans-serif"/>
          <w:b w:val="false"/>
          <w:color w:val="000000"/>
          <w:sz w:val="17"/>
        </w:rPr>
        <w:t>Portions of this report contain forward-looking statements within the meaning of Section 27A of the Securities Act of 1933, as amended, and Section 21E of the Securities Exchange Act of 1934, as amended. All statements other than statements of historical fact are "forward-looking statements" for purposes of federal and state securities laws, including, but not limited to: any projections of earnings, revenue or other financial items or future financial position or sources of financing; any statements of the plans, strategies and objectives of management for future operations or business strategy; any statements regarding future economic conditions or performance; any statements of belief; and any statements of assumptions underlying any of the foregoing. Words such as "estimate," "project," "predict," "will," "would," "should," "could," "may," "might," "anticipate," "plan," "intend," "believe," "expect," "aim," "goal," "target," "objective," "commit," "advance," "guidance," "priority," "focus," "assumption," "likely" or similar expressions that convey the prospective nature of events or outcomes are generally indicative of forward-looking statements. You should not place undue reliance on these forward-looking statements, which speak only as of the date of this report unless an earlier date is specified. Unless legally required, the Company does not undertake any obligation to update, modify or withdraw any forward-looking statement as a result of new information, future events or otherwise.</w:t>
      </w:r>
    </w:p>
    <w:p>
      <w:pPr>
        <w:pStyle w:val="TextBody"/>
        <w:bidi w:val="0"/>
        <w:spacing w:lineRule="auto" w:line="264" w:before="0" w:after="0"/>
        <w:ind w:left="0" w:right="0" w:firstLine="270"/>
        <w:jc w:val="both"/>
        <w:rPr>
          <w:rFonts w:ascii="Arial;sans-serif" w:hAnsi="Arial;sans-serif"/>
          <w:b w:val="false"/>
          <w:color w:val="000000"/>
          <w:sz w:val="17"/>
        </w:rPr>
      </w:pPr>
      <w:r>
        <w:rPr>
          <w:rFonts w:ascii="Arial;sans-serif" w:hAnsi="Arial;sans-serif"/>
          <w:b w:val="false"/>
          <w:color w:val="000000"/>
          <w:sz w:val="17"/>
        </w:rPr>
        <w:t>Actual outcomes or results may differ from anticipated results, sometimes materially. Forward-looking and other statements regarding the Company's sustainability efforts and aspirations are not an indication that these statements are necessarily material to investors or require disclosure in the Company's filings with the SEC. In addition, historical, current and forward-looking sustainability-related statements may be based on standards for measuring progress that are still developing, internal controls and processes that continue to evolve and definitions, assumptions, data sources and estimates or measurements that are subject to change in the future, including through rulemaking or guidance. Factors that could cause results to differ from those projected or assumed in any forward-looking statement include, but are not limited to: general economic conditions, including slowdowns and recessions, domestically or internationally; the Company's indebtedness and other payment obligations, including the need to generate sufficient cash flows to fund operations; the Company's ability to successfully monetize select assets and repay or refinance debt and the impact of changes in the Company's credit ratings or future increases in interest rates; assumptions about energy markets; global and local commodity and commodity-futures pricing fluctuations and volatility; supply and demand considerations for, and the prices of, the Company's products and services; actions by OPEC and non-OPEC oil producing countries; results from operations and competitive conditions; future impairments of the Company's proved and unproved oil and gas properties or equity investments, or write-downs of productive assets, causing charges to earnings; unexpected changes in costs; government actions (including the effects of announced or future tariff increases and other geopolitical, trade, tariff, fiscal and regulatory uncertainties), war (including the Russia-Ukraine war and conflicts in the Middle East) and political conditions and events (such as in Latin America); inflation, its impact on markets and economic activity and related monetary policy actions by governments in response to inflation; availability of capital resources, levels of capital expenditures and contractual obligations; the regulatory approval environment, including the Company's ability to timely obtain or maintain permits or other government approvals, including those necessary for drilling and/or development projects; the Company's ability to successfully complete, or any material delay of, field developments, expansion projects, capital expenditures, efficiency projects, acquisitions or divestitures; risks associated with acquisitions, mergers and joint ventures, such as difficulties integrating businesses, uncertainty associated with financial projections or projected synergies, restructuring, increased costs and adverse tax consequences; uncertainties and liabilities associated with acquired and divested properties and businesses, including retained liabilities and indemnification obligations associated with the chemical business; uncertainties about the estimated quantities of oil, NGL and natural gas reserves; lower-than-expected production from development projects or acquisitions; the Company's ability to realize the anticipated benefits from prior or future streamlining actions to reduce fixed costs, simplify or improve processes and improve the Company's competitiveness; exploration, drilling and other operational risks; disruptions to, capacity constraints in, or other limitations on the pipeline systems that deliver the Company's oil and natural gas and other processing and transportation considerations; volatility in the securities, capital or credit markets, including capital market disruptions and instability of financial institutions; HSE risks, costs and liability under existing or future federal, regional, state, provincial, tribal, local and international HSE laws, regulations and litigation (including related to climate change or remedial actions or assessments); legislative or regulatory changes, including changes relating to hydraulic fracturing or other oil and natural gas operations, retroactive royalty or production tax regimes, and deep-water and onshore drilling and permitting regulations; the Company's ability to recognize intended benefits from its business strategies and initiatives, such as the Company's low-carbon ventures businesses and announced GHG emissions reduction targets or net-zero goals; changes in government grant or loan programs; potential liability resulting from pending or future litigation, government investigations and other proceedings; disruption or interruption of production or facility damage due to accidents, chemical releases, labor unrest, weather, power outages, natural disasters, cyber-attacks, terrorist acts or insurgent activity; the scope and duration of global or regional health pandemics or epidemics and actions taken by government authorities and other third parties in connection therewith; the creditworthiness and performance of the Company's counterparties, including financial institutions, operating partners and other parties; failure of risk management; the Company's ability to retain and hire key personnel; supply, transportation and labor constraints; reorganization or restructuring of the Company's operations; changes in state, federal or international tax rates, deductions, incentives or credits; and actions by third parties that are beyond the Company's control.</w:t>
      </w:r>
    </w:p>
    <w:p>
      <w:pPr>
        <w:pStyle w:val="TextBody"/>
        <w:bidi w:val="0"/>
        <w:spacing w:lineRule="auto" w:line="264" w:before="0" w:after="0"/>
        <w:ind w:left="0" w:right="0" w:firstLine="270"/>
        <w:jc w:val="both"/>
        <w:rPr>
          <w:rFonts w:ascii="Arial;sans-serif" w:hAnsi="Arial;sans-serif"/>
          <w:b w:val="false"/>
          <w:color w:val="000000"/>
          <w:sz w:val="17"/>
        </w:rPr>
      </w:pPr>
      <w:r>
        <w:rPr>
          <w:rFonts w:ascii="Arial;sans-serif" w:hAnsi="Arial;sans-serif"/>
          <w:b w:val="false"/>
          <w:color w:val="000000"/>
          <w:sz w:val="17"/>
        </w:rPr>
        <w:t>Additional information concerning these and other factors that may cause the Company's results of operations and financial position to differ from expectations can be found in the Company's other filings with the SEC, including the Company's 2025 Form 10-K, Quarterly Reports on Form 10-Q and Current Reports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tbl>
      <w:tblPr>
        <w:tblW w:w="3734" w:type="dxa"/>
        <w:jc w:val="left"/>
        <w:tblInd w:w="0" w:type="dxa"/>
        <w:tblLayout w:type="fixed"/>
        <w:tblCellMar>
          <w:top w:w="28" w:type="dxa"/>
          <w:left w:w="28" w:type="dxa"/>
          <w:bottom w:w="28" w:type="dxa"/>
          <w:right w:w="28" w:type="dxa"/>
        </w:tblCellMar>
      </w:tblPr>
      <w:tblGrid>
        <w:gridCol w:w="1196"/>
        <w:gridCol w:w="1051"/>
        <w:gridCol w:w="1487"/>
      </w:tblGrid>
      <w:tr>
        <w:trPr/>
        <w:tc>
          <w:tcPr>
            <w:tcW w:w="1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12" w:space="0" w:color="00539B"/>
              <w:bottom w:val="single" w:sz="12" w:space="0" w:color="00539B"/>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539B"/>
                <w:sz w:val="28"/>
              </w:rPr>
            </w:pPr>
            <w:r>
              <w:rPr>
                <w:rFonts w:ascii="Arial Narrow;sans-serif" w:hAnsi="Arial Narrow;sans-serif"/>
                <w:b/>
                <w:color w:val="00539B"/>
                <w:sz w:val="28"/>
              </w:rPr>
              <w:t>CURRENT BUSINESS OUTLOOK</w:t>
            </w:r>
          </w:p>
        </w:tc>
      </w:tr>
    </w:tbl>
    <w:p>
      <w:pPr>
        <w:pStyle w:val="TextBody"/>
        <w:bidi w:val="0"/>
        <w:spacing w:before="0" w:after="0"/>
        <w:jc w:val="left"/>
        <w:rPr/>
      </w:pPr>
      <w:r>
        <w:rPr/>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Company's financial results are significantly influenced by crude oil prices and, to a lesser extent, NGL and natural gas prices and commodity market differentials. The average WTI price per barrel was $92.79 for the three months ended June 30, 2026, compared with</w:t>
      </w:r>
      <w:bookmarkStart w:id="0" w:name="i13fe9606db1c4d65aa5072d5ed749ffe_5027"/>
      <w:bookmarkEnd w:id="0"/>
      <w:r>
        <w:rPr>
          <w:rFonts w:ascii="Arial;sans-serif" w:hAnsi="Arial;sans-serif"/>
          <w:b w:val="false"/>
          <w:color w:val="000000"/>
          <w:sz w:val="19"/>
        </w:rPr>
        <w:t xml:space="preserve"> $71.93 for the three months ended March 31, 2026. The average WTI price per barrel was $82.36 for the six months ended June 30, 2026, compared with $67.58 for the six months ended June 30, 2025. </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 xml:space="preserve">Changes in commodity prices may affect the Company's capital allocation decisions, including the level and timing of investments, which could affect future production volumes. Oil prices are expected to remain volatile due to a variety of factors, including geopolitical developments, macroeconomic conditions and their impact on global energy demand, actions by OPEC and non-OPEC producing countries, and changes in U.S. trade policy. </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Commodity prices during the second quarter benefited in part from risk premiums associated with the conflict involving Iran and resulting disruptions to regional energy markets and trade flows. Although shipping activity through the Strait of Hormuz improved during portions of the quarter following diplomatic efforts, recent developments have underscored the continued fragility of those conditions. Ongoing geopolitical uncertainty, potential disruptions to maritime transportation and energy infrastructure, and evolving governmental responses could continue to influence commodity prices and contribute to market volatility. The duration, scope and ultimate outcome of the conflict remain uncertain and could continue to affect energy markets, global economic conditions and commodity prices.</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Recent U.S. trade policy actions, including the implementation of tariff replacement measures, could also affect the Company's operations and financial performance. Although the Company has not experienced a material impact to date, tariffs or tariff replacement measures imposed on suppliers could increase costs over time. In addition, broader economic impacts and uncertainty associated with evolving trade policies could affect demand for the Company's products and the prices realized for its production.</w:t>
      </w:r>
    </w:p>
    <w:p>
      <w:pPr>
        <w:pStyle w:val="TextBody"/>
        <w:bidi w:val="0"/>
        <w:spacing w:before="0" w:after="0"/>
        <w:jc w:val="left"/>
        <w:rPr/>
      </w:pPr>
      <w:r>
        <w:rPr/>
      </w:r>
    </w:p>
    <w:p>
      <w:pPr>
        <w:pStyle w:val="TextBody"/>
        <w:bidi w:val="0"/>
        <w:spacing w:lineRule="auto" w:line="247" w:before="0" w:after="0"/>
        <w:jc w:val="both"/>
        <w:rPr>
          <w:rFonts w:ascii="Arial;sans-serif" w:hAnsi="Arial;sans-serif"/>
          <w:b/>
          <w:color w:val="00539B"/>
          <w:sz w:val="23"/>
        </w:rPr>
      </w:pPr>
      <w:r>
        <w:rPr>
          <w:rFonts w:ascii="Arial;sans-serif" w:hAnsi="Arial;sans-serif"/>
          <w:b/>
          <w:color w:val="00539B"/>
          <w:sz w:val="23"/>
        </w:rPr>
        <w:t>STRATEGIC PRIORITIES</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Company is focused on delivering a unique shareholder value proposition with its portfolio of oil and gas and midstream and marketing assets, as well as its ongoing development of carbon management and sequestration solutions and GHG emissions reduction efforts. The Company conducts its operations with an emphasis on technical expertise, HSE, sustainability and social responsibility, and is advancing integrated technologies in CO2, power and midstream to enable differentiated resource recovery and value.</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In order to maximize shareholder returns, the Company intends to:</w:t>
      </w:r>
    </w:p>
    <w:p>
      <w:pPr>
        <w:pStyle w:val="TextBody"/>
        <w:bidi w:val="0"/>
        <w:spacing w:lineRule="auto" w:line="288" w:before="0" w:after="0"/>
        <w:ind w:left="0" w:right="0" w:hanging="270"/>
        <w:jc w:val="both"/>
        <w:rPr/>
      </w:pPr>
      <w:r>
        <w:rPr>
          <w:color w:val="000000"/>
        </w:rPr>
        <w:t>■</w:t>
      </w:r>
      <w:r>
        <w:rPr>
          <w:rFonts w:ascii="Arial;sans-serif" w:hAnsi="Arial;sans-serif"/>
          <w:b w:val="false"/>
          <w:color w:val="000000"/>
          <w:sz w:val="19"/>
        </w:rPr>
        <w:t>Maintain safe and responsible operations;</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 xml:space="preserve">Execute from a strong balance sheet; </w:t>
      </w:r>
    </w:p>
    <w:p>
      <w:pPr>
        <w:pStyle w:val="TextBody"/>
        <w:bidi w:val="0"/>
        <w:spacing w:lineRule="auto" w:line="288" w:before="0" w:after="0"/>
        <w:ind w:left="0" w:right="0" w:hanging="270"/>
        <w:jc w:val="both"/>
        <w:rPr/>
      </w:pPr>
      <w:r>
        <w:rPr>
          <w:color w:val="000000"/>
        </w:rPr>
        <w:t>■</w:t>
      </w:r>
      <w:r>
        <w:rPr>
          <w:rFonts w:ascii="Arial;sans-serif" w:hAnsi="Arial;sans-serif"/>
          <w:b w:val="false"/>
          <w:color w:val="000000"/>
          <w:sz w:val="19"/>
        </w:rPr>
        <w:t>Deliver a sustainable and growing dividend; and</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19"/>
        </w:rPr>
        <w:t>Sustain base production.</w:t>
      </w:r>
    </w:p>
    <w:p>
      <w:pPr>
        <w:pStyle w:val="TextBody"/>
        <w:bidi w:val="0"/>
        <w:spacing w:before="0" w:after="0"/>
        <w:ind w:left="0" w:right="0" w:firstLine="90"/>
        <w:jc w:val="left"/>
        <w:rPr/>
      </w:pPr>
      <w:r>
        <w:rPr/>
      </w:r>
    </w:p>
    <w:p>
      <w:pPr>
        <w:pStyle w:val="TextBody"/>
        <w:bidi w:val="0"/>
        <w:spacing w:lineRule="auto" w:line="288" w:before="0" w:after="0"/>
        <w:ind w:left="0" w:right="0" w:firstLine="90"/>
        <w:jc w:val="left"/>
        <w:rPr>
          <w:rFonts w:ascii="Arial;sans-serif" w:hAnsi="Arial;sans-serif"/>
          <w:b w:val="false"/>
          <w:color w:val="000000"/>
          <w:sz w:val="19"/>
        </w:rPr>
      </w:pPr>
      <w:r>
        <w:rPr>
          <w:rFonts w:ascii="Arial;sans-serif" w:hAnsi="Arial;sans-serif"/>
          <w:b w:val="false"/>
          <w:color w:val="000000"/>
          <w:sz w:val="19"/>
        </w:rPr>
        <w:t>In August 2026, the Board increased the quarterly dividend by 8% to $0.28 per share, which will be payable on October 15, 2026 to shareholders of record as of September 10, 2026.</w:t>
      </w:r>
    </w:p>
    <w:p>
      <w:pPr>
        <w:pStyle w:val="TextBody"/>
        <w:bidi w:val="0"/>
        <w:spacing w:before="0" w:after="0"/>
        <w:ind w:left="0" w:right="0" w:firstLine="90"/>
        <w:jc w:val="both"/>
        <w:rPr/>
      </w:pPr>
      <w:r>
        <w:rPr/>
      </w:r>
    </w:p>
    <w:p>
      <w:pPr>
        <w:pStyle w:val="TextBody"/>
        <w:bidi w:val="0"/>
        <w:spacing w:lineRule="auto" w:line="247" w:before="0" w:after="0"/>
        <w:jc w:val="both"/>
        <w:rPr>
          <w:rFonts w:ascii="Arial;sans-serif" w:hAnsi="Arial;sans-serif"/>
          <w:b/>
          <w:color w:val="00539B"/>
          <w:sz w:val="23"/>
        </w:rPr>
      </w:pPr>
      <w:r>
        <w:rPr>
          <w:rFonts w:ascii="Arial;sans-serif" w:hAnsi="Arial;sans-serif"/>
          <w:b/>
          <w:color w:val="00539B"/>
          <w:sz w:val="23"/>
        </w:rPr>
        <w:t xml:space="preserve">OXYCHEM TRANSACTION </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Company completed the sale of OxyChem on January 2, 2026 in an all-cash transaction for an adjusted sales price of $9.5 billion, subject to additional post-closing adjustments. The transaction resulted in a gain of approximately $3.1 billion, net of taxes. OxyChem is reported as discontinued operations, with its assets and liabilities classified as held for sale as of December 31, 2025.</w:t>
      </w:r>
    </w:p>
    <w:p>
      <w:pPr>
        <w:pStyle w:val="TextBody"/>
        <w:bidi w:val="0"/>
        <w:spacing w:lineRule="auto" w:line="288" w:before="0" w:after="0"/>
        <w:ind w:left="0" w:right="0" w:firstLine="270"/>
        <w:jc w:val="both"/>
        <w:rPr/>
      </w:pPr>
      <w:r>
        <w:rPr>
          <w:rFonts w:ascii="Arial;sans-serif" w:hAnsi="Arial;sans-serif"/>
          <w:b w:val="false"/>
          <w:color w:val="000000"/>
          <w:sz w:val="19"/>
        </w:rPr>
        <w:t xml:space="preserve">See </w:t>
      </w:r>
      <w:hyperlink w:anchor="i3d54dccfbfc2441b99c01f1c1099ad60_49">
        <w:r>
          <w:rPr>
            <w:rStyle w:val="InternetLink"/>
            <w:rFonts w:ascii="Arial;sans-serif" w:hAnsi="Arial;sans-serif"/>
            <w:b w:val="false"/>
            <w:color w:val="000000"/>
            <w:sz w:val="19"/>
            <w:u w:val="single"/>
          </w:rPr>
          <w:t>Note 1 - General</w:t>
        </w:r>
      </w:hyperlink>
      <w:hyperlink w:anchor="i3d54dccfbfc2441b99c01f1c1099ad60_73">
        <w:r>
          <w:rPr>
            <w:rStyle w:val="InternetLink"/>
            <w:strike w:val="false"/>
            <w:dstrike w:val="false"/>
            <w:color w:val="000000"/>
            <w:u w:val="none"/>
            <w:effect w:val="none"/>
          </w:rPr>
          <w:t xml:space="preserve"> </w:t>
        </w:r>
      </w:hyperlink>
      <w:r>
        <w:rPr>
          <w:rFonts w:ascii="Arial;sans-serif" w:hAnsi="Arial;sans-serif"/>
          <w:b w:val="false"/>
          <w:color w:val="000000"/>
          <w:sz w:val="19"/>
        </w:rPr>
        <w:t>in the Notes to Consolidated Condensed Financial Statements in Part I, Item 1 of this Form 10-Q for additional information regarding the OxyChem Transaction.</w:t>
      </w:r>
    </w:p>
    <w:p>
      <w:pPr>
        <w:pStyle w:val="TextBody"/>
        <w:bidi w:val="0"/>
        <w:spacing w:before="0" w:after="0"/>
        <w:jc w:val="both"/>
        <w:rPr/>
      </w:pPr>
      <w:r>
        <w:rPr/>
      </w:r>
    </w:p>
    <w:p>
      <w:pPr>
        <w:pStyle w:val="TextBody"/>
        <w:bidi w:val="0"/>
        <w:spacing w:lineRule="auto" w:line="247" w:before="0" w:after="0"/>
        <w:jc w:val="both"/>
        <w:rPr>
          <w:rFonts w:ascii="Arial;sans-serif" w:hAnsi="Arial;sans-serif"/>
          <w:b/>
          <w:color w:val="00539B"/>
          <w:sz w:val="23"/>
        </w:rPr>
      </w:pPr>
      <w:r>
        <w:rPr>
          <w:rFonts w:ascii="Arial;sans-serif" w:hAnsi="Arial;sans-serif"/>
          <w:b/>
          <w:color w:val="00539B"/>
          <w:sz w:val="23"/>
        </w:rPr>
        <w:t xml:space="preserve">DEBT </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As of June 30, 2026, the Company's debt was rated Baa3 by Moody's Investors Service, BBB by Fitch Ratings and BB+ by Standard and Poor's. Any downgrade in the Company's credit ratings could affect its ability to access capital markets and increase its cost of capital. In addition, Occidental or its subsidiaries may be requested, may elect to provide or in some cases may be required to provide collateral in the form of cash, letters of credit, surety bonds or other acceptable support as financial assurance of their performance and payment obligations under certain contractual arrangements, such as pipeline transportation contracts, oil and gas purchase contracts and certain derivative instruments; certain permits, including with respect to carbon capture, utilization and sequestration activities; and environmental remediation matters.</w:t>
      </w:r>
    </w:p>
    <w:p>
      <w:pPr>
        <w:pStyle w:val="TextBody"/>
        <w:bidi w:val="0"/>
        <w:spacing w:lineRule="auto" w:line="288" w:before="0" w:after="0"/>
        <w:ind w:left="0" w:right="0" w:firstLine="270"/>
        <w:jc w:val="both"/>
        <w:rPr/>
      </w:pPr>
      <w:r>
        <w:rPr>
          <w:rFonts w:ascii="Arial;sans-serif" w:hAnsi="Arial;sans-serif"/>
          <w:b w:val="false"/>
          <w:color w:val="000000"/>
          <w:sz w:val="19"/>
        </w:rPr>
        <w:t xml:space="preserve">During the six months ended June 30, 2026, the Company used after-tax proceeds from the OxyChem Transaction and cash from operations to repay approximately $8.6 billion of debt. For information on the Company's debt activity, see </w:t>
      </w:r>
      <w:hyperlink w:anchor="i3d54dccfbfc2441b99c01f1c1099ad60_61">
        <w:r>
          <w:rPr>
            <w:rStyle w:val="InternetLink"/>
            <w:rFonts w:ascii="Arial;sans-serif" w:hAnsi="Arial;sans-serif"/>
            <w:b w:val="false"/>
            <w:color w:val="000000"/>
            <w:sz w:val="19"/>
            <w:u w:val="single"/>
          </w:rPr>
          <w:t>Note 3 - Long-Term Debt</w:t>
        </w:r>
      </w:hyperlink>
      <w:r>
        <w:rPr>
          <w:color w:val="000000"/>
        </w:rPr>
        <w:t xml:space="preserve"> </w:t>
      </w:r>
      <w:r>
        <w:rPr>
          <w:rFonts w:ascii="Arial;sans-serif" w:hAnsi="Arial;sans-serif"/>
          <w:b w:val="false"/>
          <w:color w:val="000000"/>
          <w:sz w:val="19"/>
        </w:rPr>
        <w:t>in the Notes to Consolidated Condensed Financial Statements in Part I, Item 1 of this Form 10-Q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As of June 30, 2026, substantially all of the Company's outstanding debt was fixed rate.</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809" w:type="dxa"/>
        <w:jc w:val="left"/>
        <w:tblInd w:w="0" w:type="dxa"/>
        <w:tblLayout w:type="fixed"/>
        <w:tblCellMar>
          <w:top w:w="28" w:type="dxa"/>
          <w:left w:w="28" w:type="dxa"/>
          <w:bottom w:w="28" w:type="dxa"/>
          <w:right w:w="28" w:type="dxa"/>
        </w:tblCellMar>
      </w:tblPr>
      <w:tblGrid>
        <w:gridCol w:w="3141"/>
        <w:gridCol w:w="2760"/>
        <w:gridCol w:w="3908"/>
      </w:tblGrid>
      <w:tr>
        <w:trPr/>
        <w:tc>
          <w:tcPr>
            <w:tcW w:w="3141" w:type="dxa"/>
            <w:tcBorders/>
            <w:vAlign w:val="center"/>
          </w:tcPr>
          <w:p>
            <w:pPr>
              <w:pStyle w:val="TableContents"/>
              <w:bidi w:val="0"/>
              <w:spacing w:before="0" w:after="283"/>
              <w:jc w:val="left"/>
              <w:rPr>
                <w:sz w:val="4"/>
                <w:szCs w:val="4"/>
              </w:rPr>
            </w:pPr>
            <w:r>
              <w:rPr>
                <w:sz w:val="4"/>
                <w:szCs w:val="4"/>
              </w:rPr>
            </w:r>
          </w:p>
        </w:tc>
        <w:tc>
          <w:tcPr>
            <w:tcW w:w="2760" w:type="dxa"/>
            <w:tcBorders/>
            <w:vAlign w:val="center"/>
          </w:tcPr>
          <w:p>
            <w:pPr>
              <w:pStyle w:val="TableContents"/>
              <w:bidi w:val="0"/>
              <w:spacing w:before="0" w:after="283"/>
              <w:jc w:val="left"/>
              <w:rPr>
                <w:sz w:val="4"/>
                <w:szCs w:val="4"/>
              </w:rPr>
            </w:pPr>
            <w:r>
              <w:rPr>
                <w:sz w:val="4"/>
                <w:szCs w:val="4"/>
              </w:rPr>
            </w:r>
          </w:p>
        </w:tc>
        <w:tc>
          <w:tcPr>
            <w:tcW w:w="3908" w:type="dxa"/>
            <w:tcBorders/>
            <w:vAlign w:val="center"/>
          </w:tcPr>
          <w:p>
            <w:pPr>
              <w:pStyle w:val="TableContents"/>
              <w:bidi w:val="0"/>
              <w:spacing w:before="0" w:after="283"/>
              <w:jc w:val="left"/>
              <w:rPr>
                <w:sz w:val="4"/>
                <w:szCs w:val="4"/>
              </w:rPr>
            </w:pPr>
            <w:r>
              <w:rPr>
                <w:sz w:val="4"/>
                <w:szCs w:val="4"/>
              </w:rPr>
            </w:r>
          </w:p>
        </w:tc>
      </w:tr>
      <w:tr>
        <w:trPr/>
        <w:tc>
          <w:tcPr>
            <w:tcW w:w="9809" w:type="dxa"/>
            <w:gridSpan w:val="3"/>
            <w:tcBorders>
              <w:top w:val="single" w:sz="12" w:space="0" w:color="00539B"/>
              <w:bottom w:val="single" w:sz="12" w:space="0" w:color="00539B"/>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539B"/>
                <w:sz w:val="28"/>
              </w:rPr>
            </w:pPr>
            <w:r>
              <w:rPr>
                <w:rFonts w:ascii="Arial Narrow;sans-serif" w:hAnsi="Arial Narrow;sans-serif"/>
                <w:b/>
                <w:color w:val="00539B"/>
                <w:sz w:val="28"/>
              </w:rPr>
              <w:t>CONSOLIDATED RESULTS OF OPERATIONS AND ITEMS AFFECTING COMPARABILITY</w:t>
            </w:r>
          </w:p>
        </w:tc>
      </w:tr>
    </w:tbl>
    <w:p>
      <w:pPr>
        <w:pStyle w:val="TextBody"/>
        <w:bidi w:val="0"/>
        <w:spacing w:before="0" w:after="0"/>
        <w:jc w:val="left"/>
        <w:rPr/>
      </w:pPr>
      <w:r>
        <w:rPr/>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following table sets forth earnings of each operating segment and corporate items:</w:t>
      </w:r>
    </w:p>
    <w:p>
      <w:pPr>
        <w:pStyle w:val="TextBody"/>
        <w:bidi w:val="0"/>
        <w:spacing w:before="0" w:after="0"/>
        <w:ind w:left="0" w:right="0" w:firstLine="270"/>
        <w:jc w:val="both"/>
        <w:rPr/>
      </w:pPr>
      <w:r>
        <w:rPr/>
      </w:r>
    </w:p>
    <w:tbl>
      <w:tblPr>
        <w:tblW w:w="10177" w:type="dxa"/>
        <w:jc w:val="left"/>
        <w:tblInd w:w="0" w:type="dxa"/>
        <w:tblLayout w:type="fixed"/>
        <w:tblCellMar>
          <w:top w:w="28" w:type="dxa"/>
          <w:left w:w="28" w:type="dxa"/>
          <w:bottom w:w="28" w:type="dxa"/>
          <w:right w:w="28" w:type="dxa"/>
        </w:tblCellMar>
      </w:tblPr>
      <w:tblGrid>
        <w:gridCol w:w="2154"/>
        <w:gridCol w:w="1886"/>
        <w:gridCol w:w="1915"/>
        <w:gridCol w:w="298"/>
        <w:gridCol w:w="914"/>
        <w:gridCol w:w="153"/>
        <w:gridCol w:w="322"/>
        <w:gridCol w:w="324"/>
        <w:gridCol w:w="572"/>
        <w:gridCol w:w="139"/>
        <w:gridCol w:w="313"/>
        <w:gridCol w:w="959"/>
        <w:gridCol w:w="228"/>
      </w:tblGrid>
      <w:tr>
        <w:trPr/>
        <w:tc>
          <w:tcPr>
            <w:tcW w:w="2154"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Three months ended</w:t>
            </w:r>
          </w:p>
        </w:tc>
        <w:tc>
          <w:tcPr>
            <w:tcW w:w="1500" w:type="dxa"/>
            <w:gridSpan w:val="3"/>
            <w:tcBorders/>
          </w:tcPr>
          <w:p>
            <w:pPr>
              <w:pStyle w:val="TableContents"/>
              <w:bidi w:val="0"/>
              <w:spacing w:before="0" w:after="283"/>
              <w:jc w:val="left"/>
              <w:rPr>
                <w:sz w:val="4"/>
                <w:szCs w:val="4"/>
              </w:rPr>
            </w:pPr>
            <w:r>
              <w:rPr>
                <w:sz w:val="4"/>
                <w:szCs w:val="4"/>
              </w:rPr>
            </w:r>
          </w:p>
        </w:tc>
      </w:tr>
      <w:tr>
        <w:trPr/>
        <w:tc>
          <w:tcPr>
            <w:tcW w:w="59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13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June 30, 2026</w:t>
            </w:r>
          </w:p>
        </w:tc>
        <w:tc>
          <w:tcPr>
            <w:tcW w:w="12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 Change</w:t>
            </w:r>
          </w:p>
        </w:tc>
        <w:tc>
          <w:tcPr>
            <w:tcW w:w="139" w:type="dxa"/>
            <w:tcBorders/>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March 31, 2026</w:t>
            </w:r>
          </w:p>
        </w:tc>
      </w:tr>
      <w:tr>
        <w:trPr/>
        <w:tc>
          <w:tcPr>
            <w:tcW w:w="59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Net income</w:t>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Oil and gas </w:t>
            </w:r>
            <w:r>
              <w:rPr>
                <w:rFonts w:ascii="Arial;sans-serif" w:hAnsi="Arial;sans-serif"/>
                <w:b w:val="false"/>
                <w:color w:val="000000"/>
                <w:sz w:val="12"/>
              </w:rPr>
              <w:t>(a)</w:t>
            </w:r>
          </w:p>
        </w:tc>
        <w:tc>
          <w:tcPr>
            <w:tcW w:w="29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1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2,849</w:t>
            </w:r>
            <w:r>
              <w:rPr>
                <w:color w:val="00539B"/>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180 </w:t>
            </w:r>
          </w:p>
        </w:tc>
        <w:tc>
          <w:tcPr>
            <w:tcW w:w="57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39" w:type="dxa"/>
            <w:tcBorders/>
            <w:vAlign w:val="center"/>
          </w:tcPr>
          <w:p>
            <w:pPr>
              <w:pStyle w:val="TableContents"/>
              <w:bidi w:val="0"/>
              <w:spacing w:before="0" w:after="283"/>
              <w:jc w:val="left"/>
              <w:rPr>
                <w:sz w:val="4"/>
                <w:szCs w:val="4"/>
              </w:rPr>
            </w:pPr>
            <w:r>
              <w:rPr>
                <w:sz w:val="4"/>
                <w:szCs w:val="4"/>
              </w:rPr>
            </w:r>
          </w:p>
        </w:tc>
        <w:tc>
          <w:tcPr>
            <w:tcW w:w="31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1,017 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Midstream and marketing </w:t>
            </w:r>
            <w:r>
              <w:rPr>
                <w:rFonts w:ascii="Arial;sans-serif" w:hAnsi="Arial;sans-serif"/>
                <w:b w:val="false"/>
                <w:color w:val="000000"/>
                <w:sz w:val="12"/>
              </w:rPr>
              <w:t>(a)</w:t>
            </w:r>
          </w:p>
        </w:tc>
        <w:tc>
          <w:tcPr>
            <w:tcW w:w="12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1,338</w:t>
            </w:r>
            <w:r>
              <w:rPr>
                <w:color w:val="00539B"/>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1,638 </w:t>
            </w:r>
          </w:p>
        </w:tc>
        <w:tc>
          <w:tcPr>
            <w:tcW w:w="57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39" w:type="dxa"/>
            <w:tcBorders/>
            <w:vAlign w:val="center"/>
          </w:tcPr>
          <w:p>
            <w:pPr>
              <w:pStyle w:val="TableContents"/>
              <w:bidi w:val="0"/>
              <w:spacing w:before="0" w:after="283"/>
              <w:jc w:val="left"/>
              <w:rPr>
                <w:sz w:val="4"/>
                <w:szCs w:val="4"/>
              </w:rPr>
            </w:pPr>
            <w:r>
              <w:rPr>
                <w:sz w:val="4"/>
                <w:szCs w:val="4"/>
              </w:rPr>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(87)</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12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4,187</w:t>
            </w:r>
            <w:r>
              <w:rPr>
                <w:color w:val="00539B"/>
              </w:rPr>
              <w:t> </w:t>
            </w:r>
          </w:p>
        </w:tc>
        <w:tc>
          <w:tcPr>
            <w:tcW w:w="15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350 </w:t>
            </w:r>
          </w:p>
        </w:tc>
        <w:tc>
          <w:tcPr>
            <w:tcW w:w="57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39" w:type="dxa"/>
            <w:tcBorders/>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930 </w:t>
            </w:r>
          </w:p>
        </w:tc>
        <w:tc>
          <w:tcPr>
            <w:tcW w:w="22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9"/>
              </w:rPr>
              <w:t xml:space="preserve">Unallocated Corporate Items </w:t>
            </w:r>
            <w:r>
              <w:rPr>
                <w:rFonts w:ascii="Arial;sans-serif" w:hAnsi="Arial;sans-serif"/>
                <w:b/>
                <w:color w:val="000000"/>
                <w:sz w:val="12"/>
              </w:rPr>
              <w:t>(a)</w:t>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expense, net</w:t>
            </w:r>
          </w:p>
        </w:tc>
        <w:tc>
          <w:tcPr>
            <w:tcW w:w="12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(108)</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w:t>
            </w:r>
          </w:p>
        </w:tc>
        <w:tc>
          <w:tcPr>
            <w:tcW w:w="57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39" w:type="dxa"/>
            <w:tcBorders/>
            <w:vAlign w:val="center"/>
          </w:tcPr>
          <w:p>
            <w:pPr>
              <w:pStyle w:val="TableContents"/>
              <w:bidi w:val="0"/>
              <w:spacing w:before="0" w:after="283"/>
              <w:jc w:val="left"/>
              <w:rPr>
                <w:sz w:val="4"/>
                <w:szCs w:val="4"/>
              </w:rPr>
            </w:pPr>
            <w:r>
              <w:rPr>
                <w:sz w:val="4"/>
                <w:szCs w:val="4"/>
              </w:rPr>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(432)</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tax expense</w:t>
            </w:r>
          </w:p>
        </w:tc>
        <w:tc>
          <w:tcPr>
            <w:tcW w:w="12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(915)</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494 </w:t>
            </w:r>
          </w:p>
        </w:tc>
        <w:tc>
          <w:tcPr>
            <w:tcW w:w="57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39" w:type="dxa"/>
            <w:tcBorders/>
            <w:vAlign w:val="center"/>
          </w:tcPr>
          <w:p>
            <w:pPr>
              <w:pStyle w:val="TableContents"/>
              <w:bidi w:val="0"/>
              <w:spacing w:before="0" w:after="283"/>
              <w:jc w:val="left"/>
              <w:rPr>
                <w:sz w:val="4"/>
                <w:szCs w:val="4"/>
              </w:rPr>
            </w:pPr>
            <w:r>
              <w:rPr>
                <w:sz w:val="4"/>
                <w:szCs w:val="4"/>
              </w:rPr>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(154)</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Corporate and other items, net</w:t>
            </w:r>
          </w:p>
        </w:tc>
        <w:tc>
          <w:tcPr>
            <w:tcW w:w="12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(164)</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52 </w:t>
            </w:r>
          </w:p>
        </w:tc>
        <w:tc>
          <w:tcPr>
            <w:tcW w:w="57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39" w:type="dxa"/>
            <w:tcBorders/>
            <w:vAlign w:val="center"/>
          </w:tcPr>
          <w:p>
            <w:pPr>
              <w:pStyle w:val="TableContents"/>
              <w:bidi w:val="0"/>
              <w:spacing w:before="0" w:after="283"/>
              <w:jc w:val="left"/>
              <w:rPr>
                <w:sz w:val="4"/>
                <w:szCs w:val="4"/>
              </w:rPr>
            </w:pPr>
            <w:r>
              <w:rPr>
                <w:sz w:val="4"/>
                <w:szCs w:val="4"/>
              </w:rPr>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(108)</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from continuing operations</w:t>
            </w:r>
          </w:p>
        </w:tc>
        <w:tc>
          <w:tcPr>
            <w:tcW w:w="29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3,000</w:t>
            </w:r>
            <w:r>
              <w:rPr>
                <w:color w:val="00539B"/>
              </w:rPr>
              <w:t> </w:t>
            </w:r>
          </w:p>
        </w:tc>
        <w:tc>
          <w:tcPr>
            <w:tcW w:w="15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1,171 </w:t>
            </w:r>
          </w:p>
        </w:tc>
        <w:tc>
          <w:tcPr>
            <w:tcW w:w="57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39" w:type="dxa"/>
            <w:tcBorders/>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236 </w:t>
            </w:r>
          </w:p>
        </w:tc>
        <w:tc>
          <w:tcPr>
            <w:tcW w:w="22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Discontinued operations, net of taxes </w:t>
            </w:r>
          </w:p>
        </w:tc>
        <w:tc>
          <w:tcPr>
            <w:tcW w:w="12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(4)</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w:t>
            </w:r>
          </w:p>
        </w:tc>
        <w:tc>
          <w:tcPr>
            <w:tcW w:w="57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39" w:type="dxa"/>
            <w:tcBorders/>
            <w:vAlign w:val="center"/>
          </w:tcPr>
          <w:p>
            <w:pPr>
              <w:pStyle w:val="TableContents"/>
              <w:bidi w:val="0"/>
              <w:spacing w:before="0" w:after="283"/>
              <w:jc w:val="left"/>
              <w:rPr>
                <w:sz w:val="4"/>
                <w:szCs w:val="4"/>
              </w:rPr>
            </w:pPr>
            <w:r>
              <w:rPr>
                <w:sz w:val="4"/>
                <w:szCs w:val="4"/>
              </w:rPr>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3,123 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w:t>
            </w:r>
          </w:p>
        </w:tc>
        <w:tc>
          <w:tcPr>
            <w:tcW w:w="29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2,996</w:t>
            </w:r>
            <w:r>
              <w:rPr>
                <w:color w:val="00539B"/>
              </w:rPr>
              <w:t> </w:t>
            </w:r>
          </w:p>
        </w:tc>
        <w:tc>
          <w:tcPr>
            <w:tcW w:w="15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w:t>
            </w:r>
          </w:p>
        </w:tc>
        <w:tc>
          <w:tcPr>
            <w:tcW w:w="57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39" w:type="dxa"/>
            <w:tcBorders/>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3,359 </w:t>
            </w:r>
          </w:p>
        </w:tc>
        <w:tc>
          <w:tcPr>
            <w:tcW w:w="228"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Less: Net income attributable to noncontrolling interest</w:t>
            </w:r>
          </w:p>
        </w:tc>
        <w:tc>
          <w:tcPr>
            <w:tcW w:w="12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(19)</w:t>
            </w:r>
          </w:p>
        </w:tc>
        <w:tc>
          <w:tcPr>
            <w:tcW w:w="15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36 </w:t>
            </w:r>
          </w:p>
        </w:tc>
        <w:tc>
          <w:tcPr>
            <w:tcW w:w="57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39" w:type="dxa"/>
            <w:tcBorders/>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w:t>
            </w:r>
          </w:p>
        </w:tc>
        <w:tc>
          <w:tcPr>
            <w:tcW w:w="22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Less: Preferred stock dividends</w:t>
            </w:r>
          </w:p>
        </w:tc>
        <w:tc>
          <w:tcPr>
            <w:tcW w:w="12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(170)</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39" w:type="dxa"/>
            <w:tcBorders/>
            <w:vAlign w:val="center"/>
          </w:tcPr>
          <w:p>
            <w:pPr>
              <w:pStyle w:val="TableContents"/>
              <w:bidi w:val="0"/>
              <w:spacing w:before="0" w:after="283"/>
              <w:jc w:val="left"/>
              <w:rPr>
                <w:sz w:val="4"/>
                <w:szCs w:val="4"/>
              </w:rPr>
            </w:pPr>
            <w:r>
              <w:rPr>
                <w:sz w:val="4"/>
                <w:szCs w:val="4"/>
              </w:rPr>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(170)</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attributable to common stockholders</w:t>
            </w:r>
          </w:p>
        </w:tc>
        <w:tc>
          <w:tcPr>
            <w:tcW w:w="29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2,807</w:t>
            </w:r>
            <w:r>
              <w:rPr>
                <w:color w:val="00539B"/>
              </w:rPr>
              <w:t> </w:t>
            </w:r>
          </w:p>
        </w:tc>
        <w:tc>
          <w:tcPr>
            <w:tcW w:w="15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w:t>
            </w:r>
          </w:p>
        </w:tc>
        <w:tc>
          <w:tcPr>
            <w:tcW w:w="57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39" w:type="dxa"/>
            <w:tcBorders/>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3,175 </w:t>
            </w:r>
          </w:p>
        </w:tc>
        <w:tc>
          <w:tcPr>
            <w:tcW w:w="228"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per share attributable to common stockholders - diluted</w:t>
            </w:r>
          </w:p>
        </w:tc>
        <w:tc>
          <w:tcPr>
            <w:tcW w:w="29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1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2.75</w:t>
            </w:r>
            <w:r>
              <w:rPr>
                <w:color w:val="00539B"/>
              </w:rPr>
              <w:t> </w:t>
            </w:r>
          </w:p>
        </w:tc>
        <w:tc>
          <w:tcPr>
            <w:tcW w:w="15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w:t>
            </w:r>
          </w:p>
        </w:tc>
        <w:tc>
          <w:tcPr>
            <w:tcW w:w="57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39" w:type="dxa"/>
            <w:tcBorders/>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5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3.13 </w:t>
            </w:r>
          </w:p>
        </w:tc>
        <w:tc>
          <w:tcPr>
            <w:tcW w:w="22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2"/>
        </w:rPr>
        <w:t>(a)    </w:t>
      </w:r>
      <w:r>
        <w:rPr>
          <w:rFonts w:ascii="Arial;sans-serif" w:hAnsi="Arial;sans-serif"/>
          <w:b w:val="false"/>
          <w:color w:val="000000"/>
          <w:sz w:val="18"/>
        </w:rPr>
        <w:t>Refer to the Items Affecting Comparability table which sets forth items affecting the Company's earnings that vary widely and unpredictably in nature, timing and amount.</w:t>
      </w:r>
    </w:p>
    <w:p>
      <w:pPr>
        <w:pStyle w:val="TextBody"/>
        <w:bidi w:val="0"/>
        <w:spacing w:before="0" w:after="0"/>
        <w:ind w:left="0" w:right="0" w:hanging="360"/>
        <w:jc w:val="both"/>
        <w:rPr/>
      </w:pPr>
      <w:r>
        <w:rPr/>
      </w:r>
    </w:p>
    <w:tbl>
      <w:tblPr>
        <w:tblW w:w="9918" w:type="dxa"/>
        <w:jc w:val="left"/>
        <w:tblInd w:w="0" w:type="dxa"/>
        <w:tblLayout w:type="fixed"/>
        <w:tblCellMar>
          <w:top w:w="28" w:type="dxa"/>
          <w:left w:w="28" w:type="dxa"/>
          <w:bottom w:w="28" w:type="dxa"/>
          <w:right w:w="28" w:type="dxa"/>
        </w:tblCellMar>
      </w:tblPr>
      <w:tblGrid>
        <w:gridCol w:w="2154"/>
        <w:gridCol w:w="1886"/>
        <w:gridCol w:w="1915"/>
        <w:gridCol w:w="298"/>
        <w:gridCol w:w="913"/>
        <w:gridCol w:w="154"/>
        <w:gridCol w:w="323"/>
        <w:gridCol w:w="323"/>
        <w:gridCol w:w="572"/>
        <w:gridCol w:w="288"/>
        <w:gridCol w:w="882"/>
        <w:gridCol w:w="210"/>
      </w:tblGrid>
      <w:tr>
        <w:trPr/>
        <w:tc>
          <w:tcPr>
            <w:tcW w:w="2154"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Six months ended</w:t>
            </w:r>
          </w:p>
        </w:tc>
      </w:tr>
      <w:tr>
        <w:trPr/>
        <w:tc>
          <w:tcPr>
            <w:tcW w:w="59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13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June 30, 2026</w:t>
            </w:r>
          </w:p>
        </w:tc>
        <w:tc>
          <w:tcPr>
            <w:tcW w:w="12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 Change</w:t>
            </w:r>
          </w:p>
        </w:tc>
        <w:tc>
          <w:tcPr>
            <w:tcW w:w="13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June 30, 2025</w:t>
            </w:r>
          </w:p>
        </w:tc>
      </w:tr>
      <w:tr>
        <w:trPr/>
        <w:tc>
          <w:tcPr>
            <w:tcW w:w="59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Net income</w:t>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Oil and gas </w:t>
            </w:r>
            <w:r>
              <w:rPr>
                <w:rFonts w:ascii="Arial;sans-serif" w:hAnsi="Arial;sans-serif"/>
                <w:b w:val="false"/>
                <w:color w:val="000000"/>
                <w:sz w:val="12"/>
              </w:rPr>
              <w:t>(a)</w:t>
            </w:r>
          </w:p>
        </w:tc>
        <w:tc>
          <w:tcPr>
            <w:tcW w:w="29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1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3,866</w:t>
            </w:r>
            <w:r>
              <w:rPr>
                <w:color w:val="00539B"/>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47 </w:t>
            </w:r>
          </w:p>
        </w:tc>
        <w:tc>
          <w:tcPr>
            <w:tcW w:w="57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28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2,631 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Midstream and marketing </w:t>
            </w:r>
            <w:r>
              <w:rPr>
                <w:rFonts w:ascii="Arial;sans-serif" w:hAnsi="Arial;sans-serif"/>
                <w:b w:val="false"/>
                <w:color w:val="000000"/>
                <w:sz w:val="12"/>
              </w:rPr>
              <w:t>(a)</w:t>
            </w:r>
          </w:p>
        </w:tc>
        <w:tc>
          <w:tcPr>
            <w:tcW w:w="12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1,251</w:t>
            </w:r>
            <w:r>
              <w:rPr>
                <w:color w:val="00539B"/>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3,891 </w:t>
            </w:r>
          </w:p>
        </w:tc>
        <w:tc>
          <w:tcPr>
            <w:tcW w:w="57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1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12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5,117</w:t>
            </w:r>
            <w:r>
              <w:rPr>
                <w:color w:val="00539B"/>
              </w:rPr>
              <w:t>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97 </w:t>
            </w:r>
          </w:p>
        </w:tc>
        <w:tc>
          <w:tcPr>
            <w:tcW w:w="57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17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2,598 </w:t>
            </w:r>
          </w:p>
        </w:tc>
        <w:tc>
          <w:tcPr>
            <w:tcW w:w="2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9"/>
              </w:rPr>
              <w:t xml:space="preserve">Unallocated Corporate Items </w:t>
            </w:r>
            <w:r>
              <w:rPr>
                <w:rFonts w:ascii="Arial;sans-serif" w:hAnsi="Arial;sans-serif"/>
                <w:b/>
                <w:color w:val="000000"/>
                <w:sz w:val="12"/>
              </w:rPr>
              <w:t>(a)</w:t>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expense, net</w:t>
            </w:r>
          </w:p>
        </w:tc>
        <w:tc>
          <w:tcPr>
            <w:tcW w:w="12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(540)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w:t>
            </w:r>
          </w:p>
        </w:tc>
        <w:tc>
          <w:tcPr>
            <w:tcW w:w="57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1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(581)</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tax expense</w:t>
            </w:r>
          </w:p>
        </w:tc>
        <w:tc>
          <w:tcPr>
            <w:tcW w:w="12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(1,069)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88 </w:t>
            </w:r>
          </w:p>
        </w:tc>
        <w:tc>
          <w:tcPr>
            <w:tcW w:w="57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1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(569)</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Corporate and other items, net</w:t>
            </w:r>
          </w:p>
        </w:tc>
        <w:tc>
          <w:tcPr>
            <w:tcW w:w="12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(272)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w:t>
            </w:r>
          </w:p>
        </w:tc>
        <w:tc>
          <w:tcPr>
            <w:tcW w:w="57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1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(280)</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from continuing operations</w:t>
            </w:r>
          </w:p>
        </w:tc>
        <w:tc>
          <w:tcPr>
            <w:tcW w:w="29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3,236</w:t>
            </w:r>
            <w:r>
              <w:rPr>
                <w:color w:val="00539B"/>
              </w:rPr>
              <w:t>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177 </w:t>
            </w:r>
          </w:p>
        </w:tc>
        <w:tc>
          <w:tcPr>
            <w:tcW w:w="57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28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1,168 </w:t>
            </w:r>
          </w:p>
        </w:tc>
        <w:tc>
          <w:tcPr>
            <w:tcW w:w="2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Discontinued operations, net of taxes </w:t>
            </w:r>
          </w:p>
        </w:tc>
        <w:tc>
          <w:tcPr>
            <w:tcW w:w="12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3,119</w:t>
            </w:r>
            <w:r>
              <w:rPr>
                <w:color w:val="00539B"/>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1,173 </w:t>
            </w:r>
          </w:p>
        </w:tc>
        <w:tc>
          <w:tcPr>
            <w:tcW w:w="57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1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245 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Net income </w:t>
            </w:r>
          </w:p>
        </w:tc>
        <w:tc>
          <w:tcPr>
            <w:tcW w:w="29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6,355</w:t>
            </w:r>
            <w:r>
              <w:rPr>
                <w:color w:val="00539B"/>
              </w:rPr>
              <w:t>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350 </w:t>
            </w:r>
          </w:p>
        </w:tc>
        <w:tc>
          <w:tcPr>
            <w:tcW w:w="57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28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1,413 </w:t>
            </w:r>
          </w:p>
        </w:tc>
        <w:tc>
          <w:tcPr>
            <w:tcW w:w="2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Less: Net income attributable to noncontrolling interest</w:t>
            </w:r>
          </w:p>
        </w:tc>
        <w:tc>
          <w:tcPr>
            <w:tcW w:w="12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(33)</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74 </w:t>
            </w:r>
          </w:p>
        </w:tc>
        <w:tc>
          <w:tcPr>
            <w:tcW w:w="57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17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w:t>
            </w:r>
          </w:p>
        </w:tc>
        <w:tc>
          <w:tcPr>
            <w:tcW w:w="2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Less: Preferred stock dividends</w:t>
            </w:r>
          </w:p>
        </w:tc>
        <w:tc>
          <w:tcPr>
            <w:tcW w:w="12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(340)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1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(340)</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attributable to common stockholders</w:t>
            </w:r>
          </w:p>
        </w:tc>
        <w:tc>
          <w:tcPr>
            <w:tcW w:w="29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5,982</w:t>
            </w:r>
            <w:r>
              <w:rPr>
                <w:color w:val="00539B"/>
              </w:rPr>
              <w:t>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468 </w:t>
            </w:r>
          </w:p>
        </w:tc>
        <w:tc>
          <w:tcPr>
            <w:tcW w:w="57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28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1,054 </w:t>
            </w:r>
          </w:p>
        </w:tc>
        <w:tc>
          <w:tcPr>
            <w:tcW w:w="210"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 per share attributable to common stockholders - diluted</w:t>
            </w:r>
          </w:p>
        </w:tc>
        <w:tc>
          <w:tcPr>
            <w:tcW w:w="29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1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5.89</w:t>
            </w:r>
            <w:r>
              <w:rPr>
                <w:color w:val="00539B"/>
              </w:rPr>
              <w:t> </w:t>
            </w:r>
          </w:p>
        </w:tc>
        <w:tc>
          <w:tcPr>
            <w:tcW w:w="15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472 </w:t>
            </w:r>
          </w:p>
        </w:tc>
        <w:tc>
          <w:tcPr>
            <w:tcW w:w="57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28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1.03 </w:t>
            </w:r>
          </w:p>
        </w:tc>
        <w:tc>
          <w:tcPr>
            <w:tcW w:w="21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2"/>
        </w:rPr>
        <w:t>(a)    </w:t>
      </w:r>
      <w:r>
        <w:rPr>
          <w:rFonts w:ascii="Arial;sans-serif" w:hAnsi="Arial;sans-serif"/>
          <w:b w:val="false"/>
          <w:color w:val="000000"/>
          <w:sz w:val="18"/>
        </w:rPr>
        <w:t>Refer to the Items Affecting Comparability table which sets forth items affecting the Company's earnings that vary widely and unpredictably in nature, timing and amount.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0" w:after="0"/>
        <w:ind w:left="0" w:right="0" w:hanging="360"/>
        <w:jc w:val="both"/>
        <w:rPr>
          <w:rFonts w:ascii="Arial;sans-serif" w:hAnsi="Arial;sans-serif"/>
          <w:b/>
          <w:color w:val="00539B"/>
          <w:sz w:val="23"/>
        </w:rPr>
      </w:pPr>
      <w:r>
        <w:rPr>
          <w:rFonts w:ascii="Arial;sans-serif" w:hAnsi="Arial;sans-serif"/>
          <w:b/>
          <w:color w:val="00539B"/>
          <w:sz w:val="23"/>
        </w:rPr>
        <w:t>ITEMS AFFECTING COMPARABILITY</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following table sets forth items affecting the comparability of the Company's earnings that vary widely and unpredictably in nature, timing and amount:</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575"/>
        <w:gridCol w:w="1245"/>
        <w:gridCol w:w="1248"/>
        <w:gridCol w:w="423"/>
        <w:gridCol w:w="965"/>
        <w:gridCol w:w="218"/>
        <w:gridCol w:w="218"/>
        <w:gridCol w:w="299"/>
        <w:gridCol w:w="914"/>
        <w:gridCol w:w="154"/>
        <w:gridCol w:w="169"/>
        <w:gridCol w:w="327"/>
        <w:gridCol w:w="1004"/>
        <w:gridCol w:w="169"/>
        <w:gridCol w:w="347"/>
        <w:gridCol w:w="670"/>
        <w:gridCol w:w="260"/>
      </w:tblGrid>
      <w:tr>
        <w:trPr/>
        <w:tc>
          <w:tcPr>
            <w:tcW w:w="157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4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4"/>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Three months ended</w:t>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669" w:type="dxa"/>
            <w:gridSpan w:val="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Six months ended</w:t>
            </w:r>
          </w:p>
        </w:tc>
        <w:tc>
          <w:tcPr>
            <w:tcW w:w="1277" w:type="dxa"/>
            <w:gridSpan w:val="3"/>
            <w:tcBorders/>
          </w:tcPr>
          <w:p>
            <w:pPr>
              <w:pStyle w:val="TableContents"/>
              <w:bidi w:val="0"/>
              <w:spacing w:before="0" w:after="283"/>
              <w:jc w:val="left"/>
              <w:rPr>
                <w:sz w:val="4"/>
                <w:szCs w:val="4"/>
              </w:rPr>
            </w:pPr>
            <w:r>
              <w:rPr>
                <w:sz w:val="4"/>
                <w:szCs w:val="4"/>
              </w:rPr>
            </w:r>
          </w:p>
        </w:tc>
      </w:tr>
      <w:tr>
        <w:trPr/>
        <w:tc>
          <w:tcPr>
            <w:tcW w:w="4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16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June 30, 2026</w:t>
            </w:r>
          </w:p>
        </w:tc>
        <w:tc>
          <w:tcPr>
            <w:tcW w:w="218" w:type="dxa"/>
            <w:tcBorders/>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March 31, 2026</w:t>
            </w:r>
          </w:p>
        </w:tc>
        <w:tc>
          <w:tcPr>
            <w:tcW w:w="169" w:type="dxa"/>
            <w:tcBorders/>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June 30, 2026</w:t>
            </w:r>
          </w:p>
        </w:tc>
        <w:tc>
          <w:tcPr>
            <w:tcW w:w="12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June 30, 2025</w:t>
            </w:r>
          </w:p>
        </w:tc>
      </w:tr>
      <w:tr>
        <w:trPr/>
        <w:tc>
          <w:tcPr>
            <w:tcW w:w="40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Oil and gas</w:t>
            </w:r>
          </w:p>
        </w:tc>
        <w:tc>
          <w:tcPr>
            <w:tcW w:w="1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Crude oil derivative gains (losses)</w:t>
            </w:r>
          </w:p>
        </w:tc>
        <w:tc>
          <w:tcPr>
            <w:tcW w:w="42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6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105</w:t>
            </w:r>
            <w:r>
              <w:rPr>
                <w:color w:val="00539B"/>
              </w:rPr>
              <w:t>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10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(234)</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7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Losses on sales of assets and other, net</w:t>
            </w:r>
          </w:p>
        </w:tc>
        <w:tc>
          <w:tcPr>
            <w:tcW w:w="13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(15)</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8"/>
              </w:rPr>
            </w:pPr>
            <w:r>
              <w:rPr>
                <w:rFonts w:ascii="Arial;sans-serif" w:hAnsi="Arial;sans-serif"/>
                <w:b/>
                <w:color w:val="00539B"/>
                <w:sz w:val="18"/>
              </w:rPr>
              <w:t>(45)</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8"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4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Legal reserves and other</w:t>
            </w:r>
          </w:p>
        </w:tc>
        <w:tc>
          <w:tcPr>
            <w:tcW w:w="13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3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oil and gas</w:t>
            </w:r>
          </w:p>
        </w:tc>
        <w:tc>
          <w:tcPr>
            <w:tcW w:w="138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90</w:t>
            </w:r>
            <w:r>
              <w:rPr>
                <w:color w:val="00539B"/>
              </w:rPr>
              <w:t> </w:t>
            </w:r>
          </w:p>
        </w:tc>
        <w:tc>
          <w:tcPr>
            <w:tcW w:w="2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(369)</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(279)</w:t>
            </w:r>
          </w:p>
        </w:tc>
        <w:tc>
          <w:tcPr>
            <w:tcW w:w="16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w:t>
            </w:r>
          </w:p>
        </w:tc>
        <w:tc>
          <w:tcPr>
            <w:tcW w:w="26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Midstream and marketing</w:t>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Derivative gains (losses), net</w:t>
            </w:r>
          </w:p>
        </w:tc>
        <w:tc>
          <w:tcPr>
            <w:tcW w:w="138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178</w:t>
            </w:r>
            <w:r>
              <w:rPr>
                <w:color w:val="00539B"/>
              </w:rPr>
              <w:t>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(231)</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Gains (losses) on sales of assets and other, net </w:t>
            </w:r>
            <w:r>
              <w:rPr>
                <w:rFonts w:ascii="Arial;sans-serif" w:hAnsi="Arial;sans-serif"/>
                <w:b w:val="false"/>
                <w:color w:val="000000"/>
                <w:sz w:val="12"/>
              </w:rPr>
              <w:t>(a)</w:t>
            </w:r>
          </w:p>
        </w:tc>
        <w:tc>
          <w:tcPr>
            <w:tcW w:w="138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199</w:t>
            </w:r>
            <w:r>
              <w:rPr>
                <w:color w:val="00539B"/>
              </w:rPr>
              <w:t>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3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35</w:t>
            </w:r>
            <w:r>
              <w:rPr>
                <w:color w:val="00539B"/>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8"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406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Asset impairments and other charges </w:t>
            </w:r>
            <w:r>
              <w:rPr>
                <w:rFonts w:ascii="Arial;sans-serif" w:hAnsi="Arial;sans-serif"/>
                <w:b w:val="false"/>
                <w:color w:val="000000"/>
                <w:sz w:val="12"/>
              </w:rPr>
              <w:t>(a)</w:t>
            </w:r>
          </w:p>
        </w:tc>
        <w:tc>
          <w:tcPr>
            <w:tcW w:w="13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(105)</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(162)</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midstream and marketing</w:t>
            </w:r>
          </w:p>
        </w:tc>
        <w:tc>
          <w:tcPr>
            <w:tcW w:w="138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377</w:t>
            </w:r>
            <w:r>
              <w:rPr>
                <w:color w:val="00539B"/>
              </w:rPr>
              <w:t> </w:t>
            </w:r>
          </w:p>
        </w:tc>
        <w:tc>
          <w:tcPr>
            <w:tcW w:w="2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(678)</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(301)</w:t>
            </w:r>
          </w:p>
        </w:tc>
        <w:tc>
          <w:tcPr>
            <w:tcW w:w="16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(151)</w:t>
            </w:r>
          </w:p>
        </w:tc>
        <w:tc>
          <w:tcPr>
            <w:tcW w:w="26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Corporate</w:t>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Early debt extinguishment</w:t>
            </w:r>
          </w:p>
        </w:tc>
        <w:tc>
          <w:tcPr>
            <w:tcW w:w="138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47</w:t>
            </w:r>
            <w:r>
              <w:rPr>
                <w:color w:val="00539B"/>
              </w:rPr>
              <w:t>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(190)</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Early retirement costs</w:t>
            </w:r>
          </w:p>
        </w:tc>
        <w:tc>
          <w:tcPr>
            <w:tcW w:w="13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(39)</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(54)</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Acquisition-related costs and other</w:t>
            </w:r>
          </w:p>
        </w:tc>
        <w:tc>
          <w:tcPr>
            <w:tcW w:w="13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3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corporate</w:t>
            </w:r>
          </w:p>
        </w:tc>
        <w:tc>
          <w:tcPr>
            <w:tcW w:w="138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8</w:t>
            </w:r>
            <w:r>
              <w:rPr>
                <w:color w:val="00539B"/>
              </w:rPr>
              <w:t> </w:t>
            </w:r>
          </w:p>
        </w:tc>
        <w:tc>
          <w:tcPr>
            <w:tcW w:w="2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(252)</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(244)</w:t>
            </w:r>
          </w:p>
        </w:tc>
        <w:tc>
          <w:tcPr>
            <w:tcW w:w="16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w:t>
            </w:r>
          </w:p>
        </w:tc>
        <w:tc>
          <w:tcPr>
            <w:tcW w:w="26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tax impact on items affecting comparability</w:t>
            </w:r>
          </w:p>
        </w:tc>
        <w:tc>
          <w:tcPr>
            <w:tcW w:w="13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(107)</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3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174</w:t>
            </w:r>
            <w:r>
              <w:rPr>
                <w:color w:val="00539B"/>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8"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0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Gains (losses) from continuing operations</w:t>
            </w:r>
          </w:p>
        </w:tc>
        <w:tc>
          <w:tcPr>
            <w:tcW w:w="138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368</w:t>
            </w:r>
            <w:r>
              <w:rPr>
                <w:color w:val="00539B"/>
              </w:rPr>
              <w:t> </w:t>
            </w:r>
          </w:p>
        </w:tc>
        <w:tc>
          <w:tcPr>
            <w:tcW w:w="2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(1,018)</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(650)</w:t>
            </w:r>
          </w:p>
        </w:tc>
        <w:tc>
          <w:tcPr>
            <w:tcW w:w="16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(179)</w:t>
            </w:r>
          </w:p>
        </w:tc>
        <w:tc>
          <w:tcPr>
            <w:tcW w:w="26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8"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Discontinued operations, net of taxes</w:t>
            </w:r>
          </w:p>
        </w:tc>
        <w:tc>
          <w:tcPr>
            <w:tcW w:w="13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(4)</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3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3,119</w:t>
            </w:r>
            <w:r>
              <w:rPr>
                <w:color w:val="00539B"/>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245 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w:t>
            </w:r>
          </w:p>
        </w:tc>
        <w:tc>
          <w:tcPr>
            <w:tcW w:w="42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6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364</w:t>
            </w:r>
            <w:r>
              <w:rPr>
                <w:color w:val="00539B"/>
              </w:rPr>
              <w:t> </w:t>
            </w:r>
          </w:p>
        </w:tc>
        <w:tc>
          <w:tcPr>
            <w:tcW w:w="21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1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2,105 </w:t>
            </w:r>
          </w:p>
        </w:tc>
        <w:tc>
          <w:tcPr>
            <w:tcW w:w="15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100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2,469</w:t>
            </w:r>
            <w:r>
              <w:rPr>
                <w:color w:val="00539B"/>
              </w:rPr>
              <w:t> </w:t>
            </w:r>
          </w:p>
        </w:tc>
        <w:tc>
          <w:tcPr>
            <w:tcW w:w="16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7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66 </w:t>
            </w:r>
          </w:p>
        </w:tc>
        <w:tc>
          <w:tcPr>
            <w:tcW w:w="26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0"/>
        <w:ind w:left="0" w:right="0" w:hanging="360"/>
        <w:jc w:val="both"/>
        <w:rPr/>
      </w:pPr>
      <w:r>
        <w:rPr>
          <w:rFonts w:ascii="Arial;sans-serif" w:hAnsi="Arial;sans-serif"/>
          <w:b w:val="false"/>
          <w:color w:val="000000"/>
          <w:sz w:val="12"/>
        </w:rPr>
        <w:t>(a)    </w:t>
      </w:r>
      <w:r>
        <w:rPr>
          <w:rFonts w:ascii="Arial;sans-serif" w:hAnsi="Arial;sans-serif"/>
          <w:b w:val="false"/>
          <w:color w:val="000000"/>
          <w:sz w:val="18"/>
        </w:rPr>
        <w:t>Includes amounts from income from equity investments and other in the Consolidated Condensed Statements of Operations.</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rFonts w:ascii="Arial;sans-serif" w:hAnsi="Arial;sans-serif"/>
          <w:b/>
          <w:i/>
          <w:color w:val="00539B"/>
          <w:sz w:val="19"/>
        </w:rPr>
      </w:pPr>
      <w:r>
        <w:rPr>
          <w:rFonts w:ascii="Arial;sans-serif" w:hAnsi="Arial;sans-serif"/>
          <w:b/>
          <w:i/>
          <w:color w:val="00539B"/>
          <w:sz w:val="19"/>
        </w:rPr>
        <w:t>Q2 2026 compared to Q1 2026</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Excluding the impact of items affecting comparability, net income increased for the three months ended June 30, 2026, compared to the three months ended March 31, 2026, primarily due to higher realized crude oil prices in the oil and gas segment and higher marketing margins related to the timing of crude sales and natural gas transportation capacity optimization activities in the Permian. These increases were partially offset by lower domestic realized natural gas prices in the oil and gas segment.</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rFonts w:ascii="Arial;sans-serif" w:hAnsi="Arial;sans-serif"/>
          <w:b/>
          <w:i/>
          <w:color w:val="00539B"/>
          <w:sz w:val="19"/>
        </w:rPr>
      </w:pPr>
      <w:r>
        <w:rPr>
          <w:rFonts w:ascii="Arial;sans-serif" w:hAnsi="Arial;sans-serif"/>
          <w:b/>
          <w:i/>
          <w:color w:val="00539B"/>
          <w:sz w:val="19"/>
        </w:rPr>
        <w:t>First six months of 2026 compared to the first six months of 2025</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Excluding the impact of items affecting comparability, net income increased for the six months ended June 30, 2026, compared to the same period in 2025, primarily due to higher realized crude oil prices in the oil and gas segment, higher marketing margins from natural gas transportation capacity optimization activities in the Permian, the timing of crude sales, lower long-haul crude transportation costs, higher sulfur prices at Al Hosn and lower interest expense due to reduced long-term debt. These increases were partially offset by lower domestic realized natural gas prices in the oil and gas segment.</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Arial;sans-serif" w:hAnsi="Arial;sans-serif"/>
          <w:b/>
          <w:color w:val="00539B"/>
          <w:sz w:val="23"/>
        </w:rPr>
      </w:pPr>
      <w:r>
        <w:rPr>
          <w:rFonts w:ascii="Arial;sans-serif" w:hAnsi="Arial;sans-serif"/>
          <w:b/>
          <w:color w:val="00539B"/>
          <w:sz w:val="23"/>
        </w:rPr>
        <w:t>SELECTED STATEMENTS OF OPERATIONS ITEMS</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rFonts w:ascii="Arial;sans-serif" w:hAnsi="Arial;sans-serif"/>
          <w:b/>
          <w:i/>
          <w:color w:val="00539B"/>
          <w:sz w:val="19"/>
        </w:rPr>
      </w:pPr>
      <w:r>
        <w:rPr>
          <w:rFonts w:ascii="Arial;sans-serif" w:hAnsi="Arial;sans-serif"/>
          <w:b/>
          <w:i/>
          <w:color w:val="00539B"/>
          <w:sz w:val="19"/>
        </w:rPr>
        <w:t>Q2 2026 compared to Q1 2026</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Net sales increased to $8.1 billion for the three months ended June 30, 2026, compared to $5.2 billion for the three months ended March 31, 2026, primarily due to higher crude oil prices and higher marketing margins related to the timing of crude sales and natural gas transportation capacity optimization activities in the Permian. These increases were partially offset by lower domestic realized natural gas prices in the oil and gas segment.</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 xml:space="preserve">Gains (losses) on sales of assets and other, net were a gain of $180 million for the three months ended June 30, 2026, compared with a loss of $202 million for the three months ended March 31, 2026. The gain on sale of assets and other, net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for the three months ended June 30, 2026 included a gain of $220 million from a pro-rata ownership reduction in WES following an acquisition made by WES. The loss on sale of assets and other, net for the three months ended March 31, 2026 reflected a loss of approximately $200 million on the divestiture of non-core oil and gas interests and certain gas processing plants in the Permian Basin. </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Interest and debt expense, net decreased to $108 million for the three months ended June 30, 2026, compared to $432 million for the three months ended March 31, 2026, primarily due to premiums paid on early debt extinguishment in the three months ended March 31, 2026 and lower interest expense in the three months ended June 30, 2026 as a result of lower outstanding debt.</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Income tax expense increased to $915 million for the three months ended June 30, 2026, compared to $154 million for the three months ended March 31, 2026, primarily due to higher pre-tax income earned in the three months ended June 30, 2026.</w:t>
      </w:r>
    </w:p>
    <w:p>
      <w:pPr>
        <w:pStyle w:val="TextBody"/>
        <w:bidi w:val="0"/>
        <w:spacing w:before="0" w:after="0"/>
        <w:ind w:left="0" w:right="0" w:firstLine="270"/>
        <w:jc w:val="both"/>
        <w:rPr/>
      </w:pPr>
      <w:r>
        <w:rPr/>
      </w:r>
    </w:p>
    <w:p>
      <w:pPr>
        <w:pStyle w:val="TextBody"/>
        <w:bidi w:val="0"/>
        <w:spacing w:lineRule="auto" w:line="268" w:before="0" w:after="0"/>
        <w:ind w:left="0" w:right="0" w:hanging="360"/>
        <w:jc w:val="both"/>
        <w:rPr>
          <w:rFonts w:ascii="Arial;sans-serif" w:hAnsi="Arial;sans-serif"/>
          <w:b/>
          <w:i/>
          <w:color w:val="00539B"/>
          <w:sz w:val="19"/>
        </w:rPr>
      </w:pPr>
      <w:r>
        <w:rPr>
          <w:rFonts w:ascii="Arial;sans-serif" w:hAnsi="Arial;sans-serif"/>
          <w:b/>
          <w:i/>
          <w:color w:val="00539B"/>
          <w:sz w:val="19"/>
        </w:rPr>
        <w:t>First six months of 2026 compared to the first six months of 2025</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Net sales increased to $13.3 billion for the six months ended June 30, 2026, compared to $11.0 billion for the same period in 2025, primarily due to higher realized crude oil prices in the oil and gas segment, higher sulfur prices at Al Hosn, and higher marketing margins related to the timing of crude sales and natural gas transportation capacity optimization activities in the Permian. These increases were partially offset by lower domestic realized natural gas prices and derivative losses on the crude oil collars in the oil and gas segment.</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Income tax expense increased to $1.1 billion for the six months ended June 30, 2026, compared to $569 million for the same period in 2025, primarily due to higher pre-tax income in the six months ended June 30, 2026.</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410" w:type="dxa"/>
        <w:jc w:val="left"/>
        <w:tblInd w:w="0" w:type="dxa"/>
        <w:tblLayout w:type="fixed"/>
        <w:tblCellMar>
          <w:top w:w="28" w:type="dxa"/>
          <w:left w:w="28" w:type="dxa"/>
          <w:bottom w:w="28" w:type="dxa"/>
          <w:right w:w="28" w:type="dxa"/>
        </w:tblCellMar>
      </w:tblPr>
      <w:tblGrid>
        <w:gridCol w:w="1411"/>
        <w:gridCol w:w="1241"/>
        <w:gridCol w:w="1758"/>
      </w:tblGrid>
      <w:tr>
        <w:trPr/>
        <w:tc>
          <w:tcPr>
            <w:tcW w:w="1411"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12" w:space="0" w:color="00539B"/>
              <w:bottom w:val="single" w:sz="12" w:space="0" w:color="00539B"/>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539B"/>
                <w:sz w:val="28"/>
              </w:rPr>
            </w:pPr>
            <w:r>
              <w:rPr>
                <w:rFonts w:ascii="Arial Narrow;sans-serif" w:hAnsi="Arial Narrow;sans-serif"/>
                <w:b/>
                <w:color w:val="00539B"/>
                <w:sz w:val="28"/>
              </w:rPr>
              <w:t>SEGMENT RESULTS OF OPERATIONS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color w:val="00539B"/>
          <w:sz w:val="23"/>
        </w:rPr>
      </w:pPr>
      <w:r>
        <w:rPr>
          <w:rFonts w:ascii="Arial;sans-serif" w:hAnsi="Arial;sans-serif"/>
          <w:b/>
          <w:color w:val="00539B"/>
          <w:sz w:val="23"/>
        </w:rPr>
        <w:t>OVERVIEW OF SEGMENT RESULTS</w:t>
      </w:r>
    </w:p>
    <w:p>
      <w:pPr>
        <w:pStyle w:val="TextBody"/>
        <w:bidi w:val="0"/>
        <w:spacing w:lineRule="auto" w:line="288" w:before="0" w:after="0"/>
        <w:ind w:left="0" w:right="0" w:firstLine="270"/>
        <w:jc w:val="both"/>
        <w:rPr/>
      </w:pPr>
      <w:r>
        <w:rPr>
          <w:rFonts w:ascii="Arial;sans-serif" w:hAnsi="Arial;sans-serif"/>
          <w:b w:val="false"/>
          <w:color w:val="000000"/>
          <w:sz w:val="19"/>
        </w:rPr>
        <w:t>The Company's principal businesses consist of two reporting segments: oil and gas and midstream and marketing. The oil and gas segment explores for, develops and produces oil and condensate, NGL and natural gas. The midstream and marketing segment purchases, markets, gathers, processes, transports and stores oil (including condensate), NGL, natural gas, CO</w:t>
      </w:r>
      <w:r>
        <w:rPr>
          <w:rFonts w:ascii="Arial;sans-serif" w:hAnsi="Arial;sans-serif"/>
          <w:b w:val="false"/>
          <w:color w:val="000000"/>
          <w:sz w:val="12"/>
        </w:rPr>
        <w:t>2</w:t>
      </w:r>
      <w:r>
        <w:rPr>
          <w:color w:val="000000"/>
        </w:rPr>
        <w:t xml:space="preserve"> </w:t>
      </w:r>
      <w:r>
        <w:rPr>
          <w:rFonts w:ascii="Arial;sans-serif" w:hAnsi="Arial;sans-serif"/>
          <w:b w:val="false"/>
          <w:color w:val="000000"/>
          <w:sz w:val="19"/>
        </w:rPr>
        <w:t xml:space="preserve">and power; optimizes its transportation and storage capacity; and invests in entities that conduct similar activities, including WES. The midstream and marketing segment also includes the Company's low-carbon ventures businesses. </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539B"/>
          <w:sz w:val="23"/>
        </w:rPr>
      </w:pPr>
      <w:r>
        <w:rPr>
          <w:rFonts w:ascii="Arial;sans-serif" w:hAnsi="Arial;sans-serif"/>
          <w:b/>
          <w:color w:val="00539B"/>
          <w:sz w:val="23"/>
        </w:rPr>
        <w:t>OIL AND GAS SEGMENT</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following table sets forth average daily sales volumes for oil and NGL in Mbbl and for natural gas in MMcf:</w:t>
      </w:r>
    </w:p>
    <w:p>
      <w:pPr>
        <w:pStyle w:val="TextBody"/>
        <w:bidi w:val="0"/>
        <w:spacing w:before="0" w:after="0"/>
        <w:jc w:val="both"/>
        <w:rPr/>
      </w:pPr>
      <w:r>
        <w:rPr/>
      </w:r>
    </w:p>
    <w:tbl>
      <w:tblPr>
        <w:tblW w:w="8504" w:type="dxa"/>
        <w:jc w:val="left"/>
        <w:tblInd w:w="0" w:type="dxa"/>
        <w:tblLayout w:type="fixed"/>
        <w:tblCellMar>
          <w:top w:w="28" w:type="dxa"/>
          <w:left w:w="28" w:type="dxa"/>
          <w:bottom w:w="28" w:type="dxa"/>
          <w:right w:w="28" w:type="dxa"/>
        </w:tblCellMar>
      </w:tblPr>
      <w:tblGrid>
        <w:gridCol w:w="1063"/>
        <w:gridCol w:w="935"/>
        <w:gridCol w:w="942"/>
        <w:gridCol w:w="455"/>
        <w:gridCol w:w="455"/>
        <w:gridCol w:w="455"/>
        <w:gridCol w:w="484"/>
        <w:gridCol w:w="484"/>
        <w:gridCol w:w="487"/>
        <w:gridCol w:w="455"/>
        <w:gridCol w:w="455"/>
        <w:gridCol w:w="455"/>
        <w:gridCol w:w="401"/>
        <w:gridCol w:w="401"/>
        <w:gridCol w:w="577"/>
      </w:tblGrid>
      <w:tr>
        <w:trPr/>
        <w:tc>
          <w:tcPr>
            <w:tcW w:w="106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Three months ended</w:t>
            </w:r>
          </w:p>
        </w:tc>
        <w:tc>
          <w:tcPr>
            <w:tcW w:w="2744"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Six months ended</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June 30, 2026</w:t>
            </w:r>
          </w:p>
        </w:tc>
        <w:tc>
          <w:tcPr>
            <w:tcW w:w="1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March 31, 2026</w:t>
            </w:r>
          </w:p>
        </w:tc>
        <w:tc>
          <w:tcPr>
            <w:tcW w:w="13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June 30, 2026</w:t>
            </w:r>
          </w:p>
        </w:tc>
        <w:tc>
          <w:tcPr>
            <w:tcW w:w="13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9"/>
              </w:rPr>
            </w:pPr>
            <w:r>
              <w:rPr>
                <w:rFonts w:ascii="Arial;sans-serif" w:hAnsi="Arial;sans-serif"/>
                <w:b w:val="false"/>
                <w:color w:val="000000"/>
                <w:sz w:val="19"/>
              </w:rPr>
              <w:t>June 30, 2025</w:t>
            </w:r>
          </w:p>
        </w:tc>
      </w:tr>
      <w:tr>
        <w:trPr/>
        <w:tc>
          <w:tcPr>
            <w:tcW w:w="29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Sales Volumes per Day</w:t>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Oil (Mbbl)</w:t>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United States</w:t>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614</w:t>
            </w:r>
            <w:r>
              <w:rPr>
                <w:color w:val="00539B"/>
              </w:rPr>
              <w:t> </w:t>
            </w:r>
          </w:p>
        </w:tc>
        <w:tc>
          <w:tcPr>
            <w:tcW w:w="4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612 </w:t>
            </w:r>
          </w:p>
        </w:tc>
        <w:tc>
          <w:tcPr>
            <w:tcW w:w="4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613</w:t>
            </w:r>
            <w:r>
              <w:rPr>
                <w:color w:val="00539B"/>
              </w:rPr>
              <w:t> </w:t>
            </w:r>
          </w:p>
        </w:tc>
        <w:tc>
          <w:tcPr>
            <w:tcW w:w="4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603 </w:t>
            </w:r>
          </w:p>
        </w:tc>
        <w:tc>
          <w:tcPr>
            <w:tcW w:w="5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International</w:t>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100</w:t>
            </w:r>
            <w:r>
              <w:rPr>
                <w:color w:val="00539B"/>
              </w:rPr>
              <w:t> </w:t>
            </w:r>
          </w:p>
        </w:tc>
        <w:tc>
          <w:tcPr>
            <w:tcW w:w="4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107 </w:t>
            </w:r>
          </w:p>
        </w:tc>
        <w:tc>
          <w:tcPr>
            <w:tcW w:w="4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104</w:t>
            </w:r>
            <w:r>
              <w:rPr>
                <w:color w:val="00539B"/>
              </w:rPr>
              <w:t> </w:t>
            </w:r>
          </w:p>
        </w:tc>
        <w:tc>
          <w:tcPr>
            <w:tcW w:w="4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107 </w:t>
            </w:r>
          </w:p>
        </w:tc>
        <w:tc>
          <w:tcPr>
            <w:tcW w:w="5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NGL (Mbbl)</w:t>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United States </w:t>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303</w:t>
            </w:r>
            <w:r>
              <w:rPr>
                <w:color w:val="00539B"/>
              </w:rPr>
              <w:t> </w:t>
            </w:r>
          </w:p>
        </w:tc>
        <w:tc>
          <w:tcPr>
            <w:tcW w:w="4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292 </w:t>
            </w:r>
          </w:p>
        </w:tc>
        <w:tc>
          <w:tcPr>
            <w:tcW w:w="4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298</w:t>
            </w:r>
            <w:r>
              <w:rPr>
                <w:color w:val="00539B"/>
              </w:rPr>
              <w:t> </w:t>
            </w:r>
          </w:p>
        </w:tc>
        <w:tc>
          <w:tcPr>
            <w:tcW w:w="4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276 </w:t>
            </w:r>
          </w:p>
        </w:tc>
        <w:tc>
          <w:tcPr>
            <w:tcW w:w="5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International</w:t>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29</w:t>
            </w:r>
            <w:r>
              <w:rPr>
                <w:color w:val="00539B"/>
              </w:rPr>
              <w:t> </w:t>
            </w:r>
          </w:p>
        </w:tc>
        <w:tc>
          <w:tcPr>
            <w:tcW w:w="4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35 </w:t>
            </w:r>
          </w:p>
        </w:tc>
        <w:tc>
          <w:tcPr>
            <w:tcW w:w="4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32</w:t>
            </w:r>
            <w:r>
              <w:rPr>
                <w:color w:val="00539B"/>
              </w:rPr>
              <w:t> </w:t>
            </w:r>
          </w:p>
        </w:tc>
        <w:tc>
          <w:tcPr>
            <w:tcW w:w="4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38 </w:t>
            </w:r>
          </w:p>
        </w:tc>
        <w:tc>
          <w:tcPr>
            <w:tcW w:w="5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Natural Gas (MMcf)</w:t>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United States </w:t>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1,867</w:t>
            </w:r>
            <w:r>
              <w:rPr>
                <w:color w:val="00539B"/>
              </w:rPr>
              <w:t> </w:t>
            </w:r>
          </w:p>
        </w:tc>
        <w:tc>
          <w:tcPr>
            <w:tcW w:w="4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1,813 </w:t>
            </w:r>
          </w:p>
        </w:tc>
        <w:tc>
          <w:tcPr>
            <w:tcW w:w="4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1,836</w:t>
            </w:r>
            <w:r>
              <w:rPr>
                <w:color w:val="00539B"/>
              </w:rPr>
              <w:t> </w:t>
            </w:r>
          </w:p>
        </w:tc>
        <w:tc>
          <w:tcPr>
            <w:tcW w:w="4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1,728 </w:t>
            </w:r>
          </w:p>
        </w:tc>
        <w:tc>
          <w:tcPr>
            <w:tcW w:w="5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International</w:t>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453</w:t>
            </w:r>
            <w:r>
              <w:rPr>
                <w:color w:val="00539B"/>
              </w:rPr>
              <w:t> </w:t>
            </w:r>
          </w:p>
        </w:tc>
        <w:tc>
          <w:tcPr>
            <w:tcW w:w="4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478 </w:t>
            </w:r>
          </w:p>
        </w:tc>
        <w:tc>
          <w:tcPr>
            <w:tcW w:w="4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464</w:t>
            </w:r>
            <w:r>
              <w:rPr>
                <w:color w:val="00539B"/>
              </w:rPr>
              <w:t> </w:t>
            </w:r>
          </w:p>
        </w:tc>
        <w:tc>
          <w:tcPr>
            <w:tcW w:w="4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493 </w:t>
            </w:r>
          </w:p>
        </w:tc>
        <w:tc>
          <w:tcPr>
            <w:tcW w:w="5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19"/>
              </w:rPr>
              <w:t xml:space="preserve">Total Sales Volumes (Mboe) </w:t>
            </w:r>
            <w:r>
              <w:rPr>
                <w:rFonts w:ascii="Arial;sans-serif" w:hAnsi="Arial;sans-serif"/>
                <w:b/>
                <w:color w:val="000000"/>
                <w:sz w:val="12"/>
              </w:rPr>
              <w:t>(a)</w:t>
            </w:r>
          </w:p>
        </w:tc>
        <w:tc>
          <w:tcPr>
            <w:tcW w:w="910"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1,433</w:t>
            </w:r>
            <w:r>
              <w:rPr>
                <w:color w:val="00539B"/>
              </w:rPr>
              <w:t> </w:t>
            </w:r>
          </w:p>
        </w:tc>
        <w:tc>
          <w:tcPr>
            <w:tcW w:w="45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1,428 </w:t>
            </w:r>
          </w:p>
        </w:tc>
        <w:tc>
          <w:tcPr>
            <w:tcW w:w="48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1,430</w:t>
            </w:r>
            <w:r>
              <w:rPr>
                <w:color w:val="00539B"/>
              </w:rPr>
              <w:t> </w:t>
            </w:r>
          </w:p>
        </w:tc>
        <w:tc>
          <w:tcPr>
            <w:tcW w:w="45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1,394 </w:t>
            </w:r>
          </w:p>
        </w:tc>
        <w:tc>
          <w:tcPr>
            <w:tcW w:w="57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2"/>
        </w:rPr>
        <w:t>(a)    </w:t>
      </w:r>
      <w:r>
        <w:rPr>
          <w:rFonts w:ascii="Arial;sans-serif" w:hAnsi="Arial;sans-serif"/>
          <w:b w:val="false"/>
          <w:color w:val="000000"/>
          <w:sz w:val="18"/>
        </w:rPr>
        <w:t>Natural gas volumes have been converted to Boe based on energy content of six Mcf of gas to one barrel of oil. Conversion to Boe does not necessarily result in price equivalency.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following table presents the Company's average realized prices and average index prices for the periods presented: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754"/>
        <w:gridCol w:w="1474"/>
        <w:gridCol w:w="1484"/>
        <w:gridCol w:w="501"/>
        <w:gridCol w:w="294"/>
        <w:gridCol w:w="679"/>
        <w:gridCol w:w="260"/>
        <w:gridCol w:w="438"/>
        <w:gridCol w:w="261"/>
        <w:gridCol w:w="590"/>
        <w:gridCol w:w="412"/>
        <w:gridCol w:w="244"/>
        <w:gridCol w:w="563"/>
        <w:gridCol w:w="394"/>
        <w:gridCol w:w="231"/>
        <w:gridCol w:w="626"/>
      </w:tblGrid>
      <w:tr>
        <w:trPr/>
        <w:tc>
          <w:tcPr>
            <w:tcW w:w="1754"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47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4"/>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Three months ended</w:t>
            </w:r>
          </w:p>
        </w:tc>
        <w:tc>
          <w:tcPr>
            <w:tcW w:w="250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Six months ended</w:t>
            </w:r>
          </w:p>
        </w:tc>
        <w:tc>
          <w:tcPr>
            <w:tcW w:w="1251" w:type="dxa"/>
            <w:gridSpan w:val="3"/>
            <w:tcBorders/>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June 30, 2026</w:t>
            </w:r>
          </w:p>
        </w:tc>
        <w:tc>
          <w:tcPr>
            <w:tcW w:w="260" w:type="dxa"/>
            <w:tcBorders/>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March 31, 2026</w:t>
            </w:r>
          </w:p>
        </w:tc>
        <w:tc>
          <w:tcPr>
            <w:tcW w:w="12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June 30, 2026</w:t>
            </w:r>
          </w:p>
        </w:tc>
        <w:tc>
          <w:tcPr>
            <w:tcW w:w="12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June 30, 2025</w:t>
            </w:r>
          </w:p>
        </w:tc>
      </w:tr>
      <w:tr>
        <w:trPr/>
        <w:tc>
          <w:tcPr>
            <w:tcW w:w="47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Average Realized Prices</w:t>
            </w:r>
          </w:p>
        </w:tc>
        <w:tc>
          <w:tcPr>
            <w:tcW w:w="1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Oil ($/Bbl)</w:t>
            </w:r>
          </w:p>
        </w:tc>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United States</w:t>
            </w:r>
          </w:p>
        </w:tc>
        <w:tc>
          <w:tcPr>
            <w:tcW w:w="50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96.93</w:t>
            </w:r>
          </w:p>
        </w:tc>
        <w:tc>
          <w:tcPr>
            <w:tcW w:w="260" w:type="dxa"/>
            <w:tcBorders/>
            <w:vAlign w:val="center"/>
          </w:tcPr>
          <w:p>
            <w:pPr>
              <w:pStyle w:val="TableContents"/>
              <w:bidi w:val="0"/>
              <w:spacing w:before="0" w:after="283"/>
              <w:jc w:val="left"/>
              <w:rPr>
                <w:sz w:val="4"/>
                <w:szCs w:val="4"/>
              </w:rPr>
            </w:pPr>
            <w:r>
              <w:rPr>
                <w:sz w:val="4"/>
                <w:szCs w:val="4"/>
              </w:rPr>
            </w:r>
          </w:p>
        </w:tc>
        <w:tc>
          <w:tcPr>
            <w:tcW w:w="4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70.31</w:t>
            </w:r>
          </w:p>
        </w:tc>
        <w:tc>
          <w:tcPr>
            <w:tcW w:w="41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83.72</w:t>
            </w:r>
          </w:p>
        </w:tc>
        <w:tc>
          <w:tcPr>
            <w:tcW w:w="39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66.78</w:t>
            </w:r>
          </w:p>
        </w:tc>
      </w:tr>
      <w:tr>
        <w:trPr/>
        <w:tc>
          <w:tcPr>
            <w:tcW w:w="4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International</w:t>
            </w:r>
          </w:p>
        </w:tc>
        <w:tc>
          <w:tcPr>
            <w:tcW w:w="50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95.83</w:t>
            </w:r>
          </w:p>
        </w:tc>
        <w:tc>
          <w:tcPr>
            <w:tcW w:w="260" w:type="dxa"/>
            <w:tcBorders/>
            <w:vAlign w:val="center"/>
          </w:tcPr>
          <w:p>
            <w:pPr>
              <w:pStyle w:val="TableContents"/>
              <w:bidi w:val="0"/>
              <w:spacing w:before="0" w:after="283"/>
              <w:jc w:val="left"/>
              <w:rPr>
                <w:sz w:val="4"/>
                <w:szCs w:val="4"/>
              </w:rPr>
            </w:pPr>
            <w:r>
              <w:rPr>
                <w:sz w:val="4"/>
                <w:szCs w:val="4"/>
              </w:rPr>
            </w:r>
          </w:p>
        </w:tc>
        <w:tc>
          <w:tcPr>
            <w:tcW w:w="4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67.59</w:t>
            </w:r>
          </w:p>
        </w:tc>
        <w:tc>
          <w:tcPr>
            <w:tcW w:w="41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81.32</w:t>
            </w:r>
          </w:p>
        </w:tc>
        <w:tc>
          <w:tcPr>
            <w:tcW w:w="39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70.67</w:t>
            </w:r>
          </w:p>
        </w:tc>
      </w:tr>
      <w:tr>
        <w:trPr/>
        <w:tc>
          <w:tcPr>
            <w:tcW w:w="4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Worldwide</w:t>
            </w:r>
          </w:p>
        </w:tc>
        <w:tc>
          <w:tcPr>
            <w:tcW w:w="50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96.78</w:t>
            </w:r>
          </w:p>
        </w:tc>
        <w:tc>
          <w:tcPr>
            <w:tcW w:w="260" w:type="dxa"/>
            <w:tcBorders/>
            <w:vAlign w:val="center"/>
          </w:tcPr>
          <w:p>
            <w:pPr>
              <w:pStyle w:val="TableContents"/>
              <w:bidi w:val="0"/>
              <w:spacing w:before="0" w:after="283"/>
              <w:jc w:val="left"/>
              <w:rPr>
                <w:sz w:val="4"/>
                <w:szCs w:val="4"/>
              </w:rPr>
            </w:pPr>
            <w:r>
              <w:rPr>
                <w:sz w:val="4"/>
                <w:szCs w:val="4"/>
              </w:rPr>
            </w:r>
          </w:p>
        </w:tc>
        <w:tc>
          <w:tcPr>
            <w:tcW w:w="4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69.91</w:t>
            </w:r>
          </w:p>
        </w:tc>
        <w:tc>
          <w:tcPr>
            <w:tcW w:w="41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83.37</w:t>
            </w:r>
          </w:p>
        </w:tc>
        <w:tc>
          <w:tcPr>
            <w:tcW w:w="39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67.37</w:t>
            </w:r>
          </w:p>
        </w:tc>
      </w:tr>
      <w:tr>
        <w:trPr/>
        <w:tc>
          <w:tcPr>
            <w:tcW w:w="4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NGL ($/Bbl)</w:t>
            </w:r>
          </w:p>
        </w:tc>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United States</w:t>
            </w:r>
          </w:p>
        </w:tc>
        <w:tc>
          <w:tcPr>
            <w:tcW w:w="50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23.79</w:t>
            </w:r>
          </w:p>
        </w:tc>
        <w:tc>
          <w:tcPr>
            <w:tcW w:w="260" w:type="dxa"/>
            <w:tcBorders/>
            <w:vAlign w:val="center"/>
          </w:tcPr>
          <w:p>
            <w:pPr>
              <w:pStyle w:val="TableContents"/>
              <w:bidi w:val="0"/>
              <w:spacing w:before="0" w:after="283"/>
              <w:jc w:val="left"/>
              <w:rPr>
                <w:sz w:val="4"/>
                <w:szCs w:val="4"/>
              </w:rPr>
            </w:pPr>
            <w:r>
              <w:rPr>
                <w:sz w:val="4"/>
                <w:szCs w:val="4"/>
              </w:rPr>
            </w:r>
          </w:p>
        </w:tc>
        <w:tc>
          <w:tcPr>
            <w:tcW w:w="4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18.45</w:t>
            </w:r>
          </w:p>
        </w:tc>
        <w:tc>
          <w:tcPr>
            <w:tcW w:w="41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21.19</w:t>
            </w:r>
          </w:p>
        </w:tc>
        <w:tc>
          <w:tcPr>
            <w:tcW w:w="39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22.81</w:t>
            </w:r>
          </w:p>
        </w:tc>
      </w:tr>
      <w:tr>
        <w:trPr/>
        <w:tc>
          <w:tcPr>
            <w:tcW w:w="4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International</w:t>
            </w:r>
          </w:p>
        </w:tc>
        <w:tc>
          <w:tcPr>
            <w:tcW w:w="50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33.49</w:t>
            </w:r>
          </w:p>
        </w:tc>
        <w:tc>
          <w:tcPr>
            <w:tcW w:w="260" w:type="dxa"/>
            <w:tcBorders/>
            <w:vAlign w:val="center"/>
          </w:tcPr>
          <w:p>
            <w:pPr>
              <w:pStyle w:val="TableContents"/>
              <w:bidi w:val="0"/>
              <w:spacing w:before="0" w:after="283"/>
              <w:jc w:val="left"/>
              <w:rPr>
                <w:sz w:val="4"/>
                <w:szCs w:val="4"/>
              </w:rPr>
            </w:pPr>
            <w:r>
              <w:rPr>
                <w:sz w:val="4"/>
                <w:szCs w:val="4"/>
              </w:rPr>
            </w:r>
          </w:p>
        </w:tc>
        <w:tc>
          <w:tcPr>
            <w:tcW w:w="4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23.52</w:t>
            </w:r>
          </w:p>
        </w:tc>
        <w:tc>
          <w:tcPr>
            <w:tcW w:w="41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28.08</w:t>
            </w:r>
          </w:p>
        </w:tc>
        <w:tc>
          <w:tcPr>
            <w:tcW w:w="39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26.80</w:t>
            </w:r>
          </w:p>
        </w:tc>
      </w:tr>
      <w:tr>
        <w:trPr/>
        <w:tc>
          <w:tcPr>
            <w:tcW w:w="4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Worldwide</w:t>
            </w:r>
          </w:p>
        </w:tc>
        <w:tc>
          <w:tcPr>
            <w:tcW w:w="50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24.64</w:t>
            </w:r>
          </w:p>
        </w:tc>
        <w:tc>
          <w:tcPr>
            <w:tcW w:w="260" w:type="dxa"/>
            <w:tcBorders/>
            <w:vAlign w:val="center"/>
          </w:tcPr>
          <w:p>
            <w:pPr>
              <w:pStyle w:val="TableContents"/>
              <w:bidi w:val="0"/>
              <w:spacing w:before="0" w:after="283"/>
              <w:jc w:val="left"/>
              <w:rPr>
                <w:sz w:val="4"/>
                <w:szCs w:val="4"/>
              </w:rPr>
            </w:pPr>
            <w:r>
              <w:rPr>
                <w:sz w:val="4"/>
                <w:szCs w:val="4"/>
              </w:rPr>
            </w:r>
          </w:p>
        </w:tc>
        <w:tc>
          <w:tcPr>
            <w:tcW w:w="4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18.99</w:t>
            </w:r>
          </w:p>
        </w:tc>
        <w:tc>
          <w:tcPr>
            <w:tcW w:w="41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21.86</w:t>
            </w:r>
          </w:p>
        </w:tc>
        <w:tc>
          <w:tcPr>
            <w:tcW w:w="39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23.29</w:t>
            </w:r>
          </w:p>
        </w:tc>
      </w:tr>
      <w:tr>
        <w:trPr/>
        <w:tc>
          <w:tcPr>
            <w:tcW w:w="4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Natural Gas ($/Mcf)</w:t>
            </w:r>
          </w:p>
        </w:tc>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United States</w:t>
            </w:r>
          </w:p>
        </w:tc>
        <w:tc>
          <w:tcPr>
            <w:tcW w:w="50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(1.48)</w:t>
            </w:r>
          </w:p>
        </w:tc>
        <w:tc>
          <w:tcPr>
            <w:tcW w:w="260" w:type="dxa"/>
            <w:tcBorders/>
            <w:vAlign w:val="center"/>
          </w:tcPr>
          <w:p>
            <w:pPr>
              <w:pStyle w:val="TableContents"/>
              <w:bidi w:val="0"/>
              <w:spacing w:before="0" w:after="283"/>
              <w:jc w:val="left"/>
              <w:rPr>
                <w:sz w:val="4"/>
                <w:szCs w:val="4"/>
              </w:rPr>
            </w:pPr>
            <w:r>
              <w:rPr>
                <w:sz w:val="4"/>
                <w:szCs w:val="4"/>
              </w:rPr>
            </w:r>
          </w:p>
        </w:tc>
        <w:tc>
          <w:tcPr>
            <w:tcW w:w="4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1.01</w:t>
            </w:r>
          </w:p>
        </w:tc>
        <w:tc>
          <w:tcPr>
            <w:tcW w:w="41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(0.26)</w:t>
            </w:r>
          </w:p>
        </w:tc>
        <w:tc>
          <w:tcPr>
            <w:tcW w:w="39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1.88</w:t>
            </w:r>
          </w:p>
        </w:tc>
      </w:tr>
      <w:tr>
        <w:trPr/>
        <w:tc>
          <w:tcPr>
            <w:tcW w:w="4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International</w:t>
            </w:r>
          </w:p>
        </w:tc>
        <w:tc>
          <w:tcPr>
            <w:tcW w:w="50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1.95</w:t>
            </w:r>
          </w:p>
        </w:tc>
        <w:tc>
          <w:tcPr>
            <w:tcW w:w="260" w:type="dxa"/>
            <w:tcBorders/>
            <w:vAlign w:val="center"/>
          </w:tcPr>
          <w:p>
            <w:pPr>
              <w:pStyle w:val="TableContents"/>
              <w:bidi w:val="0"/>
              <w:spacing w:before="0" w:after="283"/>
              <w:jc w:val="left"/>
              <w:rPr>
                <w:sz w:val="4"/>
                <w:szCs w:val="4"/>
              </w:rPr>
            </w:pPr>
            <w:r>
              <w:rPr>
                <w:sz w:val="4"/>
                <w:szCs w:val="4"/>
              </w:rPr>
            </w:r>
          </w:p>
        </w:tc>
        <w:tc>
          <w:tcPr>
            <w:tcW w:w="4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1.93</w:t>
            </w:r>
          </w:p>
        </w:tc>
        <w:tc>
          <w:tcPr>
            <w:tcW w:w="41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1.94</w:t>
            </w:r>
          </w:p>
        </w:tc>
        <w:tc>
          <w:tcPr>
            <w:tcW w:w="39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1.90</w:t>
            </w:r>
          </w:p>
        </w:tc>
      </w:tr>
      <w:tr>
        <w:trPr/>
        <w:tc>
          <w:tcPr>
            <w:tcW w:w="4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Worldwide</w:t>
            </w:r>
          </w:p>
        </w:tc>
        <w:tc>
          <w:tcPr>
            <w:tcW w:w="50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(0.80)</w:t>
            </w:r>
          </w:p>
        </w:tc>
        <w:tc>
          <w:tcPr>
            <w:tcW w:w="260" w:type="dxa"/>
            <w:tcBorders/>
            <w:vAlign w:val="center"/>
          </w:tcPr>
          <w:p>
            <w:pPr>
              <w:pStyle w:val="TableContents"/>
              <w:bidi w:val="0"/>
              <w:spacing w:before="0" w:after="283"/>
              <w:jc w:val="left"/>
              <w:rPr>
                <w:sz w:val="4"/>
                <w:szCs w:val="4"/>
              </w:rPr>
            </w:pPr>
            <w:r>
              <w:rPr>
                <w:sz w:val="4"/>
                <w:szCs w:val="4"/>
              </w:rPr>
            </w:r>
          </w:p>
        </w:tc>
        <w:tc>
          <w:tcPr>
            <w:tcW w:w="4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1.20</w:t>
            </w:r>
          </w:p>
        </w:tc>
        <w:tc>
          <w:tcPr>
            <w:tcW w:w="41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0.19</w:t>
            </w:r>
          </w:p>
        </w:tc>
        <w:tc>
          <w:tcPr>
            <w:tcW w:w="39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1.88</w:t>
            </w:r>
          </w:p>
        </w:tc>
      </w:tr>
      <w:tr>
        <w:trPr/>
        <w:tc>
          <w:tcPr>
            <w:tcW w:w="4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Average Index Prices</w:t>
            </w:r>
          </w:p>
        </w:tc>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WTI oil ($/Bbl)</w:t>
            </w:r>
          </w:p>
        </w:tc>
        <w:tc>
          <w:tcPr>
            <w:tcW w:w="50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92.79</w:t>
            </w:r>
          </w:p>
        </w:tc>
        <w:tc>
          <w:tcPr>
            <w:tcW w:w="260" w:type="dxa"/>
            <w:tcBorders/>
            <w:vAlign w:val="center"/>
          </w:tcPr>
          <w:p>
            <w:pPr>
              <w:pStyle w:val="TableContents"/>
              <w:bidi w:val="0"/>
              <w:spacing w:before="0" w:after="283"/>
              <w:jc w:val="left"/>
              <w:rPr>
                <w:sz w:val="4"/>
                <w:szCs w:val="4"/>
              </w:rPr>
            </w:pPr>
            <w:r>
              <w:rPr>
                <w:sz w:val="4"/>
                <w:szCs w:val="4"/>
              </w:rPr>
            </w:r>
          </w:p>
        </w:tc>
        <w:tc>
          <w:tcPr>
            <w:tcW w:w="4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71.93</w:t>
            </w:r>
          </w:p>
        </w:tc>
        <w:tc>
          <w:tcPr>
            <w:tcW w:w="41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82.36</w:t>
            </w:r>
          </w:p>
        </w:tc>
        <w:tc>
          <w:tcPr>
            <w:tcW w:w="39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67.58</w:t>
            </w:r>
          </w:p>
        </w:tc>
      </w:tr>
      <w:tr>
        <w:trPr/>
        <w:tc>
          <w:tcPr>
            <w:tcW w:w="4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Brent oil ($/Bbl)</w:t>
            </w:r>
          </w:p>
        </w:tc>
        <w:tc>
          <w:tcPr>
            <w:tcW w:w="50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97.06</w:t>
            </w:r>
          </w:p>
        </w:tc>
        <w:tc>
          <w:tcPr>
            <w:tcW w:w="260" w:type="dxa"/>
            <w:tcBorders/>
            <w:vAlign w:val="center"/>
          </w:tcPr>
          <w:p>
            <w:pPr>
              <w:pStyle w:val="TableContents"/>
              <w:bidi w:val="0"/>
              <w:spacing w:before="0" w:after="283"/>
              <w:jc w:val="left"/>
              <w:rPr>
                <w:sz w:val="4"/>
                <w:szCs w:val="4"/>
              </w:rPr>
            </w:pPr>
            <w:r>
              <w:rPr>
                <w:sz w:val="4"/>
                <w:szCs w:val="4"/>
              </w:rPr>
            </w:r>
          </w:p>
        </w:tc>
        <w:tc>
          <w:tcPr>
            <w:tcW w:w="4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77.93</w:t>
            </w:r>
          </w:p>
        </w:tc>
        <w:tc>
          <w:tcPr>
            <w:tcW w:w="41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87.49</w:t>
            </w:r>
          </w:p>
        </w:tc>
        <w:tc>
          <w:tcPr>
            <w:tcW w:w="39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70.74</w:t>
            </w:r>
          </w:p>
        </w:tc>
      </w:tr>
      <w:tr>
        <w:trPr/>
        <w:tc>
          <w:tcPr>
            <w:tcW w:w="4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NYMEX gas ($/Mcf)</w:t>
            </w:r>
          </w:p>
        </w:tc>
        <w:tc>
          <w:tcPr>
            <w:tcW w:w="50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2.89</w:t>
            </w:r>
          </w:p>
        </w:tc>
        <w:tc>
          <w:tcPr>
            <w:tcW w:w="260" w:type="dxa"/>
            <w:tcBorders/>
            <w:vAlign w:val="center"/>
          </w:tcPr>
          <w:p>
            <w:pPr>
              <w:pStyle w:val="TableContents"/>
              <w:bidi w:val="0"/>
              <w:spacing w:before="0" w:after="283"/>
              <w:jc w:val="left"/>
              <w:rPr>
                <w:sz w:val="4"/>
                <w:szCs w:val="4"/>
              </w:rPr>
            </w:pPr>
            <w:r>
              <w:rPr>
                <w:sz w:val="4"/>
                <w:szCs w:val="4"/>
              </w:rPr>
            </w:r>
          </w:p>
        </w:tc>
        <w:tc>
          <w:tcPr>
            <w:tcW w:w="4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3.93</w:t>
            </w:r>
          </w:p>
        </w:tc>
        <w:tc>
          <w:tcPr>
            <w:tcW w:w="41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3.41</w:t>
            </w:r>
          </w:p>
        </w:tc>
        <w:tc>
          <w:tcPr>
            <w:tcW w:w="39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3.65</w:t>
            </w:r>
          </w:p>
        </w:tc>
      </w:tr>
      <w:tr>
        <w:trPr/>
        <w:tc>
          <w:tcPr>
            <w:tcW w:w="4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Average Realized Prices as Percentage of Average Index Prices</w:t>
            </w:r>
          </w:p>
        </w:tc>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Worldwide oil as a percentage of average WTI</w:t>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104</w:t>
            </w:r>
            <w:r>
              <w:rPr>
                <w:color w:val="00539B"/>
              </w:rPr>
              <w:t> </w:t>
            </w:r>
          </w:p>
        </w:tc>
        <w:tc>
          <w:tcPr>
            <w:tcW w:w="6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w:t>
            </w:r>
          </w:p>
        </w:tc>
        <w:tc>
          <w:tcPr>
            <w:tcW w:w="260" w:type="dxa"/>
            <w:tcBorders/>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97 </w:t>
            </w:r>
          </w:p>
        </w:tc>
        <w:tc>
          <w:tcPr>
            <w:tcW w:w="59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65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101</w:t>
            </w:r>
            <w:r>
              <w:rPr>
                <w:color w:val="00539B"/>
              </w:rPr>
              <w:t> </w:t>
            </w:r>
          </w:p>
        </w:tc>
        <w:tc>
          <w:tcPr>
            <w:tcW w:w="56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w:t>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100 </w:t>
            </w:r>
          </w:p>
        </w:tc>
        <w:tc>
          <w:tcPr>
            <w:tcW w:w="626" w:type="dxa"/>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9"/>
              </w:rPr>
            </w:pPr>
            <w:r>
              <w:rPr>
                <w:rFonts w:ascii="Arial;sans-serif" w:hAnsi="Arial;sans-serif"/>
                <w:b w:val="false"/>
                <w:color w:val="000000"/>
                <w:sz w:val="19"/>
              </w:rPr>
              <w:t>%</w:t>
            </w:r>
          </w:p>
        </w:tc>
      </w:tr>
      <w:tr>
        <w:trPr/>
        <w:tc>
          <w:tcPr>
            <w:tcW w:w="4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Worldwide oil as a percentage of average Brent</w:t>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100</w:t>
            </w:r>
            <w:r>
              <w:rPr>
                <w:color w:val="00539B"/>
              </w:rPr>
              <w:t> </w:t>
            </w:r>
          </w:p>
        </w:tc>
        <w:tc>
          <w:tcPr>
            <w:tcW w:w="6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w:t>
            </w:r>
          </w:p>
        </w:tc>
        <w:tc>
          <w:tcPr>
            <w:tcW w:w="260" w:type="dxa"/>
            <w:tcBorders/>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90 </w:t>
            </w:r>
          </w:p>
        </w:tc>
        <w:tc>
          <w:tcPr>
            <w:tcW w:w="59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65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95</w:t>
            </w:r>
            <w:r>
              <w:rPr>
                <w:color w:val="00539B"/>
              </w:rPr>
              <w:t> </w:t>
            </w:r>
          </w:p>
        </w:tc>
        <w:tc>
          <w:tcPr>
            <w:tcW w:w="56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w:t>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95 </w:t>
            </w:r>
          </w:p>
        </w:tc>
        <w:tc>
          <w:tcPr>
            <w:tcW w:w="626" w:type="dxa"/>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9"/>
              </w:rPr>
            </w:pPr>
            <w:r>
              <w:rPr>
                <w:rFonts w:ascii="Arial;sans-serif" w:hAnsi="Arial;sans-serif"/>
                <w:b w:val="false"/>
                <w:color w:val="000000"/>
                <w:sz w:val="19"/>
              </w:rPr>
              <w:t>%</w:t>
            </w:r>
          </w:p>
        </w:tc>
      </w:tr>
      <w:tr>
        <w:trPr/>
        <w:tc>
          <w:tcPr>
            <w:tcW w:w="4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Worldwide NGL as a percentage of average WTI</w:t>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27</w:t>
            </w:r>
            <w:r>
              <w:rPr>
                <w:color w:val="00539B"/>
              </w:rPr>
              <w:t> </w:t>
            </w:r>
          </w:p>
        </w:tc>
        <w:tc>
          <w:tcPr>
            <w:tcW w:w="6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w:t>
            </w:r>
          </w:p>
        </w:tc>
        <w:tc>
          <w:tcPr>
            <w:tcW w:w="260" w:type="dxa"/>
            <w:tcBorders/>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26 </w:t>
            </w:r>
          </w:p>
        </w:tc>
        <w:tc>
          <w:tcPr>
            <w:tcW w:w="59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65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27</w:t>
            </w:r>
            <w:r>
              <w:rPr>
                <w:color w:val="00539B"/>
              </w:rPr>
              <w:t> </w:t>
            </w:r>
          </w:p>
        </w:tc>
        <w:tc>
          <w:tcPr>
            <w:tcW w:w="56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w:t>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34 </w:t>
            </w:r>
          </w:p>
        </w:tc>
        <w:tc>
          <w:tcPr>
            <w:tcW w:w="626" w:type="dxa"/>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9"/>
              </w:rPr>
            </w:pPr>
            <w:r>
              <w:rPr>
                <w:rFonts w:ascii="Arial;sans-serif" w:hAnsi="Arial;sans-serif"/>
                <w:b w:val="false"/>
                <w:color w:val="000000"/>
                <w:sz w:val="19"/>
              </w:rPr>
              <w:t>%</w:t>
            </w:r>
          </w:p>
        </w:tc>
      </w:tr>
      <w:tr>
        <w:trPr/>
        <w:tc>
          <w:tcPr>
            <w:tcW w:w="47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Domestic natural gas as a percentage of average NYMEX</w:t>
            </w:r>
          </w:p>
        </w:tc>
        <w:tc>
          <w:tcPr>
            <w:tcW w:w="795"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(51)</w:t>
            </w:r>
          </w:p>
        </w:tc>
        <w:tc>
          <w:tcPr>
            <w:tcW w:w="679"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w:t>
            </w:r>
          </w:p>
        </w:tc>
        <w:tc>
          <w:tcPr>
            <w:tcW w:w="260" w:type="dxa"/>
            <w:tcBorders/>
            <w:vAlign w:val="center"/>
          </w:tcPr>
          <w:p>
            <w:pPr>
              <w:pStyle w:val="TableContents"/>
              <w:bidi w:val="0"/>
              <w:spacing w:before="0" w:after="283"/>
              <w:jc w:val="left"/>
              <w:rPr>
                <w:sz w:val="4"/>
                <w:szCs w:val="4"/>
              </w:rPr>
            </w:pPr>
            <w:r>
              <w:rPr>
                <w:sz w:val="4"/>
                <w:szCs w:val="4"/>
              </w:rPr>
            </w:r>
          </w:p>
        </w:tc>
        <w:tc>
          <w:tcPr>
            <w:tcW w:w="699"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26 </w:t>
            </w:r>
          </w:p>
        </w:tc>
        <w:tc>
          <w:tcPr>
            <w:tcW w:w="590"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65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(8)</w:t>
            </w:r>
          </w:p>
        </w:tc>
        <w:tc>
          <w:tcPr>
            <w:tcW w:w="563"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w:t>
            </w:r>
          </w:p>
        </w:tc>
        <w:tc>
          <w:tcPr>
            <w:tcW w:w="625"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52 </w:t>
            </w:r>
          </w:p>
        </w:tc>
        <w:tc>
          <w:tcPr>
            <w:tcW w:w="62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before="0" w:after="0"/>
        <w:jc w:val="both"/>
        <w:rPr/>
      </w:pPr>
      <w:r>
        <w:rPr/>
      </w:r>
    </w:p>
    <w:p>
      <w:pPr>
        <w:pStyle w:val="TextBody"/>
        <w:bidi w:val="0"/>
        <w:spacing w:lineRule="auto" w:line="268" w:before="0" w:after="0"/>
        <w:ind w:left="0" w:right="0" w:hanging="360"/>
        <w:jc w:val="both"/>
        <w:rPr>
          <w:rFonts w:ascii="Arial;sans-serif" w:hAnsi="Arial;sans-serif"/>
          <w:b/>
          <w:i/>
          <w:color w:val="00539B"/>
          <w:sz w:val="19"/>
        </w:rPr>
      </w:pPr>
      <w:r>
        <w:rPr>
          <w:rFonts w:ascii="Arial;sans-serif" w:hAnsi="Arial;sans-serif"/>
          <w:b/>
          <w:i/>
          <w:color w:val="00539B"/>
          <w:sz w:val="19"/>
        </w:rPr>
        <w:t>Q2 2026 compared with Q1 2026</w:t>
      </w:r>
    </w:p>
    <w:p>
      <w:pPr>
        <w:pStyle w:val="TextBody"/>
        <w:bidi w:val="0"/>
        <w:spacing w:lineRule="auto" w:line="276" w:before="0" w:after="0"/>
        <w:ind w:left="0" w:right="0" w:firstLine="270"/>
        <w:jc w:val="both"/>
        <w:rPr>
          <w:rFonts w:ascii="Arial;sans-serif" w:hAnsi="Arial;sans-serif"/>
          <w:b w:val="false"/>
          <w:color w:val="000000"/>
          <w:sz w:val="19"/>
        </w:rPr>
      </w:pPr>
      <w:r>
        <w:rPr>
          <w:rFonts w:ascii="Arial;sans-serif" w:hAnsi="Arial;sans-serif"/>
          <w:b w:val="false"/>
          <w:color w:val="000000"/>
          <w:sz w:val="19"/>
        </w:rPr>
        <w:t>Oil and gas segment earnings were $2.8 billion for the three months ended June 30, 2026, compared with $1.0 billion for the three months ended March 31, 2026. The increase was primarily driven by higher realized crude oil and NGL prices and derivative gains, partially offset by lower domestic natural gas realizations.</w:t>
      </w:r>
    </w:p>
    <w:p>
      <w:pPr>
        <w:pStyle w:val="TextBody"/>
        <w:bidi w:val="0"/>
        <w:spacing w:lineRule="auto" w:line="276" w:before="0" w:after="0"/>
        <w:ind w:left="0" w:right="0" w:firstLine="270"/>
        <w:jc w:val="both"/>
        <w:rPr>
          <w:rFonts w:ascii="Arial;sans-serif" w:hAnsi="Arial;sans-serif"/>
          <w:b w:val="false"/>
          <w:color w:val="000000"/>
          <w:sz w:val="19"/>
        </w:rPr>
      </w:pPr>
      <w:r>
        <w:rPr>
          <w:rFonts w:ascii="Arial;sans-serif" w:hAnsi="Arial;sans-serif"/>
          <w:b w:val="false"/>
          <w:color w:val="000000"/>
          <w:sz w:val="19"/>
        </w:rPr>
        <w:t>Average daily sales volumes were generally consistent for the three months ended June 30, 2026, compared with the three months ended March 31, 2026, as modest increases in domestic NGL and natural gas volumes were largely offset by lower international oil, NGL, and natural gas volumes.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68" w:before="0" w:after="0"/>
        <w:ind w:left="0" w:right="0" w:hanging="360"/>
        <w:jc w:val="both"/>
        <w:rPr>
          <w:rFonts w:ascii="Arial;sans-serif" w:hAnsi="Arial;sans-serif"/>
          <w:b/>
          <w:i/>
          <w:color w:val="00539B"/>
          <w:sz w:val="19"/>
        </w:rPr>
      </w:pPr>
      <w:r>
        <w:rPr>
          <w:rFonts w:ascii="Arial;sans-serif" w:hAnsi="Arial;sans-serif"/>
          <w:b/>
          <w:i/>
          <w:color w:val="00539B"/>
          <w:sz w:val="19"/>
        </w:rPr>
        <w:t>First six months of 2026 compared to the first six months of 2025</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Oil and gas segment earnings were $3.9 billion for the six months ended June 30, 2026, compared with $2.6 billion for the same period in 2025. The increase was primarily driven by higher realized crude oil prices and higher sales volumes, partially offset by lower domestic natural gas realizations and crude oil derivative losses.</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 xml:space="preserve">Average daily sales volumes increased for the six months ended June 30, 2026, compared with the same period in 2025, primarily due to development activity and new wells coming online in the Permian and the effect in 2025 of a third-party pipeline disruption affecting the Company's Gulf of America operations. These increases were partially offset by lower international sales volumes associated with disruptions resulting from conflict in the Middle East.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following table analyzes the impacts of changes in average realized prices and sales volumes on the Company's domestic and international oil, NGL and natural gas revenues: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65"/>
        <w:gridCol w:w="556"/>
        <w:gridCol w:w="566"/>
        <w:gridCol w:w="574"/>
        <w:gridCol w:w="1758"/>
        <w:gridCol w:w="296"/>
        <w:gridCol w:w="367"/>
        <w:gridCol w:w="976"/>
        <w:gridCol w:w="161"/>
        <w:gridCol w:w="480"/>
        <w:gridCol w:w="768"/>
        <w:gridCol w:w="219"/>
        <w:gridCol w:w="566"/>
        <w:gridCol w:w="1734"/>
        <w:gridCol w:w="419"/>
      </w:tblGrid>
      <w:tr>
        <w:trPr/>
        <w:tc>
          <w:tcPr>
            <w:tcW w:w="76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1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Increase (Decrease) Related to</w:t>
            </w:r>
          </w:p>
        </w:tc>
        <w:tc>
          <w:tcPr>
            <w:tcW w:w="27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2628"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19"/>
              </w:rPr>
              <w:t xml:space="preserve">Three months ended March 31, 2026 </w:t>
            </w:r>
            <w:r>
              <w:rPr>
                <w:rFonts w:ascii="Arial;sans-serif" w:hAnsi="Arial;sans-serif"/>
                <w:b w:val="false"/>
                <w:color w:val="000000"/>
                <w:sz w:val="12"/>
              </w:rPr>
              <w:t>(b)</w:t>
            </w:r>
          </w:p>
        </w:tc>
        <w:tc>
          <w:tcPr>
            <w:tcW w:w="15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Price Realizations</w:t>
            </w:r>
          </w:p>
        </w:tc>
        <w:tc>
          <w:tcPr>
            <w:tcW w:w="14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Net Sales Volumes</w:t>
            </w:r>
          </w:p>
        </w:tc>
        <w:tc>
          <w:tcPr>
            <w:tcW w:w="271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539B"/>
                <w:sz w:val="19"/>
              </w:rPr>
              <w:t xml:space="preserve">Three months ended June 30, 2026 </w:t>
            </w:r>
            <w:r>
              <w:rPr>
                <w:rFonts w:ascii="Arial;sans-serif" w:hAnsi="Arial;sans-serif"/>
                <w:b/>
                <w:color w:val="00539B"/>
                <w:sz w:val="12"/>
              </w:rPr>
              <w:t>(b)</w:t>
            </w:r>
          </w:p>
        </w:tc>
      </w:tr>
      <w:tr>
        <w:trPr/>
        <w:tc>
          <w:tcPr>
            <w:tcW w:w="1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United States Revenue</w:t>
            </w:r>
          </w:p>
        </w:tc>
        <w:tc>
          <w:tcPr>
            <w:tcW w:w="26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Oil</w:t>
            </w:r>
          </w:p>
        </w:tc>
        <w:tc>
          <w:tcPr>
            <w:tcW w:w="57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7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3,873 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539B"/>
                <w:sz w:val="19"/>
              </w:rPr>
            </w:pPr>
            <w:r>
              <w:rPr>
                <w:rFonts w:ascii="Arial;sans-serif" w:hAnsi="Arial;sans-serif"/>
                <w:b w:val="false"/>
                <w:color w:val="00539B"/>
                <w:sz w:val="19"/>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1,488 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539B"/>
                <w:sz w:val="19"/>
              </w:rPr>
            </w:pPr>
            <w:r>
              <w:rPr>
                <w:rFonts w:ascii="Arial;sans-serif" w:hAnsi="Arial;sans-serif"/>
                <w:b w:val="false"/>
                <w:color w:val="00539B"/>
                <w:sz w:val="19"/>
              </w:rPr>
              <w:t>$</w:t>
            </w:r>
          </w:p>
        </w:tc>
        <w:tc>
          <w:tcPr>
            <w:tcW w:w="7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56 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173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5,417</w:t>
            </w:r>
            <w:r>
              <w:rPr>
                <w:color w:val="00539B"/>
              </w:rPr>
              <w:t> </w:t>
            </w:r>
          </w:p>
        </w:tc>
        <w:tc>
          <w:tcPr>
            <w:tcW w:w="4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NGL</w:t>
            </w:r>
          </w:p>
        </w:tc>
        <w:tc>
          <w:tcPr>
            <w:tcW w:w="23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444 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155 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(7)</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173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592</w:t>
            </w:r>
            <w:r>
              <w:rPr>
                <w:color w:val="00539B"/>
              </w:rPr>
              <w:t> </w:t>
            </w:r>
          </w:p>
        </w:tc>
        <w:tc>
          <w:tcPr>
            <w:tcW w:w="4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Natural gas</w:t>
            </w:r>
          </w:p>
        </w:tc>
        <w:tc>
          <w:tcPr>
            <w:tcW w:w="23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164 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(414)</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539B"/>
              </w:rPr>
            </w:pPr>
            <w:r>
              <w:rPr>
                <w:color w:val="00539B"/>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173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(250)</w:t>
            </w:r>
          </w:p>
        </w:tc>
        <w:tc>
          <w:tcPr>
            <w:tcW w:w="4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57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75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4,481 </w:t>
            </w:r>
          </w:p>
        </w:tc>
        <w:tc>
          <w:tcPr>
            <w:tcW w:w="2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539B"/>
                <w:sz w:val="19"/>
              </w:rPr>
            </w:pPr>
            <w:r>
              <w:rPr>
                <w:rFonts w:ascii="Arial;sans-serif" w:hAnsi="Arial;sans-serif"/>
                <w:b w:val="false"/>
                <w:color w:val="00539B"/>
                <w:sz w:val="19"/>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1,229 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539B"/>
                <w:sz w:val="19"/>
              </w:rPr>
            </w:pPr>
            <w:r>
              <w:rPr>
                <w:rFonts w:ascii="Arial;sans-serif" w:hAnsi="Arial;sans-serif"/>
                <w:b w:val="false"/>
                <w:color w:val="00539B"/>
                <w:sz w:val="19"/>
              </w:rPr>
              <w:t>$</w:t>
            </w:r>
          </w:p>
        </w:tc>
        <w:tc>
          <w:tcPr>
            <w:tcW w:w="76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49 </w:t>
            </w:r>
          </w:p>
        </w:tc>
        <w:tc>
          <w:tcPr>
            <w:tcW w:w="2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173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5,759</w:t>
            </w:r>
            <w:r>
              <w:rPr>
                <w:color w:val="00539B"/>
              </w:rPr>
              <w:t> </w:t>
            </w:r>
          </w:p>
        </w:tc>
        <w:tc>
          <w:tcPr>
            <w:tcW w:w="4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International Revenue</w:t>
            </w:r>
          </w:p>
        </w:tc>
        <w:tc>
          <w:tcPr>
            <w:tcW w:w="26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Oil </w:t>
            </w:r>
            <w:r>
              <w:rPr>
                <w:rFonts w:ascii="Arial;sans-serif" w:hAnsi="Arial;sans-serif"/>
                <w:b w:val="false"/>
                <w:color w:val="000000"/>
                <w:sz w:val="12"/>
              </w:rPr>
              <w:t>(a)</w:t>
            </w:r>
          </w:p>
        </w:tc>
        <w:tc>
          <w:tcPr>
            <w:tcW w:w="57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7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650 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539B"/>
                <w:sz w:val="19"/>
              </w:rPr>
            </w:pPr>
            <w:r>
              <w:rPr>
                <w:rFonts w:ascii="Arial;sans-serif" w:hAnsi="Arial;sans-serif"/>
                <w:b w:val="false"/>
                <w:color w:val="00539B"/>
                <w:sz w:val="19"/>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188 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539B"/>
                <w:sz w:val="19"/>
              </w:rPr>
            </w:pPr>
            <w:r>
              <w:rPr>
                <w:rFonts w:ascii="Arial;sans-serif" w:hAnsi="Arial;sans-serif"/>
                <w:b w:val="false"/>
                <w:color w:val="00539B"/>
                <w:sz w:val="19"/>
              </w:rPr>
              <w:t>$</w:t>
            </w:r>
          </w:p>
        </w:tc>
        <w:tc>
          <w:tcPr>
            <w:tcW w:w="7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34 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173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872</w:t>
            </w:r>
            <w:r>
              <w:rPr>
                <w:color w:val="00539B"/>
              </w:rPr>
              <w:t> </w:t>
            </w:r>
          </w:p>
        </w:tc>
        <w:tc>
          <w:tcPr>
            <w:tcW w:w="4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NGL</w:t>
            </w:r>
          </w:p>
        </w:tc>
        <w:tc>
          <w:tcPr>
            <w:tcW w:w="23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26 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(11)</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173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89</w:t>
            </w:r>
            <w:r>
              <w:rPr>
                <w:color w:val="00539B"/>
              </w:rPr>
              <w:t> </w:t>
            </w:r>
          </w:p>
        </w:tc>
        <w:tc>
          <w:tcPr>
            <w:tcW w:w="4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Natural gas</w:t>
            </w:r>
          </w:p>
        </w:tc>
        <w:tc>
          <w:tcPr>
            <w:tcW w:w="23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(4)</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173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81</w:t>
            </w:r>
            <w:r>
              <w:rPr>
                <w:color w:val="00539B"/>
              </w:rPr>
              <w:t> </w:t>
            </w:r>
          </w:p>
        </w:tc>
        <w:tc>
          <w:tcPr>
            <w:tcW w:w="4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57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75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807 </w:t>
            </w:r>
          </w:p>
        </w:tc>
        <w:tc>
          <w:tcPr>
            <w:tcW w:w="29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539B"/>
                <w:sz w:val="19"/>
              </w:rPr>
            </w:pPr>
            <w:r>
              <w:rPr>
                <w:rFonts w:ascii="Arial;sans-serif" w:hAnsi="Arial;sans-serif"/>
                <w:b w:val="false"/>
                <w:color w:val="00539B"/>
                <w:sz w:val="19"/>
              </w:rPr>
              <w:t>$</w:t>
            </w:r>
          </w:p>
        </w:tc>
        <w:tc>
          <w:tcPr>
            <w:tcW w:w="97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216 </w:t>
            </w:r>
          </w:p>
        </w:tc>
        <w:tc>
          <w:tcPr>
            <w:tcW w:w="16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539B"/>
                <w:sz w:val="19"/>
              </w:rPr>
            </w:pPr>
            <w:r>
              <w:rPr>
                <w:rFonts w:ascii="Arial;sans-serif" w:hAnsi="Arial;sans-serif"/>
                <w:b w:val="false"/>
                <w:color w:val="00539B"/>
                <w:sz w:val="19"/>
              </w:rPr>
              <w:t>$</w:t>
            </w:r>
          </w:p>
        </w:tc>
        <w:tc>
          <w:tcPr>
            <w:tcW w:w="76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19 </w:t>
            </w:r>
          </w:p>
        </w:tc>
        <w:tc>
          <w:tcPr>
            <w:tcW w:w="21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173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1,042</w:t>
            </w:r>
            <w:r>
              <w:rPr>
                <w:color w:val="00539B"/>
              </w:rPr>
              <w:t> </w:t>
            </w:r>
          </w:p>
        </w:tc>
        <w:tc>
          <w:tcPr>
            <w:tcW w:w="41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69"/>
        <w:gridCol w:w="576"/>
        <w:gridCol w:w="586"/>
        <w:gridCol w:w="550"/>
        <w:gridCol w:w="1685"/>
        <w:gridCol w:w="283"/>
        <w:gridCol w:w="359"/>
        <w:gridCol w:w="1002"/>
        <w:gridCol w:w="165"/>
        <w:gridCol w:w="413"/>
        <w:gridCol w:w="896"/>
        <w:gridCol w:w="202"/>
        <w:gridCol w:w="512"/>
        <w:gridCol w:w="1825"/>
        <w:gridCol w:w="382"/>
      </w:tblGrid>
      <w:tr>
        <w:trPr/>
        <w:tc>
          <w:tcPr>
            <w:tcW w:w="76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1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7"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Increase (Decrease) Related to</w:t>
            </w:r>
          </w:p>
        </w:tc>
        <w:tc>
          <w:tcPr>
            <w:tcW w:w="27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2518"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19"/>
              </w:rPr>
              <w:t xml:space="preserve">Six months ended June 30, 2025 </w:t>
            </w:r>
            <w:r>
              <w:rPr>
                <w:rFonts w:ascii="Arial;sans-serif" w:hAnsi="Arial;sans-serif"/>
                <w:b w:val="false"/>
                <w:color w:val="000000"/>
                <w:sz w:val="12"/>
              </w:rPr>
              <w:t>(b)</w:t>
            </w:r>
          </w:p>
        </w:tc>
        <w:tc>
          <w:tcPr>
            <w:tcW w:w="15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Price Realizations</w:t>
            </w:r>
          </w:p>
        </w:tc>
        <w:tc>
          <w:tcPr>
            <w:tcW w:w="1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Net Sales Volumes</w:t>
            </w:r>
          </w:p>
        </w:tc>
        <w:tc>
          <w:tcPr>
            <w:tcW w:w="271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539B"/>
                <w:sz w:val="19"/>
              </w:rPr>
              <w:t xml:space="preserve">Six months ended June 30, 2026 </w:t>
            </w:r>
            <w:r>
              <w:rPr>
                <w:rFonts w:ascii="Arial;sans-serif" w:hAnsi="Arial;sans-serif"/>
                <w:b/>
                <w:color w:val="00539B"/>
                <w:sz w:val="12"/>
              </w:rPr>
              <w:t>(b)</w:t>
            </w:r>
          </w:p>
        </w:tc>
      </w:tr>
      <w:tr>
        <w:trPr/>
        <w:tc>
          <w:tcPr>
            <w:tcW w:w="1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United States Revenue</w:t>
            </w:r>
          </w:p>
        </w:tc>
        <w:tc>
          <w:tcPr>
            <w:tcW w:w="25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Oil</w:t>
            </w:r>
          </w:p>
        </w:tc>
        <w:tc>
          <w:tcPr>
            <w:tcW w:w="55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68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7,286 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539B"/>
                <w:sz w:val="19"/>
              </w:rPr>
            </w:pPr>
            <w:r>
              <w:rPr>
                <w:rFonts w:ascii="Arial;sans-serif" w:hAnsi="Arial;sans-serif"/>
                <w:b w:val="false"/>
                <w:color w:val="00539B"/>
                <w:sz w:val="19"/>
              </w:rPr>
              <w:t>$</w:t>
            </w:r>
          </w:p>
        </w:tc>
        <w:tc>
          <w:tcPr>
            <w:tcW w:w="100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1,872 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539B"/>
                <w:sz w:val="19"/>
              </w:rPr>
            </w:pPr>
            <w:r>
              <w:rPr>
                <w:rFonts w:ascii="Arial;sans-serif" w:hAnsi="Arial;sans-serif"/>
                <w:b w:val="false"/>
                <w:color w:val="00539B"/>
                <w:sz w:val="19"/>
              </w:rPr>
              <w:t>$</w:t>
            </w:r>
          </w:p>
        </w:tc>
        <w:tc>
          <w:tcPr>
            <w:tcW w:w="8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132 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20"/>
              </w:rPr>
            </w:pPr>
            <w:r>
              <w:rPr>
                <w:rFonts w:ascii="Arial;sans-serif" w:hAnsi="Arial;sans-serif"/>
                <w:b/>
                <w:color w:val="00539B"/>
                <w:sz w:val="20"/>
              </w:rPr>
              <w:t>$</w:t>
            </w:r>
          </w:p>
        </w:tc>
        <w:tc>
          <w:tcPr>
            <w:tcW w:w="182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20"/>
              </w:rPr>
              <w:t>9,290</w:t>
            </w:r>
            <w:r>
              <w:rPr>
                <w:color w:val="00539B"/>
              </w:rPr>
              <w:t> </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NGL</w:t>
            </w:r>
          </w:p>
        </w:tc>
        <w:tc>
          <w:tcPr>
            <w:tcW w:w="2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1,035 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(68)</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69 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20"/>
              </w:rPr>
              <w:t>1,036</w:t>
            </w:r>
            <w:r>
              <w:rPr>
                <w:color w:val="00539B"/>
              </w:rPr>
              <w:t> </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Natural gas</w:t>
            </w:r>
          </w:p>
        </w:tc>
        <w:tc>
          <w:tcPr>
            <w:tcW w:w="2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586 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(701)</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29 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20"/>
              </w:rPr>
            </w:pPr>
            <w:r>
              <w:rPr>
                <w:rFonts w:ascii="Arial;sans-serif" w:hAnsi="Arial;sans-serif"/>
                <w:b/>
                <w:color w:val="00539B"/>
                <w:sz w:val="20"/>
              </w:rPr>
              <w:t>(86)</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55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68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8,907 </w:t>
            </w:r>
          </w:p>
        </w:tc>
        <w:tc>
          <w:tcPr>
            <w:tcW w:w="28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539B"/>
                <w:sz w:val="19"/>
              </w:rPr>
            </w:pPr>
            <w:r>
              <w:rPr>
                <w:rFonts w:ascii="Arial;sans-serif" w:hAnsi="Arial;sans-serif"/>
                <w:b w:val="false"/>
                <w:color w:val="00539B"/>
                <w:sz w:val="19"/>
              </w:rPr>
              <w:t>$</w:t>
            </w:r>
          </w:p>
        </w:tc>
        <w:tc>
          <w:tcPr>
            <w:tcW w:w="100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1,103 </w:t>
            </w:r>
          </w:p>
        </w:tc>
        <w:tc>
          <w:tcPr>
            <w:tcW w:w="16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539B"/>
                <w:sz w:val="19"/>
              </w:rPr>
            </w:pPr>
            <w:r>
              <w:rPr>
                <w:rFonts w:ascii="Arial;sans-serif" w:hAnsi="Arial;sans-serif"/>
                <w:b w:val="false"/>
                <w:color w:val="00539B"/>
                <w:sz w:val="19"/>
              </w:rPr>
              <w:t>$</w:t>
            </w:r>
          </w:p>
        </w:tc>
        <w:tc>
          <w:tcPr>
            <w:tcW w:w="8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230 </w:t>
            </w:r>
          </w:p>
        </w:tc>
        <w:tc>
          <w:tcPr>
            <w:tcW w:w="20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182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10,240</w:t>
            </w:r>
            <w:r>
              <w:rPr>
                <w:color w:val="00539B"/>
              </w:rPr>
              <w:t> </w:t>
            </w:r>
          </w:p>
        </w:tc>
        <w:tc>
          <w:tcPr>
            <w:tcW w:w="3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International Revenue</w:t>
            </w:r>
          </w:p>
        </w:tc>
        <w:tc>
          <w:tcPr>
            <w:tcW w:w="25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Oil </w:t>
            </w:r>
            <w:r>
              <w:rPr>
                <w:rFonts w:ascii="Arial;sans-serif" w:hAnsi="Arial;sans-serif"/>
                <w:b w:val="false"/>
                <w:color w:val="000000"/>
                <w:sz w:val="12"/>
              </w:rPr>
              <w:t>(a)</w:t>
            </w:r>
          </w:p>
        </w:tc>
        <w:tc>
          <w:tcPr>
            <w:tcW w:w="55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68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1,365 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539B"/>
                <w:sz w:val="19"/>
              </w:rPr>
            </w:pPr>
            <w:r>
              <w:rPr>
                <w:rFonts w:ascii="Arial;sans-serif" w:hAnsi="Arial;sans-serif"/>
                <w:b w:val="false"/>
                <w:color w:val="00539B"/>
                <w:sz w:val="19"/>
              </w:rPr>
              <w:t>$</w:t>
            </w:r>
          </w:p>
        </w:tc>
        <w:tc>
          <w:tcPr>
            <w:tcW w:w="100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145 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539B"/>
                <w:sz w:val="19"/>
              </w:rPr>
            </w:pPr>
            <w:r>
              <w:rPr>
                <w:rFonts w:ascii="Arial;sans-serif" w:hAnsi="Arial;sans-serif"/>
                <w:b w:val="false"/>
                <w:color w:val="00539B"/>
                <w:sz w:val="19"/>
              </w:rPr>
              <w:t>$</w:t>
            </w:r>
          </w:p>
        </w:tc>
        <w:tc>
          <w:tcPr>
            <w:tcW w:w="8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12 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182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1,522</w:t>
            </w:r>
            <w:r>
              <w:rPr>
                <w:color w:val="00539B"/>
              </w:rPr>
              <w:t> </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NGL</w:t>
            </w:r>
          </w:p>
        </w:tc>
        <w:tc>
          <w:tcPr>
            <w:tcW w:w="2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182 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7 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(26)</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163</w:t>
            </w:r>
            <w:r>
              <w:rPr>
                <w:color w:val="00539B"/>
              </w:rPr>
              <w:t> </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Natural gas</w:t>
            </w:r>
          </w:p>
        </w:tc>
        <w:tc>
          <w:tcPr>
            <w:tcW w:w="2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172 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4 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(12)</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164</w:t>
            </w:r>
            <w:r>
              <w:rPr>
                <w:color w:val="00539B"/>
              </w:rPr>
              <w:t> </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55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68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1,719 </w:t>
            </w:r>
          </w:p>
        </w:tc>
        <w:tc>
          <w:tcPr>
            <w:tcW w:w="28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539B"/>
                <w:sz w:val="19"/>
              </w:rPr>
            </w:pPr>
            <w:r>
              <w:rPr>
                <w:rFonts w:ascii="Arial;sans-serif" w:hAnsi="Arial;sans-serif"/>
                <w:b w:val="false"/>
                <w:color w:val="00539B"/>
                <w:sz w:val="19"/>
              </w:rPr>
              <w:t>$</w:t>
            </w:r>
          </w:p>
        </w:tc>
        <w:tc>
          <w:tcPr>
            <w:tcW w:w="100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156 </w:t>
            </w:r>
          </w:p>
        </w:tc>
        <w:tc>
          <w:tcPr>
            <w:tcW w:w="16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539B"/>
                <w:sz w:val="19"/>
              </w:rPr>
            </w:pPr>
            <w:r>
              <w:rPr>
                <w:rFonts w:ascii="Arial;sans-serif" w:hAnsi="Arial;sans-serif"/>
                <w:b w:val="false"/>
                <w:color w:val="00539B"/>
                <w:sz w:val="19"/>
              </w:rPr>
              <w:t>$</w:t>
            </w:r>
          </w:p>
        </w:tc>
        <w:tc>
          <w:tcPr>
            <w:tcW w:w="89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539B"/>
                <w:sz w:val="19"/>
              </w:rPr>
            </w:pPr>
            <w:r>
              <w:rPr>
                <w:rFonts w:ascii="Arial;sans-serif" w:hAnsi="Arial;sans-serif"/>
                <w:b w:val="false"/>
                <w:color w:val="00539B"/>
                <w:sz w:val="19"/>
              </w:rPr>
              <w:t>(26)</w:t>
            </w:r>
          </w:p>
        </w:tc>
        <w:tc>
          <w:tcPr>
            <w:tcW w:w="20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182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1,849</w:t>
            </w:r>
            <w:r>
              <w:rPr>
                <w:color w:val="00539B"/>
              </w:rPr>
              <w:t> </w:t>
            </w:r>
          </w:p>
        </w:tc>
        <w:tc>
          <w:tcPr>
            <w:tcW w:w="38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2"/>
        </w:rPr>
        <w:t>(a)     </w:t>
      </w:r>
      <w:r>
        <w:rPr>
          <w:rFonts w:ascii="Arial;sans-serif" w:hAnsi="Arial;sans-serif"/>
          <w:b w:val="false"/>
          <w:color w:val="000000"/>
          <w:sz w:val="18"/>
        </w:rPr>
        <w:t>Includes the impact of international production sharing contracts.</w:t>
      </w:r>
    </w:p>
    <w:p>
      <w:pPr>
        <w:pStyle w:val="TextBody"/>
        <w:bidi w:val="0"/>
        <w:spacing w:lineRule="auto" w:line="288" w:before="0" w:after="0"/>
        <w:ind w:left="0" w:right="0" w:hanging="360"/>
        <w:jc w:val="both"/>
        <w:rPr/>
      </w:pPr>
      <w:r>
        <w:rPr>
          <w:rFonts w:ascii="Arial;sans-serif" w:hAnsi="Arial;sans-serif"/>
          <w:b w:val="false"/>
          <w:color w:val="000000"/>
          <w:sz w:val="12"/>
        </w:rPr>
        <w:t>(b)    </w:t>
      </w:r>
      <w:r>
        <w:rPr>
          <w:rFonts w:ascii="Arial;sans-serif" w:hAnsi="Arial;sans-serif"/>
          <w:b w:val="false"/>
          <w:color w:val="000000"/>
          <w:sz w:val="18"/>
        </w:rPr>
        <w:t xml:space="preserve">Excludes "other" oil and gas revenue. See </w:t>
      </w:r>
      <w:hyperlink w:anchor="i3d54dccfbfc2441b99c01f1c1099ad60_52">
        <w:r>
          <w:rPr>
            <w:rStyle w:val="InternetLink"/>
            <w:rFonts w:ascii="Arial;sans-serif" w:hAnsi="Arial;sans-serif"/>
            <w:b w:val="false"/>
            <w:color w:val="000000"/>
            <w:sz w:val="18"/>
            <w:u w:val="single"/>
          </w:rPr>
          <w:t>Note 2 - Revenue</w:t>
        </w:r>
      </w:hyperlink>
      <w:r>
        <w:rPr>
          <w:color w:val="000000"/>
        </w:rPr>
        <w:t xml:space="preserve"> </w:t>
      </w:r>
      <w:r>
        <w:rPr>
          <w:rFonts w:ascii="Arial;sans-serif" w:hAnsi="Arial;sans-serif"/>
          <w:b w:val="false"/>
          <w:color w:val="000000"/>
          <w:sz w:val="18"/>
        </w:rPr>
        <w:t>in the Notes to Consolidated Condensed Financial Statements in Part I, Item 1 of this Form 10-Q for additional information regarding other revenue.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539B"/>
          <w:sz w:val="23"/>
        </w:rPr>
      </w:pPr>
      <w:r>
        <w:rPr>
          <w:rFonts w:ascii="Arial;sans-serif" w:hAnsi="Arial;sans-serif"/>
          <w:b/>
          <w:color w:val="00539B"/>
          <w:sz w:val="23"/>
        </w:rPr>
        <w:t>MIDSTREAM AND MARKETING SEGMENT</w:t>
      </w:r>
    </w:p>
    <w:p>
      <w:pPr>
        <w:pStyle w:val="TextBody"/>
        <w:bidi w:val="0"/>
        <w:spacing w:before="0" w:after="0"/>
        <w:jc w:val="both"/>
        <w:rPr/>
      </w:pPr>
      <w:r>
        <w:rPr/>
      </w:r>
    </w:p>
    <w:p>
      <w:pPr>
        <w:pStyle w:val="TextBody"/>
        <w:bidi w:val="0"/>
        <w:spacing w:lineRule="auto" w:line="268" w:before="0" w:after="0"/>
        <w:jc w:val="both"/>
        <w:rPr>
          <w:rFonts w:ascii="Arial;sans-serif" w:hAnsi="Arial;sans-serif"/>
          <w:b/>
          <w:i/>
          <w:color w:val="00539B"/>
          <w:sz w:val="19"/>
        </w:rPr>
      </w:pPr>
      <w:r>
        <w:rPr>
          <w:rFonts w:ascii="Arial;sans-serif" w:hAnsi="Arial;sans-serif"/>
          <w:b/>
          <w:i/>
          <w:color w:val="00539B"/>
          <w:sz w:val="19"/>
        </w:rPr>
        <w:t>Q2 2026 compared to Q1 2026</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Midstream and marketing segment earnings for the three months ended June 30, 2026 were $1.3 billion, compared to segment losses of $87 million for the three months ended March 31, 2026. Excluding the impact of items affecting comparability, second quarter results improved primarily due to higher crude margins driven by the timing impact of crude marketing, reflecting the lag between the purchase of crude volumes and their subsequent sale, and higher gas margins from transportation capacity optimizations.</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rFonts w:ascii="Arial;sans-serif" w:hAnsi="Arial;sans-serif"/>
          <w:b/>
          <w:i/>
          <w:color w:val="00539B"/>
          <w:sz w:val="19"/>
        </w:rPr>
      </w:pPr>
      <w:r>
        <w:rPr>
          <w:rFonts w:ascii="Arial;sans-serif" w:hAnsi="Arial;sans-serif"/>
          <w:b/>
          <w:i/>
          <w:color w:val="00539B"/>
          <w:sz w:val="19"/>
        </w:rPr>
        <w:t>First six months of 2026 compared to the first six months of 2025</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Midstream and marketing segment earnings for the six months ended June 30, 2026 were $1.3 billion, compared to segment losses of $33 million for the same period in 2025. Excluding the impact of items affecting comparability, the increase reflected higher crude margins driven by the timing impact of crude marketing, higher gas margins from transportation capacity optimization, and lower crude marketing transportation costs. Results also benefitted from higher sulfur prices at Al Hosn.</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539B"/>
          <w:sz w:val="23"/>
        </w:rPr>
      </w:pPr>
      <w:r>
        <w:rPr>
          <w:rFonts w:ascii="Arial;sans-serif" w:hAnsi="Arial;sans-serif"/>
          <w:b/>
          <w:color w:val="00539B"/>
          <w:sz w:val="23"/>
        </w:rPr>
        <w:t>DISCONTINUED OPERATIONS, NET</w:t>
      </w:r>
    </w:p>
    <w:p>
      <w:pPr>
        <w:pStyle w:val="TextBody"/>
        <w:bidi w:val="0"/>
        <w:spacing w:lineRule="auto" w:line="288" w:before="0" w:after="0"/>
        <w:ind w:left="0" w:right="0" w:firstLine="270"/>
        <w:jc w:val="left"/>
        <w:rPr/>
      </w:pPr>
      <w:r>
        <w:rPr>
          <w:rFonts w:ascii="Arial;sans-serif" w:hAnsi="Arial;sans-serif"/>
          <w:b w:val="false"/>
          <w:color w:val="000000"/>
          <w:sz w:val="19"/>
        </w:rPr>
        <w:t xml:space="preserve">Discontinued operations, net includes the results of OxyChem for all periods presented and the gain recognized upon closing the OxyChem transaction on January 2, 2026. See </w:t>
      </w:r>
      <w:hyperlink w:anchor="i3d54dccfbfc2441b99c01f1c1099ad60_49">
        <w:r>
          <w:rPr>
            <w:rStyle w:val="InternetLink"/>
            <w:rFonts w:ascii="Arial;sans-serif" w:hAnsi="Arial;sans-serif"/>
            <w:b w:val="false"/>
            <w:color w:val="000000"/>
            <w:sz w:val="19"/>
            <w:u w:val="single"/>
          </w:rPr>
          <w:t>Note 1 - General</w:t>
        </w:r>
      </w:hyperlink>
      <w:r>
        <w:rPr>
          <w:rFonts w:ascii="Arial;sans-serif" w:hAnsi="Arial;sans-serif"/>
          <w:b w:val="false"/>
          <w:color w:val="000000"/>
          <w:sz w:val="19"/>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Select results for discontinued operations are reflected in the following table:</w:t>
      </w:r>
    </w:p>
    <w:tbl>
      <w:tblPr>
        <w:tblW w:w="10205" w:type="dxa"/>
        <w:jc w:val="left"/>
        <w:tblInd w:w="0" w:type="dxa"/>
        <w:tblLayout w:type="fixed"/>
        <w:tblCellMar>
          <w:top w:w="28" w:type="dxa"/>
          <w:left w:w="28" w:type="dxa"/>
          <w:bottom w:w="28" w:type="dxa"/>
          <w:right w:w="28" w:type="dxa"/>
        </w:tblCellMar>
      </w:tblPr>
      <w:tblGrid>
        <w:gridCol w:w="1782"/>
        <w:gridCol w:w="1517"/>
        <w:gridCol w:w="1529"/>
        <w:gridCol w:w="365"/>
        <w:gridCol w:w="750"/>
        <w:gridCol w:w="188"/>
        <w:gridCol w:w="307"/>
        <w:gridCol w:w="944"/>
        <w:gridCol w:w="159"/>
        <w:gridCol w:w="289"/>
        <w:gridCol w:w="889"/>
        <w:gridCol w:w="149"/>
        <w:gridCol w:w="331"/>
        <w:gridCol w:w="758"/>
        <w:gridCol w:w="248"/>
      </w:tblGrid>
      <w:tr>
        <w:trPr/>
        <w:tc>
          <w:tcPr>
            <w:tcW w:w="1782"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48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Three months ended</w:t>
            </w:r>
          </w:p>
        </w:tc>
        <w:tc>
          <w:tcPr>
            <w:tcW w:w="2664"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Six months ended</w:t>
            </w:r>
          </w:p>
        </w:tc>
      </w:tr>
      <w:tr>
        <w:trPr/>
        <w:tc>
          <w:tcPr>
            <w:tcW w:w="4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w:t>
            </w:r>
          </w:p>
        </w:tc>
        <w:tc>
          <w:tcPr>
            <w:tcW w:w="13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June 30, 2026</w:t>
            </w:r>
          </w:p>
        </w:tc>
        <w:tc>
          <w:tcPr>
            <w:tcW w:w="14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March 31, 2026</w:t>
            </w:r>
          </w:p>
        </w:tc>
        <w:tc>
          <w:tcPr>
            <w:tcW w:w="1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June 30, 2026</w:t>
            </w:r>
          </w:p>
        </w:tc>
        <w:tc>
          <w:tcPr>
            <w:tcW w:w="13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June 30, 2025</w:t>
            </w:r>
          </w:p>
        </w:tc>
      </w:tr>
      <w:tr>
        <w:trPr/>
        <w:tc>
          <w:tcPr>
            <w:tcW w:w="4828"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48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(loss) before income taxes</w:t>
            </w:r>
          </w:p>
        </w:tc>
        <w:tc>
          <w:tcPr>
            <w:tcW w:w="3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75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(76)</w:t>
            </w:r>
          </w:p>
        </w:tc>
        <w:tc>
          <w:tcPr>
            <w:tcW w:w="18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4,044 </w:t>
            </w:r>
          </w:p>
        </w:tc>
        <w:tc>
          <w:tcPr>
            <w:tcW w:w="1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8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3,968</w:t>
            </w:r>
            <w:r>
              <w:rPr>
                <w:color w:val="00539B"/>
              </w:rPr>
              <w:t> </w:t>
            </w:r>
          </w:p>
        </w:tc>
        <w:tc>
          <w:tcPr>
            <w:tcW w:w="14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333 </w:t>
            </w:r>
          </w:p>
        </w:tc>
        <w:tc>
          <w:tcPr>
            <w:tcW w:w="24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tax benefit (expense)</w:t>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72</w:t>
            </w:r>
            <w:r>
              <w:rPr>
                <w:color w:val="00539B"/>
              </w:rPr>
              <w:t>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(921)</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(849)</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Income (loss) from discontinued operations, net of tax</w:t>
            </w:r>
          </w:p>
        </w:tc>
        <w:tc>
          <w:tcPr>
            <w:tcW w:w="36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75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(4)</w:t>
            </w:r>
          </w:p>
        </w:tc>
        <w:tc>
          <w:tcPr>
            <w:tcW w:w="18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4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3,123 </w:t>
            </w:r>
          </w:p>
        </w:tc>
        <w:tc>
          <w:tcPr>
            <w:tcW w:w="15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88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3,119</w:t>
            </w:r>
            <w:r>
              <w:rPr>
                <w:color w:val="00539B"/>
              </w:rPr>
              <w:t> </w:t>
            </w:r>
          </w:p>
        </w:tc>
        <w:tc>
          <w:tcPr>
            <w:tcW w:w="14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245 </w:t>
            </w:r>
          </w:p>
        </w:tc>
        <w:tc>
          <w:tcPr>
            <w:tcW w:w="24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28"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Income from discontinued operations, net of taxes of $3.1 billion increased for the six months ended June 30, 2026, compared to $245 million for the same period in 2025. The increase was primarily due to the $3.1 billion gain recognized upon closing the OxyChem Transaction.</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905" w:type="dxa"/>
        <w:jc w:val="left"/>
        <w:tblInd w:w="0" w:type="dxa"/>
        <w:tblLayout w:type="fixed"/>
        <w:tblCellMar>
          <w:top w:w="28" w:type="dxa"/>
          <w:left w:w="28" w:type="dxa"/>
          <w:bottom w:w="28" w:type="dxa"/>
          <w:right w:w="28" w:type="dxa"/>
        </w:tblCellMar>
      </w:tblPr>
      <w:tblGrid>
        <w:gridCol w:w="610"/>
        <w:gridCol w:w="536"/>
        <w:gridCol w:w="759"/>
      </w:tblGrid>
      <w:tr>
        <w:trPr/>
        <w:tc>
          <w:tcPr>
            <w:tcW w:w="61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12" w:space="0" w:color="00539B"/>
              <w:bottom w:val="single" w:sz="12" w:space="0" w:color="00539B"/>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539B"/>
                <w:sz w:val="28"/>
              </w:rPr>
            </w:pPr>
            <w:r>
              <w:rPr>
                <w:rFonts w:ascii="Arial Narrow;sans-serif" w:hAnsi="Arial Narrow;sans-serif"/>
                <w:b/>
                <w:color w:val="00539B"/>
                <w:sz w:val="28"/>
              </w:rPr>
              <w:t>INCOME TAXES</w:t>
            </w:r>
          </w:p>
        </w:tc>
      </w:tr>
    </w:tbl>
    <w:p>
      <w:pPr>
        <w:pStyle w:val="TextBody"/>
        <w:bidi w:val="0"/>
        <w:spacing w:before="0" w:after="0"/>
        <w:jc w:val="left"/>
        <w:rPr/>
      </w:pPr>
      <w:r>
        <w:rPr/>
      </w:r>
    </w:p>
    <w:p>
      <w:pPr>
        <w:pStyle w:val="TextBody"/>
        <w:bidi w:val="0"/>
        <w:spacing w:lineRule="auto" w:line="288" w:before="0" w:after="0"/>
        <w:ind w:left="0" w:right="0" w:firstLine="270"/>
        <w:jc w:val="both"/>
        <w:rPr/>
      </w:pPr>
      <w:r>
        <w:rPr>
          <w:rFonts w:ascii="Arial;sans-serif" w:hAnsi="Arial;sans-serif"/>
          <w:b w:val="false"/>
          <w:color w:val="000000"/>
          <w:sz w:val="19"/>
        </w:rPr>
        <w:t>The</w:t>
      </w:r>
      <w:r>
        <w:rPr>
          <w:color w:val="000000"/>
        </w:rPr>
        <w:t xml:space="preserve"> </w:t>
      </w:r>
      <w:r>
        <w:rPr>
          <w:rFonts w:ascii="Arial;sans-serif" w:hAnsi="Arial;sans-serif"/>
          <w:b w:val="false"/>
          <w:color w:val="000000"/>
          <w:sz w:val="20"/>
        </w:rPr>
        <w:t>following table sets forth the calculation of the worldwide effective tax rate for income: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674"/>
        <w:gridCol w:w="1467"/>
        <w:gridCol w:w="1475"/>
        <w:gridCol w:w="248"/>
        <w:gridCol w:w="762"/>
        <w:gridCol w:w="336"/>
        <w:gridCol w:w="306"/>
        <w:gridCol w:w="697"/>
        <w:gridCol w:w="414"/>
        <w:gridCol w:w="109"/>
        <w:gridCol w:w="248"/>
        <w:gridCol w:w="762"/>
        <w:gridCol w:w="336"/>
        <w:gridCol w:w="242"/>
        <w:gridCol w:w="741"/>
        <w:gridCol w:w="388"/>
      </w:tblGrid>
      <w:tr>
        <w:trPr/>
        <w:tc>
          <w:tcPr>
            <w:tcW w:w="1674"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2717"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Six months ended</w:t>
            </w:r>
          </w:p>
        </w:tc>
      </w:tr>
      <w:tr>
        <w:trPr/>
        <w:tc>
          <w:tcPr>
            <w:tcW w:w="4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millions, except percentages</w:t>
            </w:r>
          </w:p>
        </w:tc>
        <w:tc>
          <w:tcPr>
            <w:tcW w:w="13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June 30, 2026</w:t>
            </w:r>
          </w:p>
        </w:tc>
        <w:tc>
          <w:tcPr>
            <w:tcW w:w="14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June 30, 2026</w:t>
            </w:r>
          </w:p>
        </w:tc>
        <w:tc>
          <w:tcPr>
            <w:tcW w:w="13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9"/>
              </w:rPr>
            </w:pPr>
            <w:r>
              <w:rPr>
                <w:rFonts w:ascii="Arial;sans-serif" w:hAnsi="Arial;sans-serif"/>
                <w:b w:val="false"/>
                <w:color w:val="000000"/>
                <w:sz w:val="19"/>
              </w:rPr>
              <w:t>June 30, 2025</w:t>
            </w:r>
          </w:p>
        </w:tc>
      </w:tr>
      <w:tr>
        <w:trPr/>
        <w:tc>
          <w:tcPr>
            <w:tcW w:w="46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Income before income taxes</w:t>
            </w:r>
          </w:p>
        </w:tc>
        <w:tc>
          <w:tcPr>
            <w:tcW w:w="24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76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3,915</w:t>
            </w:r>
            <w:r>
              <w:rPr>
                <w:color w:val="00539B"/>
              </w:rPr>
              <w:t> </w:t>
            </w:r>
          </w:p>
        </w:tc>
        <w:tc>
          <w:tcPr>
            <w:tcW w:w="3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9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390 </w:t>
            </w:r>
          </w:p>
        </w:tc>
        <w:tc>
          <w:tcPr>
            <w:tcW w:w="4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76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4,305</w:t>
            </w:r>
            <w:r>
              <w:rPr>
                <w:color w:val="00539B"/>
              </w:rPr>
              <w:t> </w:t>
            </w:r>
          </w:p>
        </w:tc>
        <w:tc>
          <w:tcPr>
            <w:tcW w:w="3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1,737 </w:t>
            </w:r>
          </w:p>
        </w:tc>
        <w:tc>
          <w:tcPr>
            <w:tcW w:w="388"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Income tax expense</w:t>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Domestic - federal and state</w:t>
            </w:r>
          </w:p>
        </w:tc>
        <w:tc>
          <w:tcPr>
            <w:tcW w:w="10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(663)</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(682)</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(223)</w:t>
            </w:r>
          </w:p>
        </w:tc>
        <w:tc>
          <w:tcPr>
            <w:tcW w:w="3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International</w:t>
            </w:r>
          </w:p>
        </w:tc>
        <w:tc>
          <w:tcPr>
            <w:tcW w:w="10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(252)</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(135)</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(387)</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(346)</w:t>
            </w:r>
          </w:p>
        </w:tc>
        <w:tc>
          <w:tcPr>
            <w:tcW w:w="388"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income tax expense</w:t>
            </w:r>
          </w:p>
        </w:tc>
        <w:tc>
          <w:tcPr>
            <w:tcW w:w="101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(915)</w:t>
            </w:r>
          </w:p>
        </w:tc>
        <w:tc>
          <w:tcPr>
            <w:tcW w:w="3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(154)</w:t>
            </w:r>
          </w:p>
        </w:tc>
        <w:tc>
          <w:tcPr>
            <w:tcW w:w="4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(1,069)</w:t>
            </w:r>
          </w:p>
        </w:tc>
        <w:tc>
          <w:tcPr>
            <w:tcW w:w="3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(569)</w:t>
            </w:r>
          </w:p>
        </w:tc>
        <w:tc>
          <w:tcPr>
            <w:tcW w:w="388"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Income from continuing operations</w:t>
            </w:r>
          </w:p>
        </w:tc>
        <w:tc>
          <w:tcPr>
            <w:tcW w:w="24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76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3,000</w:t>
            </w:r>
            <w:r>
              <w:rPr>
                <w:color w:val="00539B"/>
              </w:rPr>
              <w:t> </w:t>
            </w:r>
          </w:p>
        </w:tc>
        <w:tc>
          <w:tcPr>
            <w:tcW w:w="3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9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236 </w:t>
            </w:r>
          </w:p>
        </w:tc>
        <w:tc>
          <w:tcPr>
            <w:tcW w:w="4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76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3,236</w:t>
            </w:r>
            <w:r>
              <w:rPr>
                <w:color w:val="00539B"/>
              </w:rPr>
              <w:t> </w:t>
            </w:r>
          </w:p>
        </w:tc>
        <w:tc>
          <w:tcPr>
            <w:tcW w:w="3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1,168 </w:t>
            </w:r>
          </w:p>
        </w:tc>
        <w:tc>
          <w:tcPr>
            <w:tcW w:w="388"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Worldwide effective tax rate (continuing operations)</w:t>
            </w:r>
          </w:p>
        </w:tc>
        <w:tc>
          <w:tcPr>
            <w:tcW w:w="1010"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23</w:t>
            </w:r>
            <w:r>
              <w:rPr>
                <w:color w:val="00539B"/>
              </w:rPr>
              <w:t> </w:t>
            </w:r>
          </w:p>
        </w:tc>
        <w:tc>
          <w:tcPr>
            <w:tcW w:w="33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w:t>
            </w:r>
          </w:p>
        </w:tc>
        <w:tc>
          <w:tcPr>
            <w:tcW w:w="1003"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39 </w:t>
            </w:r>
          </w:p>
        </w:tc>
        <w:tc>
          <w:tcPr>
            <w:tcW w:w="41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25</w:t>
            </w:r>
            <w:r>
              <w:rPr>
                <w:color w:val="00539B"/>
              </w:rPr>
              <w:t> </w:t>
            </w:r>
          </w:p>
        </w:tc>
        <w:tc>
          <w:tcPr>
            <w:tcW w:w="33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w:t>
            </w:r>
          </w:p>
        </w:tc>
        <w:tc>
          <w:tcPr>
            <w:tcW w:w="983"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33 </w:t>
            </w:r>
          </w:p>
        </w:tc>
        <w:tc>
          <w:tcPr>
            <w:tcW w:w="38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before="0" w:after="0"/>
        <w:jc w:val="both"/>
        <w:rPr/>
      </w:pPr>
      <w:r>
        <w:rPr/>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 xml:space="preserve">The Company estimates its annual effective income tax rate in recording its quarterly provision for income taxes in the various jurisdictions in which the Company operates, adjusted for certain discrete items. Each quarter, the Company updates these rates and records a cumulative adjustment to its income taxes by applying the rates to the pre-tax income excluding certain discrete items. The Company's quarterly estimate of its effective tax rates can vary significantly based on various forecasted items, including future commodity prices, capital expenditures, expenses for which tax benefits are not recognized and the geographic mix of pre-tax income and losses. </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 xml:space="preserve">The worldwide effective tax rates for the periods presented in the table above are primarily driven by the Company's jurisdictional mix of income. U.S. income is taxed at a U.S. federal statutory rate of 21%, while international income is subject to tax at statutory rates as high as 55%. </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424" w:type="dxa"/>
        <w:jc w:val="left"/>
        <w:tblInd w:w="0" w:type="dxa"/>
        <w:tblLayout w:type="fixed"/>
        <w:tblCellMar>
          <w:top w:w="28" w:type="dxa"/>
          <w:left w:w="28" w:type="dxa"/>
          <w:bottom w:w="28" w:type="dxa"/>
          <w:right w:w="28" w:type="dxa"/>
        </w:tblCellMar>
      </w:tblPr>
      <w:tblGrid>
        <w:gridCol w:w="1416"/>
        <w:gridCol w:w="1245"/>
        <w:gridCol w:w="1763"/>
      </w:tblGrid>
      <w:tr>
        <w:trPr/>
        <w:tc>
          <w:tcPr>
            <w:tcW w:w="1416"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op w:val="single" w:sz="12" w:space="0" w:color="00539B"/>
              <w:bottom w:val="single" w:sz="12" w:space="0" w:color="00539B"/>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539B"/>
                <w:sz w:val="28"/>
              </w:rPr>
            </w:pPr>
            <w:r>
              <w:rPr>
                <w:rFonts w:ascii="Arial Narrow;sans-serif" w:hAnsi="Arial Narrow;sans-serif"/>
                <w:b/>
                <w:color w:val="00539B"/>
                <w:sz w:val="28"/>
              </w:rPr>
              <w:t>LIQUIDITY AND CAPITAL RESOURCES</w:t>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color w:val="00539B"/>
          <w:sz w:val="19"/>
        </w:rPr>
      </w:pPr>
      <w:r>
        <w:rPr>
          <w:rFonts w:ascii="Arial;sans-serif" w:hAnsi="Arial;sans-serif"/>
          <w:b/>
          <w:color w:val="00539B"/>
          <w:sz w:val="19"/>
        </w:rPr>
        <w:t>SOURCES AND USES OF CASH</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As of June 30, 2026, the Company's sources of liquidity included $4.2 billion of cash and cash equivalents and $4.2 billion of borrowing capacity under its RCF, which matures on June 30, 2028. There were no borrowings outstanding under the Company's RCF as of June 30, 2026.</w:t>
      </w:r>
    </w:p>
    <w:p>
      <w:pPr>
        <w:pStyle w:val="TextBody"/>
        <w:bidi w:val="0"/>
        <w:spacing w:before="0" w:after="0"/>
        <w:ind w:left="0" w:right="0" w:firstLine="270"/>
        <w:jc w:val="both"/>
        <w:rPr/>
      </w:pPr>
      <w:r>
        <w:rPr/>
      </w:r>
    </w:p>
    <w:p>
      <w:pPr>
        <w:pStyle w:val="TextBody"/>
        <w:bidi w:val="0"/>
        <w:spacing w:lineRule="auto" w:line="288" w:before="0" w:after="0"/>
        <w:jc w:val="both"/>
        <w:rPr>
          <w:rFonts w:ascii="Arial;sans-serif" w:hAnsi="Arial;sans-serif"/>
          <w:b/>
          <w:i/>
          <w:color w:val="00539B"/>
          <w:sz w:val="19"/>
        </w:rPr>
      </w:pPr>
      <w:r>
        <w:rPr>
          <w:rFonts w:ascii="Arial;sans-serif" w:hAnsi="Arial;sans-serif"/>
          <w:b/>
          <w:i/>
          <w:color w:val="00539B"/>
          <w:sz w:val="19"/>
        </w:rPr>
        <w:t>Operating Cash Flows</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 xml:space="preserve">Operating cash flow from continuing operations was $6.5 billion for the six months ended June 30, 2026, compared to $4.8 billion for the six months ended June 30, 2025. Operating cash flow from continuing operations for the six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ended June 30, 2026 included $183 million in cash settlements related to crude oil collars. The increase, compared to the same period in 2025, was primarily due to higher net income in 2026 resulting from the sharp increase in crude oil prices beginning in March 2026 and higher natural gas margins from gas transportation capacity optimization in the marketing segment.</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Operating cash flow used by discontinued operations was $926 million for the six months ended June 30, 2026, compared to operating cash flow from discontinued operations of $347 million for the six months ended June 30, 2025. The decrease was primarily due to estimated tax payments made related to the sale of OxyChem in the first quarter of 2026.</w:t>
      </w:r>
    </w:p>
    <w:p>
      <w:pPr>
        <w:pStyle w:val="TextBody"/>
        <w:bidi w:val="0"/>
        <w:spacing w:before="0" w:after="0"/>
        <w:ind w:left="0" w:right="0" w:firstLine="270"/>
        <w:jc w:val="both"/>
        <w:rPr/>
      </w:pPr>
      <w:r>
        <w:rPr/>
      </w:r>
    </w:p>
    <w:p>
      <w:pPr>
        <w:pStyle w:val="TextBody"/>
        <w:bidi w:val="0"/>
        <w:spacing w:lineRule="auto" w:line="288" w:before="0" w:after="0"/>
        <w:jc w:val="both"/>
        <w:rPr>
          <w:rFonts w:ascii="Arial;sans-serif" w:hAnsi="Arial;sans-serif"/>
          <w:b/>
          <w:i/>
          <w:color w:val="00539B"/>
          <w:sz w:val="19"/>
        </w:rPr>
      </w:pPr>
      <w:r>
        <w:rPr>
          <w:rFonts w:ascii="Arial;sans-serif" w:hAnsi="Arial;sans-serif"/>
          <w:b/>
          <w:i/>
          <w:color w:val="00539B"/>
          <w:sz w:val="19"/>
        </w:rPr>
        <w:t>Investing Cash Flows</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 Company's net cash used by investing activities from continuing operations was $3.4 billion for the six months ended June 30, 2026, compared to $2.2 billion for the six months ended June 30, 2025. The year-over-year change was primarily due to $1.5 billion in proceeds from divestitures in the prior year.</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 xml:space="preserve">Capital expenditures, the majority of which related to the oil and gas segment, were $3.1 billion for the six months ended June 30, 2026, compared to $3.4 billion for the six months ended June 30, 2025. </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 xml:space="preserve">Cash flow provided by investing activities from discontinued operations was $9.5 billion for the six months ended June 30, 2026, primarily reflecting proceeds from the OxyChem Transaction. </w:t>
      </w:r>
    </w:p>
    <w:p>
      <w:pPr>
        <w:pStyle w:val="TextBody"/>
        <w:bidi w:val="0"/>
        <w:spacing w:before="0" w:after="0"/>
        <w:ind w:left="0" w:right="0" w:firstLine="270"/>
        <w:jc w:val="both"/>
        <w:rPr/>
      </w:pPr>
      <w:r>
        <w:rPr/>
      </w:r>
    </w:p>
    <w:p>
      <w:pPr>
        <w:pStyle w:val="TextBody"/>
        <w:bidi w:val="0"/>
        <w:spacing w:lineRule="auto" w:line="288" w:before="0" w:after="0"/>
        <w:jc w:val="both"/>
        <w:rPr>
          <w:rFonts w:ascii="Arial;sans-serif" w:hAnsi="Arial;sans-serif"/>
          <w:b/>
          <w:i/>
          <w:color w:val="00539B"/>
          <w:sz w:val="19"/>
        </w:rPr>
      </w:pPr>
      <w:r>
        <w:rPr>
          <w:rFonts w:ascii="Arial;sans-serif" w:hAnsi="Arial;sans-serif"/>
          <w:b/>
          <w:i/>
          <w:color w:val="00539B"/>
          <w:sz w:val="19"/>
        </w:rPr>
        <w:t>Financing Cash Flows</w:t>
      </w:r>
    </w:p>
    <w:p>
      <w:pPr>
        <w:pStyle w:val="TextBody"/>
        <w:bidi w:val="0"/>
        <w:spacing w:lineRule="auto" w:line="288" w:before="0" w:after="0"/>
        <w:ind w:left="0" w:right="0" w:firstLine="270"/>
        <w:jc w:val="both"/>
        <w:rPr/>
      </w:pPr>
      <w:r>
        <w:rPr>
          <w:rFonts w:ascii="Arial;sans-serif" w:hAnsi="Arial;sans-serif"/>
          <w:b w:val="false"/>
          <w:color w:val="000000"/>
          <w:sz w:val="19"/>
        </w:rPr>
        <w:t xml:space="preserve">The Company's net cash used by financing activities from continuing operations was $9.5 billion for the six months ended June 30, 2026, which included $8.6 billion of principal payments on long-term debt and $0.8 billion of payments of common and preferred cash dividends. See </w:t>
      </w:r>
      <w:hyperlink w:anchor="i3d54dccfbfc2441b99c01f1c1099ad60_61">
        <w:r>
          <w:rPr>
            <w:rStyle w:val="InternetLink"/>
            <w:rFonts w:ascii="Arial;sans-serif" w:hAnsi="Arial;sans-serif"/>
            <w:b w:val="false"/>
            <w:color w:val="000000"/>
            <w:sz w:val="19"/>
            <w:u w:val="single"/>
          </w:rPr>
          <w:t>Note 3 - Long-Term Debt</w:t>
        </w:r>
      </w:hyperlink>
      <w:r>
        <w:rPr>
          <w:color w:val="000000"/>
        </w:rPr>
        <w:t xml:space="preserve"> </w:t>
      </w:r>
      <w:r>
        <w:rPr>
          <w:rFonts w:ascii="Arial;sans-serif" w:hAnsi="Arial;sans-serif"/>
          <w:b w:val="false"/>
          <w:color w:val="000000"/>
          <w:sz w:val="19"/>
        </w:rPr>
        <w:t>in the Notes to Consolidated Condensed Financial Statements in Part I, Item 1 of this Form 10-Q.</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Net cash used by financing activities for the six months ended June 30, 2025 was $2.2 billion, which included $2.3 billion of payments on long-term debt, $0.8 billion of payments of common and preferred cash dividends and proceeds of approximately $890 million from the exercise of common stock warrants.</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As of the date of this filing, the Company is in compliance with all covenants in its financing agreements, and it has no remaining debt maturities due in 2026, $48 million in 2027, $14 million in 2028, $352 million in 2029, and $11.4 billion thereafter. The Company expects cash on hand, operating cash flows and funds available from the RCF to be sufficient to meet its near-term debt maturities, operating expenditures, capital expenditures and other obligations for the next 12 months from the date of this filing.</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 xml:space="preserve">The Company has provided financial assurances through a combination of cash, letters of credit and surety bonds. As of June 30, 2026, the Company had no outstanding letters of credit under the RCF. </w:t>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For additional information, see Risk Factors in Part I, Item 1A of the Company's 2025 Form 10-K.</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939" w:type="dxa"/>
        <w:jc w:val="left"/>
        <w:tblInd w:w="0" w:type="dxa"/>
        <w:tblLayout w:type="fixed"/>
        <w:tblCellMar>
          <w:top w:w="28" w:type="dxa"/>
          <w:left w:w="28" w:type="dxa"/>
          <w:bottom w:w="28" w:type="dxa"/>
          <w:right w:w="28" w:type="dxa"/>
        </w:tblCellMar>
      </w:tblPr>
      <w:tblGrid>
        <w:gridCol w:w="1902"/>
        <w:gridCol w:w="1670"/>
        <w:gridCol w:w="2367"/>
      </w:tblGrid>
      <w:tr>
        <w:trPr/>
        <w:tc>
          <w:tcPr>
            <w:tcW w:w="1902"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12" w:space="0" w:color="00539B"/>
              <w:bottom w:val="single" w:sz="12" w:space="0" w:color="00539B"/>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539B"/>
                <w:sz w:val="28"/>
              </w:rPr>
            </w:pPr>
            <w:r>
              <w:rPr>
                <w:rFonts w:ascii="Arial Narrow;sans-serif" w:hAnsi="Arial Narrow;sans-serif"/>
                <w:b/>
                <w:color w:val="00539B"/>
                <w:sz w:val="28"/>
              </w:rPr>
              <w:t>ENVIRONMENTAL LIABILITIES AND EXPENDITURES</w:t>
            </w:r>
          </w:p>
        </w:tc>
      </w:tr>
    </w:tbl>
    <w:p>
      <w:pPr>
        <w:pStyle w:val="TextBody"/>
        <w:bidi w:val="0"/>
        <w:spacing w:before="0" w:after="0"/>
        <w:jc w:val="left"/>
        <w:rPr/>
      </w:pPr>
      <w:r>
        <w:rPr/>
      </w:r>
    </w:p>
    <w:p>
      <w:pPr>
        <w:pStyle w:val="TextBody"/>
        <w:bidi w:val="0"/>
        <w:spacing w:lineRule="auto" w:line="288" w:before="0" w:after="0"/>
        <w:ind w:left="0" w:right="0" w:firstLine="270"/>
        <w:jc w:val="both"/>
        <w:rPr/>
      </w:pPr>
      <w:r>
        <w:rPr>
          <w:rFonts w:ascii="Arial;sans-serif" w:hAnsi="Arial;sans-serif"/>
          <w:b w:val="false"/>
          <w:color w:val="000000"/>
          <w:sz w:val="19"/>
        </w:rPr>
        <w:t xml:space="preserve">See </w:t>
      </w:r>
      <w:hyperlink w:anchor="i3d54dccfbfc2441b99c01f1c1099ad60_73">
        <w:r>
          <w:rPr>
            <w:rStyle w:val="InternetLink"/>
            <w:rFonts w:ascii="Arial;sans-serif" w:hAnsi="Arial;sans-serif"/>
            <w:b w:val="false"/>
            <w:color w:val="000000"/>
            <w:sz w:val="19"/>
            <w:u w:val="single"/>
          </w:rPr>
          <w:t>Note 7 - Environmental Liabilities and Expenditures</w:t>
        </w:r>
      </w:hyperlink>
      <w:r>
        <w:rPr>
          <w:color w:val="000000"/>
        </w:rPr>
        <w:t xml:space="preserve"> </w:t>
      </w:r>
      <w:r>
        <w:rPr>
          <w:rFonts w:ascii="Arial;sans-serif" w:hAnsi="Arial;sans-serif"/>
          <w:b w:val="false"/>
          <w:color w:val="000000"/>
          <w:sz w:val="19"/>
        </w:rPr>
        <w:t>in the Notes to Consolidated Condensed Financial Statements in Part I, Item 1 of this Form 10-Q and the Environmental Liabilities and Expenditures section of Management's Discussion and Analysis of Financial Condition and Results of Operations in the 2025 Form 10-K for additional information regarding the Company's environmental liabilities and expenditures.</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779" w:type="dxa"/>
        <w:jc w:val="left"/>
        <w:tblInd w:w="0" w:type="dxa"/>
        <w:tblLayout w:type="fixed"/>
        <w:tblCellMar>
          <w:top w:w="28" w:type="dxa"/>
          <w:left w:w="28" w:type="dxa"/>
          <w:bottom w:w="28" w:type="dxa"/>
          <w:right w:w="28" w:type="dxa"/>
        </w:tblCellMar>
      </w:tblPr>
      <w:tblGrid>
        <w:gridCol w:w="2170"/>
        <w:gridCol w:w="1908"/>
        <w:gridCol w:w="2701"/>
      </w:tblGrid>
      <w:tr>
        <w:trPr/>
        <w:tc>
          <w:tcPr>
            <w:tcW w:w="2170"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top w:val="single" w:sz="12" w:space="0" w:color="00539B"/>
              <w:bottom w:val="single" w:sz="12" w:space="0" w:color="00539B"/>
            </w:tcBorders>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539B"/>
                <w:sz w:val="28"/>
              </w:rPr>
            </w:pPr>
            <w:r>
              <w:rPr>
                <w:rFonts w:ascii="Arial Narrow;sans-serif" w:hAnsi="Arial Narrow;sans-serif"/>
                <w:b/>
                <w:color w:val="00539B"/>
                <w:sz w:val="28"/>
              </w:rPr>
              <w:t>LAWSUITS, CLAIMS, COMMITMENTS AND CONTINGENCIES</w:t>
            </w:r>
          </w:p>
        </w:tc>
      </w:tr>
    </w:tbl>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Arial;sans-serif" w:hAnsi="Arial;sans-serif"/>
          <w:b w:val="false"/>
          <w:color w:val="000000"/>
          <w:sz w:val="19"/>
        </w:rPr>
        <w:t xml:space="preserve">The Company accrues reserves for outstanding lawsuits, claims and proceedings when it is probable that a liability has been incurred and the liability can be reasonably estimated. The Company has disclosed its reserve balances for environmental remediation matters and its estimated range of reasonably possible additional losses for such matters. See </w:t>
      </w:r>
      <w:hyperlink w:anchor="i3d54dccfbfc2441b99c01f1c1099ad60_73">
        <w:r>
          <w:rPr>
            <w:rStyle w:val="InternetLink"/>
            <w:rFonts w:ascii="Arial;sans-serif" w:hAnsi="Arial;sans-serif"/>
            <w:b w:val="false"/>
            <w:color w:val="000000"/>
            <w:sz w:val="19"/>
            <w:u w:val="single"/>
          </w:rPr>
          <w:t>Note 7 - Environmental Liabilities and Expenditures</w:t>
        </w:r>
      </w:hyperlink>
      <w:r>
        <w:rPr>
          <w:color w:val="000000"/>
        </w:rPr>
        <w:t xml:space="preserve"> </w:t>
      </w:r>
      <w:r>
        <w:rPr>
          <w:rFonts w:ascii="Arial;sans-serif" w:hAnsi="Arial;sans-serif"/>
          <w:b w:val="false"/>
          <w:color w:val="000000"/>
          <w:sz w:val="19"/>
        </w:rPr>
        <w:t xml:space="preserve">and </w:t>
      </w:r>
      <w:hyperlink w:anchor="i3d54dccfbfc2441b99c01f1c1099ad60_76">
        <w:r>
          <w:rPr>
            <w:rStyle w:val="InternetLink"/>
            <w:rFonts w:ascii="Arial;sans-serif" w:hAnsi="Arial;sans-serif"/>
            <w:b w:val="false"/>
            <w:color w:val="000000"/>
            <w:sz w:val="19"/>
            <w:u w:val="single"/>
          </w:rPr>
          <w:t>Note 8 - Lawsuits, Claims, Commitments and Contingencies</w:t>
        </w:r>
      </w:hyperlink>
      <w:r>
        <w:rPr>
          <w:color w:val="000000"/>
        </w:rPr>
        <w:t xml:space="preserve"> </w:t>
      </w:r>
      <w:r>
        <w:rPr>
          <w:rFonts w:ascii="Arial;sans-serif" w:hAnsi="Arial;sans-serif"/>
          <w:b w:val="false"/>
          <w:color w:val="000000"/>
          <w:sz w:val="19"/>
        </w:rPr>
        <w:t>in the Notes to Consolidated Condensed Financial Statements in Part I, Item 1 of this Form 10-Q for further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539B"/>
          <w:sz w:val="23"/>
        </w:rPr>
      </w:pPr>
      <w:r>
        <w:rPr>
          <w:rFonts w:ascii="Arial;sans-serif" w:hAnsi="Arial;sans-serif"/>
          <w:b/>
          <w:color w:val="00539B"/>
          <w:sz w:val="23"/>
        </w:rPr>
        <w:t>Item 3. Quantitative and Qualitative Disclosures About Market Risk</w:t>
      </w:r>
    </w:p>
    <w:p>
      <w:pPr>
        <w:pStyle w:val="TextBody"/>
        <w:bidi w:val="0"/>
        <w:spacing w:before="0" w:after="0"/>
        <w:jc w:val="both"/>
        <w:rPr/>
      </w:pPr>
      <w:r>
        <w:rPr/>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For the six months ended June 30, 2026, there were no material changes in the information required to be provided under Item 305 of Regulation S-K included under Item 7A, Quantitative and Qualitative Disclosures About Market Risk in the 2025 Form 10-K.</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539B"/>
          <w:sz w:val="23"/>
        </w:rPr>
      </w:pPr>
      <w:r>
        <w:rPr>
          <w:rFonts w:ascii="Arial;sans-serif" w:hAnsi="Arial;sans-serif"/>
          <w:b/>
          <w:color w:val="00539B"/>
          <w:sz w:val="23"/>
        </w:rPr>
        <w:t>Item 4. Controls and Procedures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Occidental's President and Chief Executive Officer and its Senior Vice President and Chief Financial Officer supervised and participated in the Company's evaluation of the effectiveness of its disclosure controls and procedures (as defined in Rules 13a-15(e) and 15d-15(e) under the Securities Exchange Act of 1934) as of the end of the period covered by this report. Based upon that evaluation, Occidental's President and Chief Executive Officer and Senior Vice President and Chief Financial Officer concluded that the Company's disclosure controls and procedures were effective as of June 30, 2026.</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There has been no change in the Company's internal control over financial reporting (as defined in Rules 13a-15(f) and 15d-15(f) under the Exchange Act) during the six months ended June 30, 2026 that has materially affected, or is reasonably likely to materially affect, the Company's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539B"/>
          <w:sz w:val="24"/>
        </w:rPr>
      </w:pPr>
      <w:r>
        <w:rPr>
          <w:rFonts w:ascii="Arial;sans-serif" w:hAnsi="Arial;sans-serif"/>
          <w:b/>
          <w:color w:val="00539B"/>
          <w:sz w:val="24"/>
        </w:rPr>
        <w:t>Part II Other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539B"/>
          <w:sz w:val="23"/>
        </w:rPr>
      </w:pPr>
      <w:r>
        <w:rPr>
          <w:rFonts w:ascii="Arial;sans-serif" w:hAnsi="Arial;sans-serif"/>
          <w:b/>
          <w:color w:val="00539B"/>
          <w:sz w:val="23"/>
        </w:rPr>
        <w:t>Item 1. Legal Proceedings</w:t>
      </w:r>
    </w:p>
    <w:p>
      <w:pPr>
        <w:pStyle w:val="TextBody"/>
        <w:bidi w:val="0"/>
        <w:spacing w:before="0" w:after="0"/>
        <w:jc w:val="left"/>
        <w:rPr/>
      </w:pPr>
      <w:r>
        <w:rPr/>
      </w:r>
    </w:p>
    <w:p>
      <w:pPr>
        <w:pStyle w:val="TextBody"/>
        <w:bidi w:val="0"/>
        <w:spacing w:lineRule="auto" w:line="268" w:before="0" w:after="0"/>
        <w:ind w:left="0" w:right="0" w:firstLine="270"/>
        <w:jc w:val="both"/>
        <w:rPr/>
      </w:pPr>
      <w:r>
        <w:rPr>
          <w:rFonts w:ascii="Arial;sans-serif" w:hAnsi="Arial;sans-serif"/>
          <w:b w:val="false"/>
          <w:color w:val="000000"/>
          <w:sz w:val="19"/>
        </w:rPr>
        <w:t xml:space="preserve">The Company has elected to use a $1 million threshold for disclosing certain proceedings arising under federal, state or local environmental laws when a governmental authority is a party and potential monetary sanctions are involved. For additional information regarding legal proceedings, see </w:t>
      </w:r>
      <w:hyperlink w:anchor="i3d54dccfbfc2441b99c01f1c1099ad60_76">
        <w:r>
          <w:rPr>
            <w:rStyle w:val="InternetLink"/>
            <w:rFonts w:ascii="Arial;sans-serif" w:hAnsi="Arial;sans-serif"/>
            <w:b w:val="false"/>
            <w:color w:val="000000"/>
            <w:sz w:val="19"/>
            <w:u w:val="single"/>
          </w:rPr>
          <w:t>Note 8 - Lawsuits, Claims, Commitments and Contingencies</w:t>
        </w:r>
      </w:hyperlink>
      <w:r>
        <w:rPr>
          <w:color w:val="000000"/>
        </w:rPr>
        <w:t xml:space="preserve"> </w:t>
      </w:r>
      <w:r>
        <w:rPr>
          <w:rFonts w:ascii="Arial;sans-serif" w:hAnsi="Arial;sans-serif"/>
          <w:b w:val="false"/>
          <w:color w:val="000000"/>
          <w:sz w:val="19"/>
        </w:rPr>
        <w:t>in the Notes to Consolidated Condensed Financial Statements in Part I, Item 1 of this Form 10-Q.</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539B"/>
          <w:sz w:val="23"/>
        </w:rPr>
      </w:pPr>
      <w:r>
        <w:rPr>
          <w:rFonts w:ascii="Arial;sans-serif" w:hAnsi="Arial;sans-serif"/>
          <w:b/>
          <w:color w:val="00539B"/>
          <w:sz w:val="23"/>
        </w:rPr>
        <w:t xml:space="preserve">Item 1A. Risk Factors </w:t>
      </w:r>
    </w:p>
    <w:p>
      <w:pPr>
        <w:pStyle w:val="TextBody"/>
        <w:bidi w:val="0"/>
        <w:spacing w:before="0" w:after="0"/>
        <w:jc w:val="left"/>
        <w:rPr/>
      </w:pPr>
      <w:r>
        <w:rPr/>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There have been no material changes to the risk factors included under Part I, Item 1A of the 2025 Form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539B"/>
          <w:sz w:val="23"/>
        </w:rPr>
      </w:pPr>
      <w:r>
        <w:rPr>
          <w:rFonts w:ascii="Arial;sans-serif" w:hAnsi="Arial;sans-serif"/>
          <w:b/>
          <w:color w:val="00539B"/>
          <w:sz w:val="23"/>
        </w:rPr>
        <w:t>Item 2. Unregistered Sales of Equity Securities and Use of Proceeds</w:t>
      </w:r>
    </w:p>
    <w:p>
      <w:pPr>
        <w:pStyle w:val="TextBody"/>
        <w:bidi w:val="0"/>
        <w:spacing w:before="0" w:after="0"/>
        <w:jc w:val="left"/>
        <w:rPr/>
      </w:pPr>
      <w:r>
        <w:rPr/>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Occidental's share repurchase activities for the six months ended June 30, 2026 were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31"/>
        <w:gridCol w:w="371"/>
        <w:gridCol w:w="377"/>
        <w:gridCol w:w="687"/>
        <w:gridCol w:w="494"/>
        <w:gridCol w:w="496"/>
        <w:gridCol w:w="348"/>
        <w:gridCol w:w="1068"/>
        <w:gridCol w:w="180"/>
        <w:gridCol w:w="968"/>
        <w:gridCol w:w="968"/>
        <w:gridCol w:w="971"/>
        <w:gridCol w:w="592"/>
        <w:gridCol w:w="1813"/>
        <w:gridCol w:w="441"/>
      </w:tblGrid>
      <w:tr>
        <w:trPr/>
        <w:tc>
          <w:tcPr>
            <w:tcW w:w="43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11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Period</w:t>
            </w:r>
          </w:p>
        </w:tc>
        <w:tc>
          <w:tcPr>
            <w:tcW w:w="1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9"/>
              </w:rPr>
            </w:pPr>
            <w:r>
              <w:rPr>
                <w:rFonts w:ascii="Arial;sans-serif" w:hAnsi="Arial;sans-serif"/>
                <w:b/>
                <w:color w:val="000000"/>
                <w:sz w:val="19"/>
              </w:rPr>
              <w:t xml:space="preserve">Total </w:t>
            </w:r>
          </w:p>
          <w:p>
            <w:pPr>
              <w:pStyle w:val="TableContents"/>
              <w:bidi w:val="0"/>
              <w:spacing w:lineRule="auto" w:line="240" w:before="0" w:after="0"/>
              <w:jc w:val="right"/>
              <w:rPr>
                <w:rFonts w:ascii="Arial;sans-serif" w:hAnsi="Arial;sans-serif"/>
                <w:b/>
                <w:color w:val="000000"/>
                <w:sz w:val="19"/>
              </w:rPr>
            </w:pPr>
            <w:r>
              <w:rPr>
                <w:rFonts w:ascii="Arial;sans-serif" w:hAnsi="Arial;sans-serif"/>
                <w:b/>
                <w:color w:val="000000"/>
                <w:sz w:val="19"/>
              </w:rPr>
              <w:t xml:space="preserve">Number </w:t>
            </w:r>
          </w:p>
          <w:p>
            <w:pPr>
              <w:pStyle w:val="TableContents"/>
              <w:bidi w:val="0"/>
              <w:spacing w:lineRule="auto" w:line="240" w:before="0" w:after="0"/>
              <w:jc w:val="right"/>
              <w:rPr/>
            </w:pPr>
            <w:r>
              <w:rPr>
                <w:rFonts w:ascii="Arial;sans-serif" w:hAnsi="Arial;sans-serif"/>
                <w:b/>
                <w:color w:val="000000"/>
                <w:sz w:val="19"/>
              </w:rPr>
              <w:t xml:space="preserve">of Shares Purchased </w:t>
            </w:r>
            <w:r>
              <w:rPr>
                <w:rFonts w:ascii="Arial;sans-serif" w:hAnsi="Arial;sans-serif"/>
                <w:b/>
                <w:color w:val="000000"/>
                <w:sz w:val="12"/>
              </w:rPr>
              <w:t>(a)</w:t>
            </w:r>
          </w:p>
        </w:tc>
        <w:tc>
          <w:tcPr>
            <w:tcW w:w="15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Average Price Paid per Share</w:t>
            </w:r>
          </w:p>
        </w:tc>
        <w:tc>
          <w:tcPr>
            <w:tcW w:w="2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 xml:space="preserve">Total Number of Shares Purchased as Part of Publicly Announced </w:t>
              <w:br/>
              <w:t>Plans or Programs</w:t>
            </w:r>
          </w:p>
        </w:tc>
        <w:tc>
          <w:tcPr>
            <w:tcW w:w="2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9"/>
              </w:rPr>
            </w:pPr>
            <w:r>
              <w:rPr>
                <w:rFonts w:ascii="Arial;sans-serif" w:hAnsi="Arial;sans-serif"/>
                <w:b/>
                <w:color w:val="000000"/>
                <w:sz w:val="19"/>
              </w:rPr>
              <w:t xml:space="preserve">Maximum Value of Shares that May Yet Be Purchased Under the </w:t>
            </w:r>
          </w:p>
          <w:p>
            <w:pPr>
              <w:pStyle w:val="TableContents"/>
              <w:bidi w:val="0"/>
              <w:spacing w:lineRule="auto" w:line="240" w:before="0" w:after="0"/>
              <w:jc w:val="right"/>
              <w:rPr/>
            </w:pPr>
            <w:r>
              <w:rPr>
                <w:rFonts w:ascii="Arial;sans-serif" w:hAnsi="Arial;sans-serif"/>
                <w:b/>
                <w:color w:val="000000"/>
                <w:sz w:val="19"/>
              </w:rPr>
              <w:t xml:space="preserve">Plans or Programs (millions) </w:t>
            </w:r>
            <w:r>
              <w:rPr>
                <w:rFonts w:ascii="Arial;sans-serif" w:hAnsi="Arial;sans-serif"/>
                <w:b/>
                <w:color w:val="000000"/>
                <w:sz w:val="12"/>
              </w:rPr>
              <w:t>(b)</w:t>
            </w:r>
          </w:p>
        </w:tc>
      </w:tr>
      <w:tr>
        <w:trPr/>
        <w:tc>
          <w:tcPr>
            <w:tcW w:w="11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First Quarter 2026</w:t>
            </w:r>
          </w:p>
        </w:tc>
        <w:tc>
          <w:tcPr>
            <w:tcW w:w="11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1,382,767 </w:t>
            </w:r>
          </w:p>
        </w:tc>
        <w:tc>
          <w:tcPr>
            <w:tcW w:w="4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6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56.81 </w:t>
            </w:r>
          </w:p>
        </w:tc>
        <w:tc>
          <w:tcPr>
            <w:tcW w:w="1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April 1-30, 2026</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412,056 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61.45 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May 1-31, 2026</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224,500 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59.75 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June 1-30, 2026</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6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81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1,223 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Second Quarter 2026</w:t>
            </w:r>
          </w:p>
        </w:tc>
        <w:tc>
          <w:tcPr>
            <w:tcW w:w="11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636,556 </w:t>
            </w:r>
          </w:p>
        </w:tc>
        <w:tc>
          <w:tcPr>
            <w:tcW w:w="4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6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60.85 </w:t>
            </w:r>
          </w:p>
        </w:tc>
        <w:tc>
          <w:tcPr>
            <w:tcW w:w="1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2026</w:t>
            </w:r>
          </w:p>
        </w:tc>
        <w:tc>
          <w:tcPr>
            <w:tcW w:w="1181"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2,019,323 </w:t>
            </w:r>
          </w:p>
        </w:tc>
        <w:tc>
          <w:tcPr>
            <w:tcW w:w="49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6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58.09 </w:t>
            </w:r>
          </w:p>
        </w:tc>
        <w:tc>
          <w:tcPr>
            <w:tcW w:w="18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36"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97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81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1,223 </w:t>
            </w:r>
          </w:p>
        </w:tc>
        <w:tc>
          <w:tcPr>
            <w:tcW w:w="44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2"/>
        </w:rPr>
        <w:t>(a)    </w:t>
      </w:r>
      <w:r>
        <w:rPr>
          <w:rFonts w:ascii="Arial;sans-serif" w:hAnsi="Arial;sans-serif"/>
          <w:b w:val="false"/>
          <w:color w:val="000000"/>
          <w:sz w:val="18"/>
        </w:rPr>
        <w:t>Includes purchases from the trustee of Occidental's defined contribution savings plan that are not part of publicly announced plans or programs.</w:t>
      </w:r>
    </w:p>
    <w:p>
      <w:pPr>
        <w:pStyle w:val="TextBody"/>
        <w:bidi w:val="0"/>
        <w:spacing w:lineRule="auto" w:line="288" w:before="0" w:after="0"/>
        <w:ind w:left="0" w:right="0" w:hanging="360"/>
        <w:jc w:val="both"/>
        <w:rPr/>
      </w:pPr>
      <w:r>
        <w:rPr>
          <w:rFonts w:ascii="Arial;sans-serif" w:hAnsi="Arial;sans-serif"/>
          <w:b w:val="false"/>
          <w:color w:val="000000"/>
          <w:sz w:val="12"/>
        </w:rPr>
        <w:t>(b)    </w:t>
      </w:r>
      <w:r>
        <w:rPr>
          <w:rFonts w:ascii="Arial;sans-serif" w:hAnsi="Arial;sans-serif"/>
          <w:b w:val="false"/>
          <w:color w:val="000000"/>
          <w:sz w:val="18"/>
        </w:rPr>
        <w:t>Represents the value of shares remaining in Occidental's share repurchase plan. In February 2023, Occidental announced an authorization to repurchase up to $3.0 billion of Occidental's shares of common stock. The plan does not obligate Occidental to acquire any specific number of shares and may be discontinued at any time.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Arial;sans-serif" w:hAnsi="Arial;sans-serif"/>
          <w:b/>
          <w:color w:val="00539B"/>
          <w:sz w:val="23"/>
        </w:rPr>
      </w:pPr>
      <w:r>
        <w:rPr>
          <w:rFonts w:ascii="Arial;sans-serif" w:hAnsi="Arial;sans-serif"/>
          <w:b/>
          <w:color w:val="00539B"/>
          <w:sz w:val="23"/>
        </w:rPr>
        <w:t>Item 5. Other Information</w:t>
      </w:r>
    </w:p>
    <w:p>
      <w:pPr>
        <w:pStyle w:val="TextBody"/>
        <w:bidi w:val="0"/>
        <w:spacing w:before="0" w:after="0"/>
        <w:jc w:val="left"/>
        <w:rPr/>
      </w:pPr>
      <w:r>
        <w:rPr/>
      </w:r>
    </w:p>
    <w:p>
      <w:pPr>
        <w:pStyle w:val="TextBody"/>
        <w:bidi w:val="0"/>
        <w:spacing w:lineRule="auto" w:line="288" w:before="0" w:after="0"/>
        <w:ind w:left="0" w:right="0" w:firstLine="270"/>
        <w:jc w:val="both"/>
        <w:rPr>
          <w:rFonts w:ascii="Arial;sans-serif" w:hAnsi="Arial;sans-serif"/>
          <w:b w:val="false"/>
          <w:color w:val="000000"/>
          <w:sz w:val="19"/>
        </w:rPr>
      </w:pPr>
      <w:r>
        <w:rPr>
          <w:rFonts w:ascii="Arial;sans-serif" w:hAnsi="Arial;sans-serif"/>
          <w:b w:val="false"/>
          <w:color w:val="000000"/>
          <w:sz w:val="19"/>
        </w:rPr>
        <w:t>During the three months ended June 30, 2026, no director or Section 16 officer of the Company adopted or terminated any Rule 10b5-1 trading arrangements or non-Rule 10b5-1 trading arrangements (in each case, as defined in Item 408(a) of Regulation S-K).</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539B"/>
          <w:sz w:val="23"/>
        </w:rPr>
      </w:pPr>
      <w:r>
        <w:rPr>
          <w:rFonts w:ascii="Arial;sans-serif" w:hAnsi="Arial;sans-serif"/>
          <w:b/>
          <w:color w:val="00539B"/>
          <w:sz w:val="23"/>
        </w:rPr>
        <w:t>Item 6. Exhibits</w:t>
      </w:r>
    </w:p>
    <w:tbl>
      <w:tblPr>
        <w:tblW w:w="10205" w:type="dxa"/>
        <w:jc w:val="left"/>
        <w:tblInd w:w="0" w:type="dxa"/>
        <w:tblLayout w:type="fixed"/>
        <w:tblCellMar>
          <w:top w:w="28" w:type="dxa"/>
          <w:left w:w="28" w:type="dxa"/>
          <w:bottom w:w="28" w:type="dxa"/>
          <w:right w:w="28" w:type="dxa"/>
        </w:tblCellMar>
      </w:tblPr>
      <w:tblGrid>
        <w:gridCol w:w="334"/>
        <w:gridCol w:w="291"/>
        <w:gridCol w:w="292"/>
        <w:gridCol w:w="3002"/>
        <w:gridCol w:w="2951"/>
        <w:gridCol w:w="2959"/>
        <w:gridCol w:w="109"/>
        <w:gridCol w:w="109"/>
        <w:gridCol w:w="158"/>
      </w:tblGrid>
      <w:tr>
        <w:trPr/>
        <w:tc>
          <w:tcPr>
            <w:tcW w:w="33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002" w:type="dxa"/>
            <w:tcBorders/>
            <w:vAlign w:val="center"/>
          </w:tcPr>
          <w:p>
            <w:pPr>
              <w:pStyle w:val="TableContents"/>
              <w:bidi w:val="0"/>
              <w:spacing w:before="0" w:after="283"/>
              <w:jc w:val="left"/>
              <w:rPr>
                <w:sz w:val="4"/>
                <w:szCs w:val="4"/>
              </w:rPr>
            </w:pPr>
            <w:r>
              <w:rPr>
                <w:sz w:val="4"/>
                <w:szCs w:val="4"/>
              </w:rPr>
            </w:r>
          </w:p>
        </w:tc>
        <w:tc>
          <w:tcPr>
            <w:tcW w:w="2951" w:type="dxa"/>
            <w:tcBorders/>
            <w:vAlign w:val="center"/>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w:t>
            </w:r>
          </w:p>
        </w:tc>
        <w:tc>
          <w:tcPr>
            <w:tcW w:w="89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1separationagreem.htm">
              <w:r>
                <w:rPr>
                  <w:rStyle w:val="InternetLink"/>
                  <w:rFonts w:ascii="Arial;sans-serif" w:hAnsi="Arial;sans-serif"/>
                  <w:b w:val="false"/>
                  <w:color w:val="000000"/>
                  <w:sz w:val="19"/>
                </w:rPr>
                <w:t>Separation Agreement by and between Occidental Petroleum Corporation and Vicki Hollub effective June 1, 2026.</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31.1*</w:t>
            </w:r>
          </w:p>
        </w:tc>
        <w:tc>
          <w:tcPr>
            <w:tcW w:w="89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1-10xq63026.htm">
              <w:r>
                <w:rPr>
                  <w:rStyle w:val="InternetLink"/>
                  <w:rFonts w:ascii="Arial;sans-serif" w:hAnsi="Arial;sans-serif"/>
                  <w:b w:val="false"/>
                  <w:color w:val="000000"/>
                  <w:sz w:val="19"/>
                </w:rPr>
                <w:t>Certification of CEO Pursuant to Section 302 of the Sarbanes-Oxley Act of 2002.</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31.2* </w:t>
            </w:r>
          </w:p>
        </w:tc>
        <w:tc>
          <w:tcPr>
            <w:tcW w:w="89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2-10xq63026.htm">
              <w:r>
                <w:rPr>
                  <w:rStyle w:val="InternetLink"/>
                  <w:rFonts w:ascii="Arial;sans-serif" w:hAnsi="Arial;sans-serif"/>
                  <w:b w:val="false"/>
                  <w:color w:val="000000"/>
                  <w:sz w:val="19"/>
                </w:rPr>
                <w:t>Certification of CFO Pursuant to Section 302 of the Sarbanes-Oxley Act of 2002.</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32.1**</w:t>
            </w:r>
          </w:p>
        </w:tc>
        <w:tc>
          <w:tcPr>
            <w:tcW w:w="89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1-10xq63026.htm">
              <w:r>
                <w:rPr>
                  <w:rStyle w:val="InternetLink"/>
                  <w:rFonts w:ascii="Arial;sans-serif" w:hAnsi="Arial;sans-serif"/>
                  <w:b w:val="false"/>
                  <w:color w:val="000000"/>
                  <w:sz w:val="19"/>
                </w:rPr>
                <w:t>Certifications of CEO and CFO Pursuant to Section 906 of the Sarbanes-Oxley Act of 2002.</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101.INS*</w:t>
            </w:r>
          </w:p>
        </w:tc>
        <w:tc>
          <w:tcPr>
            <w:tcW w:w="8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Inline XBRL Instance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101.SCH*</w:t>
            </w:r>
          </w:p>
        </w:tc>
        <w:tc>
          <w:tcPr>
            <w:tcW w:w="8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Inline XBRL Taxonomy Extension Schema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101.CAL*</w:t>
            </w:r>
          </w:p>
        </w:tc>
        <w:tc>
          <w:tcPr>
            <w:tcW w:w="8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Inline XBRL Taxonomy Extension Calculation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101.LAB*</w:t>
            </w:r>
          </w:p>
        </w:tc>
        <w:tc>
          <w:tcPr>
            <w:tcW w:w="8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Inline XBRL Taxonomy Extension Label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101.PRE*</w:t>
            </w:r>
          </w:p>
        </w:tc>
        <w:tc>
          <w:tcPr>
            <w:tcW w:w="8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Inline XBRL Taxonomy Extension Presentation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101.DEF*</w:t>
            </w:r>
          </w:p>
        </w:tc>
        <w:tc>
          <w:tcPr>
            <w:tcW w:w="8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Inline XBRL Taxonomy Extension Definition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104*</w:t>
            </w:r>
          </w:p>
        </w:tc>
        <w:tc>
          <w:tcPr>
            <w:tcW w:w="8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Cover Page Interactive Data File (formatted as Inline XBRL and contained in Exhibit 101). </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Indicates a management contract or compensatory plan or arrangement.</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Filed herewith.</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Furnished herewith.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0"/>
        <w:jc w:val="left"/>
        <w:rPr/>
      </w:pPr>
      <w:r>
        <w:rPr/>
      </w:r>
    </w:p>
    <w:tbl>
      <w:tblPr>
        <w:tblW w:w="2071" w:type="dxa"/>
        <w:jc w:val="left"/>
        <w:tblInd w:w="0" w:type="dxa"/>
        <w:tblLayout w:type="fixed"/>
        <w:tblCellMar>
          <w:top w:w="28" w:type="dxa"/>
          <w:left w:w="28" w:type="dxa"/>
          <w:bottom w:w="28" w:type="dxa"/>
          <w:right w:w="28" w:type="dxa"/>
        </w:tblCellMar>
      </w:tblPr>
      <w:tblGrid>
        <w:gridCol w:w="663"/>
        <w:gridCol w:w="583"/>
        <w:gridCol w:w="825"/>
      </w:tblGrid>
      <w:tr>
        <w:trPr/>
        <w:tc>
          <w:tcPr>
            <w:tcW w:w="66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r>
      <w:tr>
        <w:trPr/>
        <w:tc>
          <w:tcPr>
            <w:tcW w:w="2071" w:type="dxa"/>
            <w:gridSpan w:val="3"/>
            <w:tcBorders>
              <w:top w:val="single" w:sz="12" w:space="0" w:color="00539B"/>
              <w:bottom w:val="single" w:sz="12" w:space="0" w:color="00539B"/>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539B"/>
                <w:sz w:val="28"/>
              </w:rPr>
            </w:pPr>
            <w:r>
              <w:rPr>
                <w:rFonts w:ascii="Arial;sans-serif" w:hAnsi="Arial;sans-serif"/>
                <w:b/>
                <w:color w:val="00539B"/>
                <w:sz w:val="28"/>
              </w:rPr>
              <w:t>SIGNATURES</w:t>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4839" w:type="dxa"/>
        <w:jc w:val="left"/>
        <w:tblInd w:w="0" w:type="dxa"/>
        <w:tblLayout w:type="fixed"/>
        <w:tblCellMar>
          <w:top w:w="28" w:type="dxa"/>
          <w:left w:w="28" w:type="dxa"/>
          <w:bottom w:w="28" w:type="dxa"/>
          <w:right w:w="28" w:type="dxa"/>
        </w:tblCellMar>
      </w:tblPr>
      <w:tblGrid>
        <w:gridCol w:w="124"/>
        <w:gridCol w:w="109"/>
        <w:gridCol w:w="109"/>
        <w:gridCol w:w="1374"/>
        <w:gridCol w:w="1374"/>
        <w:gridCol w:w="137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OCCIDENTAL PETROLEUM CORPORATION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702" w:type="dxa"/>
        <w:jc w:val="left"/>
        <w:tblInd w:w="0" w:type="dxa"/>
        <w:tblLayout w:type="fixed"/>
        <w:tblCellMar>
          <w:top w:w="28" w:type="dxa"/>
          <w:left w:w="28" w:type="dxa"/>
          <w:bottom w:w="28" w:type="dxa"/>
          <w:right w:w="28" w:type="dxa"/>
        </w:tblCellMar>
      </w:tblPr>
      <w:tblGrid>
        <w:gridCol w:w="520"/>
        <w:gridCol w:w="458"/>
        <w:gridCol w:w="462"/>
        <w:gridCol w:w="1628"/>
        <w:gridCol w:w="1628"/>
        <w:gridCol w:w="1634"/>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August 5, 2026</w:t>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Christopher O. Champion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Christopher O. Champion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Vice President, Chief Accounting Officer and Controller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40" w:before="0" w:after="0"/>
        <w:jc w:val="right"/>
        <w:rPr>
          <w:rFonts w:ascii="Arial;sans-serif" w:hAnsi="Arial;sans-serif"/>
          <w:b/>
          <w:color w:val="000000"/>
          <w:sz w:val="24"/>
        </w:rPr>
      </w:pPr>
      <w:r>
        <w:rPr>
          <w:rFonts w:ascii="Arial;sans-serif" w:hAnsi="Arial;sans-serif"/>
          <w:b/>
          <w:color w:val="000000"/>
          <w:sz w:val="24"/>
        </w:rPr>
        <w:t>EXHIBIT 10.1</w:t>
      </w:r>
    </w:p>
    <w:p>
      <w:pPr>
        <w:pStyle w:val="TextBody"/>
        <w:bidi w:val="0"/>
        <w:spacing w:before="0" w:after="240"/>
        <w:ind w:left="0" w:right="0" w:firstLine="720"/>
        <w:jc w:val="both"/>
        <w:rPr/>
      </w:pPr>
      <w:r>
        <w:rPr/>
      </w:r>
    </w:p>
    <w:p>
      <w:pPr>
        <w:pStyle w:val="TextBody"/>
        <w:bidi w:val="0"/>
        <w:spacing w:lineRule="auto" w:line="240" w:before="0" w:after="240"/>
        <w:ind w:left="0" w:right="0" w:firstLine="720"/>
        <w:jc w:val="both"/>
        <w:rPr/>
      </w:pPr>
      <w:r>
        <w:rPr>
          <w:rFonts w:ascii="Arial;sans-serif" w:hAnsi="Arial;sans-serif"/>
          <w:b w:val="false"/>
          <w:color w:val="000000"/>
          <w:sz w:val="22"/>
        </w:rPr>
        <w:t>THIS AGREEMENT (“</w:t>
      </w:r>
      <w:r>
        <w:rPr>
          <w:rFonts w:ascii="Arial;sans-serif" w:hAnsi="Arial;sans-serif"/>
          <w:b/>
          <w:color w:val="000000"/>
          <w:sz w:val="22"/>
        </w:rPr>
        <w:t>Agreement</w:t>
      </w:r>
      <w:r>
        <w:rPr>
          <w:color w:val="000000"/>
        </w:rPr>
        <w:t>”</w:t>
      </w:r>
      <w:r>
        <w:rPr>
          <w:rFonts w:ascii="Arial;sans-serif" w:hAnsi="Arial;sans-serif"/>
          <w:b w:val="false"/>
          <w:color w:val="000000"/>
          <w:sz w:val="22"/>
        </w:rPr>
        <w:t>) is entered into as of the Effective Date (as defined in Paragraph 1), by and between Occidental Petroleum Corporation, a Delaware corporation (“</w:t>
      </w:r>
      <w:r>
        <w:rPr>
          <w:rFonts w:ascii="Arial;sans-serif" w:hAnsi="Arial;sans-serif"/>
          <w:b/>
          <w:color w:val="000000"/>
          <w:sz w:val="22"/>
        </w:rPr>
        <w:t>Employer</w:t>
      </w:r>
      <w:r>
        <w:rPr>
          <w:color w:val="000000"/>
        </w:rPr>
        <w:t>”</w:t>
      </w:r>
      <w:r>
        <w:rPr>
          <w:rFonts w:ascii="Arial;sans-serif" w:hAnsi="Arial;sans-serif"/>
          <w:b w:val="false"/>
          <w:color w:val="000000"/>
          <w:sz w:val="22"/>
        </w:rPr>
        <w:t>), and Vicki Hollub (“</w:t>
      </w:r>
      <w:r>
        <w:rPr>
          <w:rFonts w:ascii="Arial;sans-serif" w:hAnsi="Arial;sans-serif"/>
          <w:b/>
          <w:color w:val="000000"/>
          <w:sz w:val="22"/>
        </w:rPr>
        <w:t>you</w:t>
      </w:r>
      <w:r>
        <w:rPr>
          <w:color w:val="000000"/>
        </w:rPr>
        <w:t>”</w:t>
      </w:r>
      <w:r>
        <w:rPr>
          <w:rFonts w:ascii="Arial;sans-serif" w:hAnsi="Arial;sans-serif"/>
          <w:b w:val="false"/>
          <w:color w:val="000000"/>
          <w:sz w:val="22"/>
        </w:rPr>
        <w:t xml:space="preserve">), based upon the following: </w:t>
      </w:r>
    </w:p>
    <w:p>
      <w:pPr>
        <w:pStyle w:val="TextBody"/>
        <w:bidi w:val="0"/>
        <w:spacing w:lineRule="auto" w:line="288" w:before="0" w:after="240"/>
        <w:ind w:left="0" w:right="0" w:hanging="360"/>
        <w:jc w:val="both"/>
        <w:rPr/>
      </w:pPr>
      <w:r>
        <w:rPr>
          <w:rFonts w:ascii="Arial;sans-serif" w:hAnsi="Arial;sans-serif"/>
          <w:b w:val="false"/>
          <w:color w:val="000000"/>
          <w:sz w:val="22"/>
        </w:rPr>
        <w:t>A. You have been employed as a full-time employee of Employer or its parent, subsidiaries or affiliates (collectively, “</w:t>
      </w:r>
      <w:r>
        <w:rPr>
          <w:rFonts w:ascii="Arial;sans-serif" w:hAnsi="Arial;sans-serif"/>
          <w:b/>
          <w:color w:val="000000"/>
          <w:sz w:val="22"/>
        </w:rPr>
        <w:t>OPC</w:t>
      </w:r>
      <w:r>
        <w:rPr>
          <w:color w:val="000000"/>
        </w:rPr>
        <w:t xml:space="preserve">” </w:t>
      </w:r>
      <w:r>
        <w:rPr>
          <w:rFonts w:ascii="Arial;sans-serif" w:hAnsi="Arial;sans-serif"/>
          <w:b w:val="false"/>
          <w:color w:val="000000"/>
          <w:sz w:val="22"/>
        </w:rPr>
        <w:t>or the “</w:t>
      </w:r>
      <w:r>
        <w:rPr>
          <w:rFonts w:ascii="Arial;sans-serif" w:hAnsi="Arial;sans-serif"/>
          <w:b/>
          <w:color w:val="000000"/>
          <w:sz w:val="22"/>
        </w:rPr>
        <w:t>Company</w:t>
      </w:r>
      <w:r>
        <w:rPr>
          <w:color w:val="000000"/>
        </w:rPr>
        <w:t>”</w:t>
      </w:r>
      <w:r>
        <w:rPr>
          <w:rFonts w:ascii="Arial;sans-serif" w:hAnsi="Arial;sans-serif"/>
          <w:b w:val="false"/>
          <w:color w:val="000000"/>
          <w:sz w:val="22"/>
        </w:rPr>
        <w:t>) since June 15, 1981.</w:t>
      </w:r>
    </w:p>
    <w:p>
      <w:pPr>
        <w:pStyle w:val="TextBody"/>
        <w:bidi w:val="0"/>
        <w:spacing w:lineRule="auto" w:line="288" w:before="0" w:after="240"/>
        <w:ind w:left="0" w:right="0" w:hanging="360"/>
        <w:jc w:val="both"/>
        <w:rPr>
          <w:rFonts w:ascii="Arial;sans-serif" w:hAnsi="Arial;sans-serif"/>
          <w:b w:val="false"/>
          <w:color w:val="000000"/>
          <w:sz w:val="22"/>
        </w:rPr>
      </w:pPr>
      <w:r>
        <w:rPr>
          <w:rFonts w:ascii="Arial;sans-serif" w:hAnsi="Arial;sans-serif"/>
          <w:b w:val="false"/>
          <w:color w:val="000000"/>
          <w:sz w:val="22"/>
        </w:rPr>
        <w:t>B. You have notified the Company of your intent to retire.</w:t>
      </w:r>
    </w:p>
    <w:p>
      <w:pPr>
        <w:pStyle w:val="TextBody"/>
        <w:bidi w:val="0"/>
        <w:spacing w:lineRule="auto" w:line="288" w:before="0" w:after="240"/>
        <w:ind w:left="0" w:right="0" w:hanging="360"/>
        <w:jc w:val="both"/>
        <w:rPr/>
      </w:pPr>
      <w:r>
        <w:rPr>
          <w:rFonts w:ascii="Arial;sans-serif" w:hAnsi="Arial;sans-serif"/>
          <w:b w:val="false"/>
          <w:color w:val="000000"/>
          <w:sz w:val="22"/>
        </w:rPr>
        <w:t>C.    The Executive Compensation Committee of the Board of Directors of the Company agrees that you have satisfied the eligibility requirements under the Occidental Petroleum Corporation Retirement Policy (“</w:t>
      </w:r>
      <w:r>
        <w:rPr>
          <w:rFonts w:ascii="Arial;sans-serif" w:hAnsi="Arial;sans-serif"/>
          <w:b/>
          <w:color w:val="000000"/>
          <w:sz w:val="22"/>
        </w:rPr>
        <w:t>Retirement Policy</w:t>
      </w:r>
      <w:r>
        <w:rPr>
          <w:color w:val="000000"/>
        </w:rPr>
        <w:t>”</w:t>
      </w:r>
      <w:r>
        <w:rPr>
          <w:rFonts w:ascii="Arial;sans-serif" w:hAnsi="Arial;sans-serif"/>
          <w:b w:val="false"/>
          <w:color w:val="000000"/>
          <w:sz w:val="22"/>
        </w:rPr>
        <w:t xml:space="preserve">). </w:t>
      </w:r>
    </w:p>
    <w:p>
      <w:pPr>
        <w:pStyle w:val="TextBody"/>
        <w:bidi w:val="0"/>
        <w:spacing w:lineRule="auto" w:line="288" w:before="0" w:after="240"/>
        <w:ind w:left="0" w:right="0" w:hanging="360"/>
        <w:jc w:val="both"/>
        <w:rPr>
          <w:rFonts w:ascii="Arial;sans-serif" w:hAnsi="Arial;sans-serif"/>
          <w:b w:val="false"/>
          <w:color w:val="000000"/>
          <w:sz w:val="22"/>
        </w:rPr>
      </w:pPr>
      <w:r>
        <w:rPr>
          <w:rFonts w:ascii="Arial;sans-serif" w:hAnsi="Arial;sans-serif"/>
          <w:b w:val="false"/>
          <w:color w:val="000000"/>
          <w:sz w:val="22"/>
        </w:rPr>
        <w:t>D.    This Agreement sets forth your benefits and obligations under the Retirement Policy.</w:t>
      </w:r>
    </w:p>
    <w:p>
      <w:pPr>
        <w:pStyle w:val="TextBody"/>
        <w:bidi w:val="0"/>
        <w:spacing w:lineRule="auto" w:line="288"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In consideration of the mutual promises contained in this Agreement, the parties agree as follows:</w:t>
      </w:r>
    </w:p>
    <w:p>
      <w:pPr>
        <w:pStyle w:val="TextBody"/>
        <w:bidi w:val="0"/>
        <w:spacing w:lineRule="auto" w:line="240" w:before="0" w:after="240"/>
        <w:ind w:left="0" w:right="0" w:hanging="720"/>
        <w:jc w:val="both"/>
        <w:rPr/>
      </w:pPr>
      <w:r>
        <w:rPr>
          <w:rFonts w:ascii="Arial;sans-serif" w:hAnsi="Arial;sans-serif"/>
          <w:b w:val="false"/>
          <w:color w:val="000000"/>
          <w:sz w:val="20"/>
        </w:rPr>
        <w:t>1.</w:t>
      </w:r>
      <w:r>
        <w:rPr>
          <w:rFonts w:ascii="Arial;sans-serif" w:hAnsi="Arial;sans-serif"/>
          <w:b/>
          <w:color w:val="000000"/>
          <w:sz w:val="22"/>
          <w:u w:val="single"/>
        </w:rPr>
        <w:t>Effective Date of Agreement</w:t>
      </w:r>
      <w:r>
        <w:rPr>
          <w:rFonts w:ascii="Arial;sans-serif" w:hAnsi="Arial;sans-serif"/>
          <w:b w:val="false"/>
          <w:color w:val="000000"/>
          <w:sz w:val="22"/>
        </w:rPr>
        <w:t>: This Agreement will take effect at 12:00 a.m. on the eighth day after you sign this Agreement (the “</w:t>
      </w:r>
      <w:r>
        <w:rPr>
          <w:rFonts w:ascii="Arial;sans-serif" w:hAnsi="Arial;sans-serif"/>
          <w:b/>
          <w:color w:val="000000"/>
          <w:sz w:val="22"/>
        </w:rPr>
        <w:t>Effective Date</w:t>
      </w:r>
      <w:r>
        <w:rPr>
          <w:color w:val="000000"/>
        </w:rPr>
        <w:t>”</w:t>
      </w:r>
      <w:r>
        <w:rPr>
          <w:rFonts w:ascii="Arial;sans-serif" w:hAnsi="Arial;sans-serif"/>
          <w:b w:val="false"/>
          <w:color w:val="000000"/>
          <w:sz w:val="22"/>
        </w:rPr>
        <w:t>), unless you revoke it as provided in Paragraph 12.</w:t>
      </w:r>
    </w:p>
    <w:p>
      <w:pPr>
        <w:pStyle w:val="TextBody"/>
        <w:bidi w:val="0"/>
        <w:spacing w:lineRule="auto" w:line="240" w:before="0" w:after="240"/>
        <w:ind w:left="0" w:right="0" w:hanging="720"/>
        <w:jc w:val="both"/>
        <w:rPr/>
      </w:pPr>
      <w:r>
        <w:rPr>
          <w:rFonts w:ascii="Arial;sans-serif" w:hAnsi="Arial;sans-serif"/>
          <w:b w:val="false"/>
          <w:color w:val="000000"/>
          <w:sz w:val="20"/>
        </w:rPr>
        <w:t>2.</w:t>
      </w:r>
      <w:r>
        <w:rPr>
          <w:rFonts w:ascii="Arial;sans-serif" w:hAnsi="Arial;sans-serif"/>
          <w:b/>
          <w:color w:val="000000"/>
          <w:sz w:val="22"/>
          <w:u w:val="single"/>
        </w:rPr>
        <w:t>Retirement and Retirement Date</w:t>
      </w:r>
      <w:r>
        <w:rPr>
          <w:rFonts w:ascii="Arial;sans-serif" w:hAnsi="Arial;sans-serif"/>
          <w:b w:val="false"/>
          <w:color w:val="000000"/>
          <w:sz w:val="22"/>
        </w:rPr>
        <w:t>: Your employment by the Company ends at 11:59 p.m. on June 1, 2026 (your “</w:t>
      </w:r>
      <w:r>
        <w:rPr>
          <w:rFonts w:ascii="Arial;sans-serif" w:hAnsi="Arial;sans-serif"/>
          <w:b/>
          <w:color w:val="000000"/>
          <w:sz w:val="22"/>
        </w:rPr>
        <w:t>Retirement Date</w:t>
      </w:r>
      <w:r>
        <w:rPr>
          <w:color w:val="000000"/>
        </w:rPr>
        <w:t>”</w:t>
      </w:r>
      <w:r>
        <w:rPr>
          <w:rFonts w:ascii="Arial;sans-serif" w:hAnsi="Arial;sans-serif"/>
          <w:b w:val="false"/>
          <w:color w:val="000000"/>
          <w:sz w:val="22"/>
        </w:rPr>
        <w:t xml:space="preserve">). </w:t>
      </w:r>
    </w:p>
    <w:p>
      <w:pPr>
        <w:pStyle w:val="TextBody"/>
        <w:bidi w:val="0"/>
        <w:spacing w:lineRule="auto" w:line="240" w:before="0" w:after="240"/>
        <w:ind w:left="0" w:right="0" w:hanging="720"/>
        <w:jc w:val="both"/>
        <w:rPr/>
      </w:pPr>
      <w:r>
        <w:rPr>
          <w:rFonts w:ascii="Arial;sans-serif" w:hAnsi="Arial;sans-serif"/>
          <w:b w:val="false"/>
          <w:color w:val="000000"/>
          <w:sz w:val="20"/>
        </w:rPr>
        <w:t>3.</w:t>
      </w:r>
      <w:r>
        <w:rPr>
          <w:rFonts w:ascii="Arial;sans-serif" w:hAnsi="Arial;sans-serif"/>
          <w:b/>
          <w:color w:val="000000"/>
          <w:sz w:val="22"/>
          <w:u w:val="single"/>
        </w:rPr>
        <w:t>Retirement Policy Benefits</w:t>
      </w:r>
      <w:r>
        <w:rPr>
          <w:rFonts w:ascii="Arial;sans-serif" w:hAnsi="Arial;sans-serif"/>
          <w:b w:val="false"/>
          <w:color w:val="000000"/>
          <w:sz w:val="22"/>
        </w:rPr>
        <w:t xml:space="preserve">: Any benefits provided pursuant to this Paragraph 3 will be subject to the terms and conditions governing the applicable plan, including, without limitation, the right of OPC to modify, amend, change or terminate such plan at any time. </w:t>
      </w:r>
    </w:p>
    <w:p>
      <w:pPr>
        <w:pStyle w:val="TextBody"/>
        <w:bidi w:val="0"/>
        <w:spacing w:lineRule="auto" w:line="285" w:before="0" w:after="233"/>
        <w:ind w:left="0" w:right="0" w:hanging="720"/>
        <w:jc w:val="both"/>
        <w:rPr/>
      </w:pPr>
      <w:r>
        <w:rPr>
          <w:rFonts w:ascii="Arial;sans-serif" w:hAnsi="Arial;sans-serif"/>
          <w:b w:val="false"/>
          <w:color w:val="000000"/>
          <w:sz w:val="20"/>
        </w:rPr>
        <w:t>(a)</w:t>
      </w:r>
      <w:r>
        <w:rPr>
          <w:rFonts w:ascii="Arial;sans-serif" w:hAnsi="Arial;sans-serif"/>
          <w:b/>
          <w:color w:val="000000"/>
          <w:sz w:val="22"/>
          <w:u w:val="single"/>
        </w:rPr>
        <w:t>Long-Term Incentive Full Vesting</w:t>
      </w:r>
      <w:r>
        <w:rPr>
          <w:rFonts w:ascii="Arial;sans-serif" w:hAnsi="Arial;sans-serif"/>
          <w:b w:val="false"/>
          <w:color w:val="000000"/>
          <w:sz w:val="22"/>
        </w:rPr>
        <w:t>: The service-vesting conditions applicable to all of your outstanding long-term incentives will immediately be deemed satisfied in full (and any solely time-based awards will be paid to you as soon as administratively practicable thereafter but no later 30 days following the Effective Date); provided, however, that any such outstanding awards that are also subject to satisfaction of performance-vesting conditions shall remain outstanding and shall continue to be eligible to vest subject to the satisfaction of such conditions based on the actual results of the applicable financial or other metrics and shall be payable on the regular payment dates as per the terms of the applicable award agreement.</w:t>
      </w:r>
    </w:p>
    <w:p>
      <w:pPr>
        <w:pStyle w:val="TextBody"/>
        <w:bidi w:val="0"/>
        <w:spacing w:lineRule="auto" w:line="285" w:before="0" w:after="233"/>
        <w:ind w:left="0" w:right="0" w:hanging="720"/>
        <w:jc w:val="both"/>
        <w:rPr/>
      </w:pPr>
      <w:r>
        <w:rPr>
          <w:rFonts w:ascii="Arial;sans-serif" w:hAnsi="Arial;sans-serif"/>
          <w:b w:val="false"/>
          <w:color w:val="000000"/>
          <w:sz w:val="20"/>
        </w:rPr>
        <w:t>(b)</w:t>
      </w:r>
      <w:r>
        <w:rPr>
          <w:rFonts w:ascii="Arial;sans-serif" w:hAnsi="Arial;sans-serif"/>
          <w:b/>
          <w:color w:val="000000"/>
          <w:sz w:val="22"/>
          <w:u w:val="single"/>
        </w:rPr>
        <w:t>Pro-Rated Annual Bonus</w:t>
      </w:r>
      <w:r>
        <w:rPr>
          <w:rFonts w:ascii="Arial;sans-serif" w:hAnsi="Arial;sans-serif"/>
          <w:b w:val="false"/>
          <w:color w:val="000000"/>
          <w:sz w:val="22"/>
        </w:rPr>
        <w:t>: You will be eligible to receive a fiscal 2026 annual bonus under the Executive Incentive Compensation Plan (“</w:t>
      </w:r>
      <w:r>
        <w:rPr>
          <w:rFonts w:ascii="Arial;sans-serif" w:hAnsi="Arial;sans-serif"/>
          <w:b/>
          <w:color w:val="000000"/>
          <w:sz w:val="22"/>
        </w:rPr>
        <w:t>EICP</w:t>
      </w:r>
      <w:r>
        <w:rPr>
          <w:color w:val="000000"/>
        </w:rPr>
        <w:t>”</w:t>
      </w:r>
      <w:r>
        <w:rPr>
          <w:rFonts w:ascii="Arial;sans-serif" w:hAnsi="Arial;sans-serif"/>
          <w:b w:val="false"/>
          <w:color w:val="000000"/>
          <w:sz w:val="22"/>
        </w:rPr>
        <w:t>) based on actual results and payable at the same time bonuses under the EICP are paid to other executives of the Company, subject to the terms of the EICP, and pro-rated based on the number of days you were employed during the 2026 performance period.</w:t>
      </w:r>
    </w:p>
    <w:p>
      <w:pPr>
        <w:pStyle w:val="TextBody"/>
        <w:bidi w:val="0"/>
        <w:spacing w:lineRule="auto" w:line="240" w:before="0" w:after="240"/>
        <w:ind w:left="0" w:right="0" w:hanging="720"/>
        <w:jc w:val="both"/>
        <w:rPr/>
      </w:pPr>
      <w:r>
        <w:rPr>
          <w:rFonts w:ascii="Arial;sans-serif" w:hAnsi="Arial;sans-serif"/>
          <w:b w:val="false"/>
          <w:color w:val="000000"/>
          <w:sz w:val="20"/>
        </w:rPr>
        <w:t>4.</w:t>
      </w:r>
      <w:r>
        <w:rPr>
          <w:rFonts w:ascii="Arial;sans-serif" w:hAnsi="Arial;sans-serif"/>
          <w:b/>
          <w:color w:val="000000"/>
          <w:sz w:val="22"/>
          <w:u w:val="single"/>
        </w:rPr>
        <w:t>Other Benefit Plans and Programs</w:t>
      </w:r>
      <w:r>
        <w:rPr>
          <w:rFonts w:ascii="Arial;sans-serif" w:hAnsi="Arial;sans-serif"/>
          <w:b w:val="false"/>
          <w:color w:val="000000"/>
          <w:sz w:val="22"/>
        </w:rPr>
        <w:t>: Except as expressly provided in Paragraph 3, your eligibility and participation in any employee benefit or compensation plans or programs offered by OPC will be subject to the terms and conditions governing the applicable benefit or compensation plan, including, without limitation, the right of OPC to modify, amend, change or terminate such plan at any time.</w:t>
      </w:r>
    </w:p>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Page 1 of 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Page 1 of 8 </w:t>
                      </w:r>
                    </w:p>
                  </w:txbxContent>
                </v:textbox>
                <w10:wrap type="none"/>
              </v:rect>
            </w:pict>
          </mc:Fallback>
        </mc:AlternateContent>
      </w:r>
    </w:p>
    <w:p>
      <w:pPr>
        <w:pStyle w:val="TextBody"/>
        <w:bidi w:val="0"/>
        <w:spacing w:lineRule="auto" w:line="240" w:before="0" w:after="240"/>
        <w:ind w:left="0" w:right="0" w:hanging="720"/>
        <w:jc w:val="both"/>
        <w:rPr/>
      </w:pPr>
      <w:r>
        <w:rPr>
          <w:rFonts w:ascii="Arial;sans-serif" w:hAnsi="Arial;sans-serif"/>
          <w:b w:val="false"/>
          <w:color w:val="000000"/>
          <w:sz w:val="20"/>
        </w:rPr>
        <w:t>5.</w:t>
      </w:r>
      <w:r>
        <w:rPr>
          <w:rFonts w:ascii="Arial;sans-serif" w:hAnsi="Arial;sans-serif"/>
          <w:b/>
          <w:color w:val="000000"/>
          <w:sz w:val="22"/>
          <w:u w:val="single"/>
        </w:rPr>
        <w:t>Confidential Information</w:t>
      </w:r>
      <w:r>
        <w:rPr>
          <w:rFonts w:ascii="Arial;sans-serif" w:hAnsi="Arial;sans-serif"/>
          <w:b w:val="false"/>
          <w:color w:val="000000"/>
          <w:sz w:val="22"/>
        </w:rPr>
        <w:t>: You</w:t>
      </w:r>
      <w:r>
        <w:rPr>
          <w:color w:val="000000"/>
        </w:rPr>
        <w:t xml:space="preserve"> </w:t>
      </w:r>
      <w:r>
        <w:rPr>
          <w:rFonts w:ascii="Arial;sans-serif" w:hAnsi="Arial;sans-serif"/>
          <w:b w:val="false"/>
          <w:color w:val="000000"/>
          <w:sz w:val="22"/>
        </w:rPr>
        <w:t xml:space="preserve">agree that you will continue to comply after your Retirement Date with any existing agreement with or for the benefit of OPC or between OPC and any third party for the benefit of the third party regarding confidential or proprietary information, including trade secrets and patents; provided, however, that any such existing confidentiality obligations will be amended to provide that they do not prohibit conduct permitted under Paragraph 21 of this Agreement. Additionally, you agree that </w:t>
      </w:r>
      <w:r>
        <w:rPr>
          <w:rFonts w:ascii="Arial;sans-serif" w:hAnsi="Arial;sans-serif"/>
          <w:b/>
          <w:i/>
          <w:color w:val="000000"/>
          <w:sz w:val="22"/>
        </w:rPr>
        <w:t>except as otherwise expressly permitted under Paragraph 21</w:t>
      </w:r>
      <w:r>
        <w:rPr>
          <w:color w:val="000000"/>
        </w:rPr>
        <w:t xml:space="preserve"> </w:t>
      </w:r>
      <w:r>
        <w:rPr>
          <w:rFonts w:ascii="Arial;sans-serif" w:hAnsi="Arial;sans-serif"/>
          <w:b w:val="false"/>
          <w:color w:val="000000"/>
          <w:sz w:val="22"/>
        </w:rPr>
        <w:t>you will not divulge to any person, business, firm, or corporation, nor use to the detriment of OPC, nor use in any business, venture, or any organization of any kind, or in any process of manufacture, production or mining, at any time during the term of this Agreement or anytime thereafter:</w:t>
      </w:r>
    </w:p>
    <w:p>
      <w:pPr>
        <w:pStyle w:val="TextBody"/>
        <w:bidi w:val="0"/>
        <w:spacing w:lineRule="auto" w:line="288" w:before="0" w:after="240"/>
        <w:ind w:left="0" w:right="0" w:hanging="720"/>
        <w:jc w:val="both"/>
        <w:rPr>
          <w:rFonts w:ascii="Arial;sans-serif" w:hAnsi="Arial;sans-serif"/>
          <w:b w:val="false"/>
          <w:color w:val="000000"/>
          <w:sz w:val="22"/>
        </w:rPr>
      </w:pPr>
      <w:r>
        <w:rPr>
          <w:rFonts w:ascii="Arial;sans-serif" w:hAnsi="Arial;sans-serif"/>
          <w:b w:val="false"/>
          <w:color w:val="000000"/>
          <w:sz w:val="22"/>
        </w:rPr>
        <w:t>(a)    Any trade secrets of OPC, in any form, including, without limitation, all graphic material, forms, documents, data and information; and</w:t>
      </w:r>
    </w:p>
    <w:p>
      <w:pPr>
        <w:pStyle w:val="TextBody"/>
        <w:bidi w:val="0"/>
        <w:spacing w:lineRule="auto" w:line="288" w:before="0" w:after="240"/>
        <w:ind w:left="0" w:right="0" w:hanging="720"/>
        <w:jc w:val="both"/>
        <w:rPr>
          <w:rFonts w:ascii="Arial;sans-serif" w:hAnsi="Arial;sans-serif"/>
          <w:b w:val="false"/>
          <w:color w:val="000000"/>
          <w:sz w:val="22"/>
        </w:rPr>
      </w:pPr>
      <w:r>
        <w:rPr>
          <w:rFonts w:ascii="Arial;sans-serif" w:hAnsi="Arial;sans-serif"/>
          <w:b w:val="false"/>
          <w:color w:val="000000"/>
          <w:sz w:val="22"/>
        </w:rPr>
        <w:t>(b)    Any confidential information of OPC, in any form, including, without limitation, inventions, discoveries, improvements, methods, technology, business plans, environmental plans, procedures and practices, enterprises, manufacturing information, purchasing information, negotiations with any third parties, plant design or operation, financial results, medical records or information, or any other confidential information of OPC affecting or concerning any aspect of the business or operations of OPC, developed, acquired, used by, disclosed to or discovered by you during your employment by OPC.</w: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However, nothing in this Agreement shall prohibit you from engaging in conduct that is Protected Conduct as provided for in Paragraph 21, or from disclosing confidential information when compelled to do so by applicable law (such as by court order or subpoena).</w:t>
      </w:r>
    </w:p>
    <w:p>
      <w:pPr>
        <w:pStyle w:val="TextBody"/>
        <w:bidi w:val="0"/>
        <w:spacing w:lineRule="auto" w:line="240" w:before="0" w:after="240"/>
        <w:ind w:left="0" w:right="0" w:hanging="720"/>
        <w:jc w:val="both"/>
        <w:rPr/>
      </w:pPr>
      <w:r>
        <w:rPr>
          <w:rFonts w:ascii="Times New Roman;serif" w:hAnsi="Times New Roman;serif"/>
          <w:b w:val="false"/>
          <w:color w:val="000000"/>
          <w:sz w:val="24"/>
        </w:rPr>
        <w:t>6.</w:t>
      </w:r>
      <w:r>
        <w:rPr>
          <w:rFonts w:ascii="Arial;sans-serif" w:hAnsi="Arial;sans-serif"/>
          <w:b/>
          <w:color w:val="000000"/>
          <w:sz w:val="22"/>
          <w:u w:val="single"/>
        </w:rPr>
        <w:t>Return of Property</w:t>
      </w:r>
      <w:r>
        <w:rPr>
          <w:rFonts w:ascii="Arial;sans-serif" w:hAnsi="Arial;sans-serif"/>
          <w:b w:val="false"/>
          <w:color w:val="000000"/>
          <w:sz w:val="22"/>
        </w:rPr>
        <w:t>: You agree to return to Employer on or before the Retirement Date, all originals, copies, and all electronic or digitally created or stored originals and copies of OPC’s directories, policies, procedures, manuals, reports, organization charts, documents, records and files, including without limitation all information of the type described in Paragraph 5(a) and (b).</w:t>
      </w:r>
    </w:p>
    <w:p>
      <w:pPr>
        <w:pStyle w:val="TextBody"/>
        <w:bidi w:val="0"/>
        <w:spacing w:lineRule="auto" w:line="240" w:before="0" w:after="240"/>
        <w:ind w:left="0" w:right="0" w:hanging="720"/>
        <w:jc w:val="both"/>
        <w:rPr/>
      </w:pPr>
      <w:r>
        <w:rPr>
          <w:rFonts w:ascii="Arial;sans-serif" w:hAnsi="Arial;sans-serif"/>
          <w:b w:val="false"/>
          <w:color w:val="000000"/>
          <w:sz w:val="20"/>
        </w:rPr>
        <w:t>7.</w:t>
      </w:r>
      <w:r>
        <w:rPr>
          <w:rFonts w:ascii="Arial;sans-serif" w:hAnsi="Arial;sans-serif"/>
          <w:b/>
          <w:color w:val="000000"/>
          <w:sz w:val="22"/>
          <w:u w:val="single"/>
        </w:rPr>
        <w:t>Non-Disclosure</w:t>
      </w:r>
      <w:r>
        <w:rPr>
          <w:rFonts w:ascii="Arial;sans-serif" w:hAnsi="Arial;sans-serif"/>
          <w:b w:val="false"/>
          <w:color w:val="000000"/>
          <w:sz w:val="22"/>
        </w:rPr>
        <w:t xml:space="preserve">: You will not disclose the terms and conditions of this Agreement to anyone other than your immediate family, accountant, or attorney or as directed by lawful court order. Nothing in this Agreement prohibits conduct that is permitted under Paragraph 21. </w:t>
      </w:r>
    </w:p>
    <w:p>
      <w:pPr>
        <w:pStyle w:val="TextBody"/>
        <w:bidi w:val="0"/>
        <w:spacing w:lineRule="auto" w:line="240" w:before="0" w:after="240"/>
        <w:ind w:left="0" w:right="0" w:hanging="720"/>
        <w:jc w:val="both"/>
        <w:rPr/>
      </w:pPr>
      <w:r>
        <w:rPr>
          <w:rFonts w:ascii="Arial;sans-serif" w:hAnsi="Arial;sans-serif"/>
          <w:b w:val="false"/>
          <w:color w:val="000000"/>
          <w:sz w:val="20"/>
        </w:rPr>
        <w:t>8.</w:t>
      </w:r>
      <w:r>
        <w:rPr>
          <w:rFonts w:ascii="Arial;sans-serif" w:hAnsi="Arial;sans-serif"/>
          <w:b/>
          <w:color w:val="000000"/>
          <w:sz w:val="22"/>
          <w:u w:val="single"/>
        </w:rPr>
        <w:t>Waiver and Release</w:t>
      </w:r>
      <w:r>
        <w:rPr>
          <w:rFonts w:ascii="Arial;sans-serif" w:hAnsi="Arial;sans-serif"/>
          <w:b w:val="false"/>
          <w:color w:val="000000"/>
          <w:sz w:val="22"/>
        </w:rPr>
        <w:t>: You absolutely and forever release and discharge OPC and its past and present parent entities, subsidiaries and affiliated entities and each of their shareholders, officers, directors, employees, insurance carriers, predecessors and successors, assigns, agents, attorneys, representatives, heirs, benefit plans, and administrators (referred to collectively as “</w:t>
      </w:r>
      <w:r>
        <w:rPr>
          <w:rFonts w:ascii="Arial;sans-serif" w:hAnsi="Arial;sans-serif"/>
          <w:b/>
          <w:color w:val="000000"/>
          <w:sz w:val="22"/>
        </w:rPr>
        <w:t>Employer Releasees</w:t>
      </w:r>
      <w:r>
        <w:rPr>
          <w:color w:val="000000"/>
        </w:rPr>
        <w:t>”</w:t>
      </w:r>
      <w:r>
        <w:rPr>
          <w:rFonts w:ascii="Arial;sans-serif" w:hAnsi="Arial;sans-serif"/>
          <w:b w:val="false"/>
          <w:color w:val="000000"/>
          <w:sz w:val="22"/>
        </w:rPr>
        <w:t>) and each of them from all your claims for relief, causes of action, liabilities, debts, liens, expenses, damages, judgments, attorneys’ fees and costs of whatever kind or nature whatsoever, whether arising in law or equity, whether currently known or unknown, or later discovered by you, that you have, may have or claim to have against Employer Releasees, individually or collectively, arising out of, relating to, or resulting from any acts or omissions occurring prior to the execution of this Agreement, including without limitation, such acts or omissions arising out of, relating to or resulting from your employment, termination of employment or any compensation, benefits, or any other terms or conditions of that employment with OPC or its past and present parent entities, subsidiaries and affiliated entities (referred to collectively as your “</w:t>
      </w:r>
      <w:r>
        <w:rPr>
          <w:rFonts w:ascii="Arial;sans-serif" w:hAnsi="Arial;sans-serif"/>
          <w:b/>
          <w:color w:val="000000"/>
          <w:sz w:val="22"/>
        </w:rPr>
        <w:t>Released Claims</w:t>
      </w:r>
      <w:r>
        <w:rPr>
          <w:color w:val="000000"/>
        </w:rPr>
        <w:t>”</w:t>
      </w:r>
      <w:r>
        <w:rPr>
          <w:rFonts w:ascii="Arial;sans-serif" w:hAnsi="Arial;sans-serif"/>
          <w:b w:val="false"/>
          <w:color w:val="000000"/>
          <w:sz w:val="22"/>
        </w:rPr>
        <w:t xml:space="preserve">). </w:t>
      </w:r>
    </w:p>
    <w:p>
      <w:pPr>
        <w:pStyle w:val="TextBody"/>
        <w:bidi w:val="0"/>
        <w:spacing w:lineRule="auto" w:line="240" w:before="0" w:after="240"/>
        <w:ind w:left="0" w:right="0" w:hanging="720"/>
        <w:jc w:val="both"/>
        <w:rPr/>
      </w:pPr>
      <w:r>
        <w:rPr>
          <w:rFonts w:ascii="Arial;sans-serif" w:hAnsi="Arial;sans-serif"/>
          <w:b w:val="false"/>
          <w:color w:val="000000"/>
          <w:sz w:val="20"/>
        </w:rPr>
        <w:t>(a)</w:t>
      </w:r>
      <w:r>
        <w:rPr>
          <w:rFonts w:ascii="Arial;sans-serif" w:hAnsi="Arial;sans-serif"/>
          <w:b w:val="false"/>
          <w:color w:val="000000"/>
          <w:sz w:val="22"/>
        </w:rPr>
        <w:t xml:space="preserve">Your Released Claims include but are not limited to all claims arising out of any express or implied agreement, or any federal, California, Texas, New York, or other state, municipal, local, Federal or foreign constitution, statute, regulation or ordinance, order, public policy or common law, examples of which include, without limitation: Title VII of the Civil Rights Act of 1964; Civil Rights Act of 1991; Civil Rights Act of 1866; Equal Pay </w:t>
      </w: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Page 2 of 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Page 2 of 8 </w:t>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Act; Pregnancy Discrimination Act, Age Discrimination in Employment Act of 1967; Employee Retirement Income Security Act of 1974; Americans with Disabilities Act; Family and Medical Leave Act of 1993; Rehabilitation Act of 1973; Worker Adjustment Retraining and Notification Act; the Uniformed Services Employment and Reemployment Rights Act; and all of the foregoing as they may have been amended.</w:t>
      </w:r>
    </w:p>
    <w:p>
      <w:pPr>
        <w:pStyle w:val="TextBody"/>
        <w:bidi w:val="0"/>
        <w:spacing w:lineRule="auto" w:line="240" w:before="0" w:after="240"/>
        <w:ind w:left="0" w:right="0" w:hanging="720"/>
        <w:jc w:val="both"/>
        <w:rPr/>
      </w:pPr>
      <w:r>
        <w:rPr>
          <w:rFonts w:ascii="Arial;sans-serif" w:hAnsi="Arial;sans-serif"/>
          <w:b w:val="false"/>
          <w:color w:val="000000"/>
          <w:sz w:val="20"/>
        </w:rPr>
        <w:t>(b)</w:t>
      </w:r>
      <w:r>
        <w:rPr>
          <w:rFonts w:ascii="Arial;sans-serif" w:hAnsi="Arial;sans-serif"/>
          <w:b w:val="false"/>
          <w:color w:val="000000"/>
          <w:sz w:val="22"/>
        </w:rPr>
        <w:t>This Agreement does not waive claims you could make, if available, (i) under COBRA or for unemployment compensation, worker’s compensation or disability benefits,</w:t>
      </w:r>
      <w:r>
        <w:rPr>
          <w:color w:val="000000"/>
        </w:rPr>
        <w:t xml:space="preserve"> </w:t>
      </w:r>
      <w:r>
        <w:rPr>
          <w:rFonts w:ascii="Arial;sans-serif" w:hAnsi="Arial;sans-serif"/>
          <w:b w:val="false"/>
          <w:color w:val="000000"/>
          <w:sz w:val="22"/>
        </w:rPr>
        <w:t>(ii) for vested rights to receive ERISA-covered benefits (</w:t>
      </w:r>
      <w:r>
        <w:rPr>
          <w:rFonts w:ascii="Arial;sans-serif" w:hAnsi="Arial;sans-serif"/>
          <w:b w:val="false"/>
          <w:i/>
          <w:color w:val="000000"/>
          <w:sz w:val="22"/>
        </w:rPr>
        <w:t>e.g.</w:t>
      </w:r>
      <w:r>
        <w:rPr>
          <w:rFonts w:ascii="Arial;sans-serif" w:hAnsi="Arial;sans-serif"/>
          <w:b w:val="false"/>
          <w:color w:val="000000"/>
          <w:sz w:val="22"/>
        </w:rPr>
        <w:t xml:space="preserve">, pension or medical benefits) pursuant to a formally-adopted and properly-authorized written benefit plan as applicable on the date you sign this Agreement, (c) that may arise after you sign this Agreement, (iv) for reimbursement of expenses under OPC’s expense reimbursement policies, (v) challenging OPC’s failure to comply with its promises under this Agreement, or (vi) that controlling law clearly states may not be released by private agreement. </w:t>
      </w:r>
    </w:p>
    <w:p>
      <w:pPr>
        <w:pStyle w:val="TextBody"/>
        <w:bidi w:val="0"/>
        <w:spacing w:lineRule="auto" w:line="240" w:before="0" w:after="240"/>
        <w:ind w:left="0" w:right="0" w:hanging="720"/>
        <w:jc w:val="both"/>
        <w:rPr/>
      </w:pPr>
      <w:r>
        <w:rPr>
          <w:rFonts w:ascii="Arial;sans-serif" w:hAnsi="Arial;sans-serif"/>
          <w:b w:val="false"/>
          <w:color w:val="000000"/>
          <w:sz w:val="20"/>
        </w:rPr>
        <w:t>(c)</w:t>
      </w:r>
      <w:r>
        <w:rPr>
          <w:rFonts w:ascii="Arial;sans-serif" w:hAnsi="Arial;sans-serif"/>
          <w:b w:val="false"/>
          <w:color w:val="000000"/>
          <w:sz w:val="22"/>
        </w:rPr>
        <w:t>Your Released Claims do not include obligations created by this Agreement or any existing rights to indemnity pursuant to statute, contractual indemnity, or By-law provisions of OPC.</w:t>
      </w:r>
    </w:p>
    <w:p>
      <w:pPr>
        <w:pStyle w:val="TextBody"/>
        <w:bidi w:val="0"/>
        <w:spacing w:lineRule="auto" w:line="240" w:before="0" w:after="240"/>
        <w:ind w:left="0" w:right="0" w:hanging="720"/>
        <w:jc w:val="both"/>
        <w:rPr/>
      </w:pPr>
      <w:r>
        <w:rPr>
          <w:rFonts w:ascii="Arial;sans-serif" w:hAnsi="Arial;sans-serif"/>
          <w:b w:val="false"/>
          <w:color w:val="000000"/>
          <w:sz w:val="20"/>
        </w:rPr>
        <w:t>9.</w:t>
      </w:r>
      <w:r>
        <w:rPr>
          <w:rFonts w:ascii="Arial;sans-serif" w:hAnsi="Arial;sans-serif"/>
          <w:b/>
          <w:color w:val="000000"/>
          <w:sz w:val="22"/>
          <w:u w:val="single"/>
        </w:rPr>
        <w:t>Laws With Respect to Releases</w:t>
      </w:r>
      <w:r>
        <w:rPr>
          <w:rFonts w:ascii="Arial;sans-serif" w:hAnsi="Arial;sans-serif"/>
          <w:b w:val="false"/>
          <w:color w:val="000000"/>
          <w:sz w:val="22"/>
        </w:rPr>
        <w:t xml:space="preserve">: There are laws that may invalidate releases of claims that are unknown to the releasing party. By signing this Agreement, and subject to the limitations provided in Paragraphs 8(b) above and 21 below, you agree to waive any protection to which you may otherwise be entitled against any Employer Releasees by virtue of any such law. </w:t>
      </w:r>
    </w:p>
    <w:p>
      <w:pPr>
        <w:pStyle w:val="TextBody"/>
        <w:bidi w:val="0"/>
        <w:spacing w:lineRule="auto" w:line="240" w:before="0" w:after="240"/>
        <w:ind w:left="0" w:right="0" w:hanging="720"/>
        <w:jc w:val="both"/>
        <w:rPr/>
      </w:pPr>
      <w:r>
        <w:rPr>
          <w:rFonts w:ascii="Arial;sans-serif" w:hAnsi="Arial;sans-serif"/>
          <w:b w:val="false"/>
          <w:color w:val="000000"/>
          <w:sz w:val="20"/>
        </w:rPr>
        <w:t>10.</w:t>
      </w:r>
      <w:r>
        <w:rPr>
          <w:rFonts w:ascii="Arial;sans-serif" w:hAnsi="Arial;sans-serif"/>
          <w:b/>
          <w:color w:val="000000"/>
          <w:sz w:val="22"/>
          <w:u w:val="single"/>
        </w:rPr>
        <w:t>Entire Agreement</w:t>
      </w:r>
      <w:r>
        <w:rPr>
          <w:rFonts w:ascii="Arial;sans-serif" w:hAnsi="Arial;sans-serif"/>
          <w:b w:val="false"/>
          <w:color w:val="000000"/>
          <w:sz w:val="22"/>
        </w:rPr>
        <w:t>: This Agreement and any previously signed agreements related to inventions, business ideas, confidentiality of corporate information, unfair competition, and arbitration or other dispute resolution programs contain the entire agreement and understanding between the parties concerning the subject matters of this Agreement. Each party represents to the other that this Agreement is executed without reliance on any inducement or representation by anyone except as stated in this Agreement. Any other existing employment or consulting agreement or any plan, program or arrangement of Retirement, severance, termination, or pay continuation, oral, written or implied, between you and OPC shall be deemed to be terminated and of no further force or effect as of your Retirement Date. This Agreement can only be modified by a writing signed by you and Employer. The headings in this Agreement are for reference only and shall not affect the substance of this Agreement.</w:t>
      </w:r>
    </w:p>
    <w:p>
      <w:pPr>
        <w:pStyle w:val="TextBody"/>
        <w:bidi w:val="0"/>
        <w:spacing w:lineRule="auto" w:line="240" w:before="0" w:after="240"/>
        <w:ind w:left="0" w:right="0" w:hanging="720"/>
        <w:jc w:val="both"/>
        <w:rPr/>
      </w:pPr>
      <w:r>
        <w:rPr>
          <w:rFonts w:ascii="Arial;sans-serif" w:hAnsi="Arial;sans-serif"/>
          <w:b w:val="false"/>
          <w:color w:val="000000"/>
          <w:sz w:val="20"/>
        </w:rPr>
        <w:t>11.</w:t>
      </w:r>
      <w:r>
        <w:rPr>
          <w:rFonts w:ascii="Arial;sans-serif" w:hAnsi="Arial;sans-serif"/>
          <w:b/>
          <w:color w:val="000000"/>
          <w:sz w:val="22"/>
          <w:u w:val="single"/>
        </w:rPr>
        <w:t>Arbitration</w:t>
      </w:r>
      <w:r>
        <w:rPr>
          <w:rFonts w:ascii="Arial;sans-serif" w:hAnsi="Arial;sans-serif"/>
          <w:b w:val="false"/>
          <w:color w:val="000000"/>
          <w:sz w:val="22"/>
        </w:rPr>
        <w:t xml:space="preserve">: If you and OPC are parties to an arbitration agreement, the arbitration agreement survives this Agreement, will continue to apply in full force and effect, and will govern and apply to any and all claims or disputes arising out of or related to this Agreement. If you and OPC are not parties to an arbitration agreement or such arbitration agreement is deemed unenforceable, invalid, or inapplicable, you and OPC agree to the following Arbitration Agreement, then the following “Arbitration Agreement” applies: </w:t>
      </w:r>
    </w:p>
    <w:p>
      <w:pPr>
        <w:pStyle w:val="TextBody"/>
        <w:bidi w:val="0"/>
        <w:spacing w:lineRule="auto" w:line="240" w:before="0" w:after="240"/>
        <w:ind w:left="0" w:right="0" w:hanging="720"/>
        <w:jc w:val="both"/>
        <w:rPr/>
      </w:pPr>
      <w:r>
        <w:rPr>
          <w:rFonts w:ascii="Arial;sans-serif" w:hAnsi="Arial;sans-serif"/>
          <w:b w:val="false"/>
          <w:color w:val="000000"/>
          <w:sz w:val="20"/>
        </w:rPr>
        <w:t>(a)</w:t>
      </w:r>
      <w:r>
        <w:rPr>
          <w:rFonts w:ascii="Arial;sans-serif" w:hAnsi="Arial;sans-serif"/>
          <w:b w:val="false"/>
          <w:color w:val="000000"/>
          <w:sz w:val="22"/>
        </w:rPr>
        <w:t xml:space="preserve">You and OPC mutually agree that, except as otherwise provided in this arbitration agreement, any and all claims or disputes, past, present, and future, arising out of or related to: (i) this Agreement, (ii) any other agreement between us, and/or (iii) your employment and retirement from employment with OPC will be decided by a single arbitrator through final and binding arbitration and not by a judge or jury, under the Employment Arbitration Rules (for individually-negotiated employment contracts) of the American Arbitration Association ("AAA Rules")(the AAA Rules are available via the internet at www.adr.org/employment or by using a service such as Google to search for “AAA Employment Arbitration Rules”); provided, however, if there is a conflict between the AAA Rules and this Arbitration Agreement, this Arbitration Agreement will govern. The parties agree the Federal Arbitration Act (“FAA”) (9 U.S.C. § 1 et seq.) applies to and governs this Arbitration Agreement, which evidences a transaction involving commerce. If the FAA does not apply to a particular dispute or to one or both parties, the parties agree the Texas Arbitration Act will apply. The arbitrator (who must be a retired judge from any jurisdiction) will be selected as follows: AAA will give each party a list of 11 arbitrators drawn from its panel of arbitrators, from which the parties will strike </w:t>
      </w: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Page 3 of 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Page 3 of 8 </w:t>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 xml:space="preserve">alternately by telephone conference administered by AAA, with the party to strike first to be determined by a coin toss conducted by AAA, until only one name remains. </w:t>
      </w:r>
    </w:p>
    <w:p>
      <w:pPr>
        <w:pStyle w:val="TextBody"/>
        <w:bidi w:val="0"/>
        <w:spacing w:lineRule="auto" w:line="240" w:before="0" w:after="240"/>
        <w:ind w:left="0" w:right="0" w:hanging="720"/>
        <w:jc w:val="both"/>
        <w:rPr/>
      </w:pPr>
      <w:r>
        <w:rPr>
          <w:rFonts w:ascii="Arial;sans-serif" w:hAnsi="Arial;sans-serif"/>
          <w:b w:val="false"/>
          <w:color w:val="000000"/>
          <w:sz w:val="20"/>
        </w:rPr>
        <w:t>(b)</w:t>
      </w:r>
      <w:r>
        <w:rPr>
          <w:rFonts w:ascii="Arial;sans-serif" w:hAnsi="Arial;sans-serif"/>
          <w:b w:val="false"/>
          <w:color w:val="000000"/>
          <w:sz w:val="22"/>
        </w:rPr>
        <w:t xml:space="preserve">Except as it otherwise provides, this Arbitration Agreement applies, without limitation, to claims under Title VII of the Civil Rights Act of 1964, the Civil Rights Acts of 1866 and 1871, the Civil Rights Act of 1991, 42 U.S.C. § 1981, the Pregnancy Discrimination Act, the Americans With Disabilities Act, the Age Discrimination in Employment Act, Older Workers Benefits Protection Act of 1990, the Fair Credit Reporting Act, the Fair Labor Standards Act, Worker Adjustment and Retraining Notification Act, the Genetic Information Non-Discrimination Act, the Uniformed Services Employment and Reemployment Rights Act, state statutes or regulations addressing the same or similar subject matters, and any claims for violation of any federal, state or other governmental law, statute, regulation, or ordinance. OPC and you also agree that any dispute regarding the validity, scope, applicability, enforceability, or waiver of the Agreement and/or this Arbitration Agreement, including, but not limited to, any claim that all or any part of this Arbitration Agreement is void or voidable will also be resolved by an arbitrator—and not the court. However, the preceding sentence does not apply to any claims under the Ending Forced Arbitration of Sexual Assault and Sexual Harassment Act, and it does not apply to the Class Action Waiver, as further described below. Notwithstanding any other clause or language in this Arbitration Agreement and/or any rules or procedures that might otherwise apply because of this Arbitration Agreement (including, without limitation, the AAA Rules), any disputes about the Ending Forced Arbitration of Sexual Assault and Sexual Harassment Act and/or any dispute about the validity, enforceability, or applicability of all or any portion of the Class Action Waiver will be determined only by a court of competent jurisdiction and not by an arbitrator. </w:t>
      </w:r>
    </w:p>
    <w:p>
      <w:pPr>
        <w:pStyle w:val="TextBody"/>
        <w:bidi w:val="0"/>
        <w:spacing w:lineRule="auto" w:line="240" w:before="0" w:after="240"/>
        <w:ind w:left="0" w:right="0" w:hanging="720"/>
        <w:jc w:val="both"/>
        <w:rPr/>
      </w:pPr>
      <w:r>
        <w:rPr>
          <w:rFonts w:ascii="Arial;sans-serif" w:hAnsi="Arial;sans-serif"/>
          <w:b w:val="false"/>
          <w:color w:val="000000"/>
          <w:sz w:val="20"/>
        </w:rPr>
        <w:t>(c)</w:t>
      </w:r>
      <w:r>
        <w:rPr>
          <w:rFonts w:ascii="Arial;sans-serif" w:hAnsi="Arial;sans-serif"/>
          <w:b w:val="false"/>
          <w:color w:val="000000"/>
          <w:sz w:val="22"/>
        </w:rPr>
        <w:t>This Arbitration Agreement does not cover disputes that an applicable federal statute expressly states cannot be arbitrated or subject to a pre-dispute arbitration agreement, including, without limitation, disputes that may not be subject to a pre-dispute arbitration agreement under the Ending Forced Arbitration of Sexual Assault and Sexual Harassment Act (at your election). Moreover, any dispute or claim in connection with the receipt of benefits under any OPC-sponsored benefit plans shall be governed exclusively by the claims procedures under the applicable plan. If any claim(s) not covered under this Arbitration Agreement above are combined with claims that are covered under this Arbitration Agreement, the covered claims will be arbitrated and continue to be covered under this Arbitration Agreement, to the fullest extent permitted by applicable law. Either party may apply to a court of competent jurisdiction for temporary or preliminary injunctive relief in connection with an arbitrable controversy. The court to which the application is made is authorized to consider the merits of the arbitrable controversy to the extent it deems necessary in making its ruling, but only to the extent permitted by applicable law. All determinations of final relief, however, will be decided in arbitration.</w:t>
      </w:r>
    </w:p>
    <w:p>
      <w:pPr>
        <w:pStyle w:val="TextBody"/>
        <w:bidi w:val="0"/>
        <w:spacing w:lineRule="auto" w:line="240" w:before="0" w:after="240"/>
        <w:ind w:left="0" w:right="0" w:hanging="720"/>
        <w:jc w:val="both"/>
        <w:rPr/>
      </w:pPr>
      <w:r>
        <w:rPr>
          <w:rFonts w:ascii="Arial;sans-serif" w:hAnsi="Arial;sans-serif"/>
          <w:b w:val="false"/>
          <w:color w:val="000000"/>
          <w:sz w:val="20"/>
        </w:rPr>
        <w:t>(d)</w:t>
      </w:r>
      <w:r>
        <w:rPr>
          <w:rFonts w:ascii="Arial;sans-serif" w:hAnsi="Arial;sans-serif"/>
          <w:b w:val="false"/>
          <w:color w:val="000000"/>
          <w:sz w:val="22"/>
        </w:rPr>
        <w:t>OPC and you waive any right for any dispute to be brought, heard, decided, or arbitrated as a class action and/or collective action, and the arbitrator will have no authority to hear or preside over any class and/or collective action (“</w:t>
      </w:r>
      <w:r>
        <w:rPr>
          <w:rFonts w:ascii="Arial;sans-serif" w:hAnsi="Arial;sans-serif"/>
          <w:b/>
          <w:color w:val="000000"/>
          <w:sz w:val="22"/>
        </w:rPr>
        <w:t>Class Action Waiver</w:t>
      </w:r>
      <w:r>
        <w:rPr>
          <w:color w:val="000000"/>
        </w:rPr>
        <w:t>”</w:t>
      </w:r>
      <w:r>
        <w:rPr>
          <w:rFonts w:ascii="Arial;sans-serif" w:hAnsi="Arial;sans-serif"/>
          <w:b w:val="false"/>
          <w:color w:val="000000"/>
          <w:sz w:val="22"/>
        </w:rPr>
        <w:t xml:space="preserve">). Additionally, no arbitration proceeding under this Arbitration Agreement may be consolidated or joined with an arbitration proceeding involving different employees. The Class Action Waiver will be severable from this Arbitration Agreement if there is a final judicial determination that it is invalid, unenforceable, unconscionable, void or voidable. In such case, the class or collective action must be litigated in a civil court of competent jurisdiction—not in arbitration—but the portion of the Class Action Waiver that is enforceable shall be enforced in arbitration. </w:t>
      </w:r>
    </w:p>
    <w:p>
      <w:pPr>
        <w:pStyle w:val="TextBody"/>
        <w:bidi w:val="0"/>
        <w:spacing w:lineRule="auto" w:line="240" w:before="0" w:after="240"/>
        <w:ind w:left="0" w:right="0" w:hanging="720"/>
        <w:jc w:val="both"/>
        <w:rPr/>
      </w:pPr>
      <w:r>
        <w:rPr>
          <w:rFonts w:ascii="Arial;sans-serif" w:hAnsi="Arial;sans-serif"/>
          <w:b w:val="false"/>
          <w:color w:val="000000"/>
          <w:sz w:val="20"/>
        </w:rPr>
        <w:t>(e)</w:t>
      </w:r>
      <w:r>
        <w:rPr>
          <w:rFonts w:ascii="Arial;sans-serif" w:hAnsi="Arial;sans-serif"/>
          <w:b w:val="false"/>
          <w:color w:val="000000"/>
          <w:sz w:val="22"/>
        </w:rPr>
        <w:t xml:space="preserve">The arbitrator shall apply the substantive federal, state, or local law applicable to the claims asserted. Either party may file a motion to dismiss and/or a motion for summary judgment, and the arbitrator will apply the standards governing such motions under the Federal Rules of Civil Procedure. The arbitrator’s authority shall be limited to the award of remedies or relief that would otherwise be available in court. Any award pursuant to said arbitration shall be accompanied by a written opinion of the arbitrator setting forth the reasons for the award. The award rendered by the arbitrator shall be conclusive and </w:t>
      </w: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Page 4 of 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Page 4 of 8 </w:t>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binding upon the parties hereto, and judgment upon the award may be entered, and enforcement may be sought in, any court of competent jurisdiction.</w:t>
      </w:r>
    </w:p>
    <w:p>
      <w:pPr>
        <w:pStyle w:val="TextBody"/>
        <w:bidi w:val="0"/>
        <w:spacing w:lineRule="auto" w:line="240" w:before="0" w:after="240"/>
        <w:ind w:left="0" w:right="0" w:hanging="720"/>
        <w:jc w:val="both"/>
        <w:rPr/>
      </w:pPr>
      <w:r>
        <w:rPr>
          <w:rFonts w:ascii="Arial;sans-serif" w:hAnsi="Arial;sans-serif"/>
          <w:b w:val="false"/>
          <w:color w:val="000000"/>
          <w:sz w:val="20"/>
        </w:rPr>
        <w:t>(f)</w:t>
      </w:r>
      <w:r>
        <w:rPr>
          <w:rFonts w:ascii="Arial;sans-serif" w:hAnsi="Arial;sans-serif"/>
          <w:b w:val="false"/>
          <w:color w:val="000000"/>
          <w:sz w:val="22"/>
        </w:rPr>
        <w:t>In all cases where required by law, OPC will pay the costs and fees unique to arbitration, including the arbitrator’s fees. If applicable law allows for fee splitting, the fees and expenses of the arbitrator (including compensation) shall be borne equally by the parties. Each party will pay for its own costs and attorneys' fees, if any. However, if any party prevails on a claim which affords the prevailing party attorneys’ fees or costs, or if there is a written agreement providing for fees or costs, the arbitrator may award reasonable fees and/or costs to the prevailing party as provided by law or agreement. Any controversy regarding the payment of fees and expenses under this Arbitration Agreement shall be decided by the arbitrator. In the event applicable law, as determined by the arbitrator, requires a different allocation of arbitral fees and costs in order for this Arbitration Agreement to be enforceable, then such law will be followed.</w:t>
      </w:r>
    </w:p>
    <w:p>
      <w:pPr>
        <w:pStyle w:val="TextBody"/>
        <w:bidi w:val="0"/>
        <w:spacing w:lineRule="auto" w:line="240" w:before="0" w:after="240"/>
        <w:ind w:left="0" w:right="0" w:hanging="720"/>
        <w:jc w:val="both"/>
        <w:rPr>
          <w:rFonts w:ascii="Arial;sans-serif" w:hAnsi="Arial;sans-serif"/>
          <w:b w:val="false"/>
          <w:color w:val="000000"/>
          <w:sz w:val="22"/>
        </w:rPr>
      </w:pPr>
      <w:r>
        <w:rPr>
          <w:rFonts w:ascii="Arial;sans-serif" w:hAnsi="Arial;sans-serif"/>
          <w:b w:val="false"/>
          <w:color w:val="000000"/>
          <w:sz w:val="22"/>
        </w:rPr>
        <w:t>(g)If any provision of this Arbitration Agreement is deemed to be void, voidable or otherwise unenforceable, in whole or in part, such provision will be severed from this Arbitration Agreement. All remaining provisions will remain in full force and effect. Nothing in this Arbitration Agreement in any way affects or impacts the waivers and releases in the Agreement, which shall be enforced pursuant to its terms and to the maximum extent permitted by applicable law.</w:t>
      </w:r>
    </w:p>
    <w:p>
      <w:pPr>
        <w:pStyle w:val="TextBody"/>
        <w:bidi w:val="0"/>
        <w:spacing w:lineRule="auto" w:line="240" w:before="0" w:after="240"/>
        <w:ind w:left="0" w:right="0" w:hanging="720"/>
        <w:jc w:val="both"/>
        <w:rPr/>
      </w:pPr>
      <w:r>
        <w:rPr>
          <w:rFonts w:ascii="Arial;sans-serif" w:hAnsi="Arial;sans-serif"/>
          <w:b w:val="false"/>
          <w:color w:val="000000"/>
          <w:sz w:val="20"/>
        </w:rPr>
        <w:t>12.</w:t>
      </w:r>
      <w:r>
        <w:rPr>
          <w:rFonts w:ascii="Arial;sans-serif" w:hAnsi="Arial;sans-serif"/>
          <w:b/>
          <w:color w:val="000000"/>
          <w:sz w:val="22"/>
          <w:u w:val="single"/>
        </w:rPr>
        <w:t>Acknowledgment With Respect to Releases/Effective Date</w:t>
      </w:r>
      <w:r>
        <w:rPr>
          <w:rFonts w:ascii="Arial;sans-serif" w:hAnsi="Arial;sans-serif"/>
          <w:b w:val="false"/>
          <w:color w:val="000000"/>
          <w:sz w:val="22"/>
        </w:rPr>
        <w:t>: You acknowledge and agree that the releases given above include a waiver and release of any and all claims which you have or may have against Employer and Employer Releasees, individually and collectively, including, without limitation, any and all claims under the Age Discrimination in Employment Act of 1967, as amended, 29 U.S.C. §621 et seq. (“</w:t>
      </w:r>
      <w:r>
        <w:rPr>
          <w:rFonts w:ascii="Arial;sans-serif" w:hAnsi="Arial;sans-serif"/>
          <w:b/>
          <w:color w:val="000000"/>
          <w:sz w:val="22"/>
        </w:rPr>
        <w:t>ADEA</w:t>
      </w:r>
      <w:r>
        <w:rPr>
          <w:color w:val="000000"/>
        </w:rPr>
        <w:t>”</w:t>
      </w:r>
      <w:r>
        <w:rPr>
          <w:rFonts w:ascii="Arial;sans-serif" w:hAnsi="Arial;sans-serif"/>
          <w:b w:val="false"/>
          <w:color w:val="000000"/>
          <w:sz w:val="22"/>
        </w:rPr>
        <w:t>). The waivers and releases above are given only in exchange for consideration (something of value) in addition to anything of value to which you are otherwise already entitled. The waiver and releases set forth above do not waive rights or claims that may arise after the date on which you sign this Agreement. You acknowledge that:</w:t>
      </w:r>
    </w:p>
    <w:p>
      <w:pPr>
        <w:pStyle w:val="TextBody"/>
        <w:bidi w:val="0"/>
        <w:spacing w:lineRule="auto" w:line="288" w:before="0" w:after="240"/>
        <w:ind w:left="0" w:right="0" w:hanging="720"/>
        <w:jc w:val="both"/>
        <w:rPr>
          <w:rFonts w:ascii="Arial;sans-serif" w:hAnsi="Arial;sans-serif"/>
          <w:b w:val="false"/>
          <w:color w:val="000000"/>
          <w:sz w:val="22"/>
        </w:rPr>
      </w:pPr>
      <w:r>
        <w:rPr>
          <w:rFonts w:ascii="Arial;sans-serif" w:hAnsi="Arial;sans-serif"/>
          <w:b w:val="false"/>
          <w:color w:val="000000"/>
          <w:sz w:val="22"/>
        </w:rPr>
        <w:t>(a)    You have carefully read and fully understand all of the terms and provisions of this Agreement;</w:t>
      </w:r>
    </w:p>
    <w:p>
      <w:pPr>
        <w:pStyle w:val="TextBody"/>
        <w:bidi w:val="0"/>
        <w:spacing w:lineRule="auto" w:line="288" w:before="0" w:after="240"/>
        <w:ind w:left="0" w:right="0" w:hanging="720"/>
        <w:jc w:val="both"/>
        <w:rPr>
          <w:rFonts w:ascii="Arial;sans-serif" w:hAnsi="Arial;sans-serif"/>
          <w:b w:val="false"/>
          <w:color w:val="000000"/>
          <w:sz w:val="22"/>
        </w:rPr>
      </w:pPr>
      <w:r>
        <w:rPr>
          <w:rFonts w:ascii="Arial;sans-serif" w:hAnsi="Arial;sans-serif"/>
          <w:b w:val="false"/>
          <w:color w:val="000000"/>
          <w:sz w:val="22"/>
        </w:rPr>
        <w:t>(b)    This Agreement is written in a manner calculated to be and is understood by you;</w:t>
      </w:r>
    </w:p>
    <w:p>
      <w:pPr>
        <w:pStyle w:val="TextBody"/>
        <w:bidi w:val="0"/>
        <w:spacing w:lineRule="auto" w:line="288" w:before="0" w:after="240"/>
        <w:ind w:left="0" w:right="0" w:hanging="720"/>
        <w:jc w:val="both"/>
        <w:rPr>
          <w:rFonts w:ascii="Arial;sans-serif" w:hAnsi="Arial;sans-serif"/>
          <w:b w:val="false"/>
          <w:color w:val="000000"/>
          <w:sz w:val="22"/>
        </w:rPr>
      </w:pPr>
      <w:r>
        <w:rPr>
          <w:rFonts w:ascii="Arial;sans-serif" w:hAnsi="Arial;sans-serif"/>
          <w:b w:val="false"/>
          <w:color w:val="000000"/>
          <w:sz w:val="22"/>
        </w:rPr>
        <w:t>(c)    You knowingly and voluntarily waive and release the Released Claims and agree to all of the terms and provisions of this Agreement;</w:t>
      </w:r>
    </w:p>
    <w:p>
      <w:pPr>
        <w:pStyle w:val="TextBody"/>
        <w:bidi w:val="0"/>
        <w:spacing w:lineRule="auto" w:line="288" w:before="0" w:after="240"/>
        <w:ind w:left="0" w:right="0" w:hanging="720"/>
        <w:jc w:val="both"/>
        <w:rPr>
          <w:rFonts w:ascii="Arial;sans-serif" w:hAnsi="Arial;sans-serif"/>
          <w:b w:val="false"/>
          <w:color w:val="000000"/>
          <w:sz w:val="22"/>
        </w:rPr>
      </w:pPr>
      <w:r>
        <w:rPr>
          <w:rFonts w:ascii="Arial;sans-serif" w:hAnsi="Arial;sans-serif"/>
          <w:b w:val="false"/>
          <w:color w:val="000000"/>
          <w:sz w:val="22"/>
        </w:rPr>
        <w:t>(d)    You knowingly and voluntarily intend to be legally bound by all of the terms and provisions of this Agreement;</w:t>
      </w:r>
    </w:p>
    <w:p>
      <w:pPr>
        <w:pStyle w:val="TextBody"/>
        <w:bidi w:val="0"/>
        <w:spacing w:lineRule="auto" w:line="288" w:before="0" w:after="240"/>
        <w:ind w:left="0" w:right="0" w:hanging="720"/>
        <w:jc w:val="both"/>
        <w:rPr>
          <w:rFonts w:ascii="Arial;sans-serif" w:hAnsi="Arial;sans-serif"/>
          <w:b w:val="false"/>
          <w:color w:val="000000"/>
          <w:sz w:val="22"/>
        </w:rPr>
      </w:pPr>
      <w:r>
        <w:rPr>
          <w:rFonts w:ascii="Arial;sans-serif" w:hAnsi="Arial;sans-serif"/>
          <w:b w:val="false"/>
          <w:color w:val="000000"/>
          <w:sz w:val="22"/>
        </w:rPr>
        <w:t>(e)    You were previously advised, and are hereby advised in writing to consult with an attorney of your choice before executing this Agreement;</w:t>
      </w:r>
    </w:p>
    <w:p>
      <w:pPr>
        <w:pStyle w:val="TextBody"/>
        <w:bidi w:val="0"/>
        <w:spacing w:lineRule="auto" w:line="288" w:before="0" w:after="240"/>
        <w:ind w:left="0" w:right="0" w:hanging="720"/>
        <w:jc w:val="both"/>
        <w:rPr>
          <w:rFonts w:ascii="Arial;sans-serif" w:hAnsi="Arial;sans-serif"/>
          <w:b w:val="false"/>
          <w:color w:val="000000"/>
          <w:sz w:val="22"/>
        </w:rPr>
      </w:pPr>
      <w:r>
        <w:rPr>
          <w:rFonts w:ascii="Arial;sans-serif" w:hAnsi="Arial;sans-serif"/>
          <w:b w:val="false"/>
          <w:color w:val="000000"/>
          <w:sz w:val="22"/>
        </w:rPr>
        <w:t>(f)    You have a full 21 days from the date you are presented with this Agreement to consider whether or not to sign this Agreement; and</w:t>
      </w:r>
    </w:p>
    <w:p>
      <w:pPr>
        <w:pStyle w:val="TextBody"/>
        <w:bidi w:val="0"/>
        <w:spacing w:lineRule="auto" w:line="288" w:before="0" w:after="240"/>
        <w:ind w:left="0" w:right="0" w:hanging="720"/>
        <w:jc w:val="both"/>
        <w:rPr>
          <w:rFonts w:ascii="Arial;sans-serif" w:hAnsi="Arial;sans-serif"/>
          <w:b w:val="false"/>
          <w:color w:val="000000"/>
          <w:sz w:val="22"/>
        </w:rPr>
      </w:pPr>
      <w:r>
        <w:rPr>
          <w:rFonts w:ascii="Arial;sans-serif" w:hAnsi="Arial;sans-serif"/>
          <w:b w:val="false"/>
          <w:color w:val="000000"/>
          <w:sz w:val="22"/>
        </w:rPr>
        <w:t>(g)    To the extent you execute this Agreement before the expiration of the 21-day period, you do so knowingly and voluntarily.</w:t>
      </w:r>
    </w:p>
    <w:p>
      <w:pPr>
        <w:pStyle w:val="TextBody"/>
        <w:bidi w:val="0"/>
        <w:spacing w:lineRule="auto" w:line="268"/>
        <w:jc w:val="both"/>
        <w:rPr/>
      </w:pPr>
      <w:r>
        <w:rPr>
          <w:rFonts w:ascii="Arial;sans-serif" w:hAnsi="Arial;sans-serif"/>
          <w:b w:val="false"/>
          <w:color w:val="000000"/>
          <w:sz w:val="22"/>
        </w:rPr>
        <w:t>You have the right to cancel and revoke this Agreement during the 7 calendar days following the day on which you execute this Agreement as evidenced by the date beneath your signature.</w:t>
      </w:r>
      <w:r>
        <w:rPr>
          <w:color w:val="000000"/>
        </w:rPr>
        <w:t xml:space="preserve"> </w:t>
      </w:r>
      <w:r>
        <w:rPr>
          <w:rFonts w:ascii="Arial;sans-serif" w:hAnsi="Arial;sans-serif"/>
          <w:b w:val="false"/>
          <w:color w:val="000000"/>
          <w:sz w:val="22"/>
        </w:rPr>
        <w:t xml:space="preserve">This Agreement shall not become effective, and no money or other consideration shall be paid hereunder, and no other Employer duty hereunder will arise until the expiration of </w:t>
      </w: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Page 5 of 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Page 5 of 8 </w:t>
                      </w:r>
                    </w:p>
                  </w:txbxContent>
                </v:textbox>
                <w10:wrap type="none"/>
              </v:rect>
            </w:pict>
          </mc:Fallback>
        </mc:AlternateContent>
      </w:r>
    </w:p>
    <w:p>
      <w:pPr>
        <w:pStyle w:val="TextBody"/>
        <w:bidi w:val="0"/>
        <w:spacing w:lineRule="auto" w:line="268" w:before="0" w:after="0"/>
        <w:jc w:val="both"/>
        <w:rPr/>
      </w:pPr>
      <w:r>
        <w:rPr>
          <w:rFonts w:ascii="Arial;sans-serif" w:hAnsi="Arial;sans-serif"/>
          <w:b w:val="false"/>
          <w:color w:val="000000"/>
          <w:sz w:val="22"/>
        </w:rPr>
        <w:t>such 7-day period provided you do not revoke.</w:t>
      </w:r>
      <w:r>
        <w:rPr>
          <w:color w:val="000000"/>
        </w:rPr>
        <w:t xml:space="preserve"> </w:t>
      </w:r>
      <w:r>
        <w:rPr>
          <w:rFonts w:ascii="Arial;sans-serif" w:hAnsi="Arial;sans-serif"/>
          <w:b w:val="false"/>
          <w:color w:val="000000"/>
          <w:sz w:val="22"/>
        </w:rPr>
        <w:t xml:space="preserve">You should send your signed Agreement and any written revocation to Darin S. Moss, Vice President Human Resources, Occidental Petroleum Corporation, 5 Greenway Plaza, Houston, Texas 77046, </w:t>
      </w:r>
      <w:r>
        <w:rPr>
          <w:rFonts w:ascii="Arial;sans-serif" w:hAnsi="Arial;sans-serif"/>
          <w:b w:val="false"/>
          <w:color w:val="0000FF"/>
          <w:sz w:val="22"/>
        </w:rPr>
        <w:t>xxxxxxxx@xxx.com</w:t>
      </w:r>
      <w:r>
        <w:rPr>
          <w:rFonts w:ascii="Arial;sans-serif" w:hAnsi="Arial;sans-serif"/>
          <w:b w:val="false"/>
          <w:color w:val="000000"/>
          <w:sz w:val="22"/>
        </w:rPr>
        <w:t>, prior to the expiration of the 21 and 7-day periods referenced above.</w:t>
      </w:r>
      <w:r>
        <w:rPr>
          <w:color w:val="000000"/>
        </w:rPr>
        <w:t xml:space="preserve"> </w:t>
      </w:r>
      <w:r>
        <w:rPr>
          <w:rFonts w:ascii="Arial;sans-serif" w:hAnsi="Arial;sans-serif"/>
          <w:b w:val="false"/>
          <w:color w:val="000000"/>
          <w:sz w:val="22"/>
        </w:rPr>
        <w:t>In accordance with Paragraph 1, this Agreement shall take effect at 12:00 a.m. on the eighth day after you sign this Agreement, provided you have not revoked this Agreement.</w:t>
      </w:r>
    </w:p>
    <w:p>
      <w:pPr>
        <w:pStyle w:val="TextBody"/>
        <w:bidi w:val="0"/>
        <w:spacing w:lineRule="auto" w:line="240" w:before="0" w:after="240"/>
        <w:ind w:left="0" w:right="0" w:hanging="720"/>
        <w:jc w:val="both"/>
        <w:rPr/>
      </w:pPr>
      <w:r>
        <w:rPr>
          <w:rFonts w:ascii="Arial;sans-serif" w:hAnsi="Arial;sans-serif"/>
          <w:b w:val="false"/>
          <w:color w:val="000000"/>
          <w:sz w:val="20"/>
        </w:rPr>
        <w:t>13.</w:t>
      </w:r>
      <w:r>
        <w:rPr>
          <w:rFonts w:ascii="Arial;sans-serif" w:hAnsi="Arial;sans-serif"/>
          <w:b/>
          <w:color w:val="000000"/>
          <w:sz w:val="22"/>
          <w:u w:val="single"/>
        </w:rPr>
        <w:t>Severability</w:t>
      </w:r>
      <w:r>
        <w:rPr>
          <w:rFonts w:ascii="Arial;sans-serif" w:hAnsi="Arial;sans-serif"/>
          <w:b w:val="false"/>
          <w:color w:val="000000"/>
          <w:sz w:val="22"/>
        </w:rPr>
        <w:t>: If any part of this Agreement, with the exception of Paragraph 8, is held by any tribunal of appropriate jurisdiction to be invalid or unenforceable, that part shall be stricken from this Agreement and all other terms of this Agreement shall remain in full force and effect to the full extent permitted by law, and a court or arbitrator shall have the power to interpret and reform the invalid or unenforceable provision so as to comply with legal requirements and the intent of the parties. Paragraph 8 is the essence of this Agreement and should any part of this paragraph be deemed invalid or unenforceable, this Agreement shall be null and void and any consideration received under this Agreement shall be returned to Employer. This requirement of returning the consideration received under this Agreement does not apply to any challenge you might make to the knowing and voluntary nature of the release of claims under the Older Workers Benefit Protection Act (OWBPA) and the ADEA before a court, the Equal Employment Opportunity Commission (EEOC), or any other federal, state or local agency charged with the enforcement of any employment laws.</w:t>
      </w:r>
    </w:p>
    <w:p>
      <w:pPr>
        <w:pStyle w:val="TextBody"/>
        <w:bidi w:val="0"/>
        <w:spacing w:lineRule="auto" w:line="240" w:before="0" w:after="240"/>
        <w:ind w:left="0" w:right="0" w:hanging="720"/>
        <w:jc w:val="both"/>
        <w:rPr/>
      </w:pPr>
      <w:r>
        <w:rPr>
          <w:rFonts w:ascii="Arial;sans-serif" w:hAnsi="Arial;sans-serif"/>
          <w:b w:val="false"/>
          <w:color w:val="000000"/>
          <w:sz w:val="20"/>
        </w:rPr>
        <w:t>14.</w:t>
      </w:r>
      <w:r>
        <w:rPr>
          <w:rFonts w:ascii="Arial;sans-serif" w:hAnsi="Arial;sans-serif"/>
          <w:b/>
          <w:color w:val="000000"/>
          <w:sz w:val="22"/>
          <w:u w:val="single"/>
        </w:rPr>
        <w:t>Successors</w:t>
      </w:r>
      <w:r>
        <w:rPr>
          <w:rFonts w:ascii="Arial;sans-serif" w:hAnsi="Arial;sans-serif"/>
          <w:b w:val="false"/>
          <w:color w:val="000000"/>
          <w:sz w:val="22"/>
        </w:rPr>
        <w:t>: This Agreement shall be binding upon you, your heirs, executors and assigns and upon Employer, and all of its successors and assigns.</w:t>
      </w:r>
    </w:p>
    <w:p>
      <w:pPr>
        <w:pStyle w:val="TextBody"/>
        <w:bidi w:val="0"/>
        <w:spacing w:lineRule="auto" w:line="240" w:before="0" w:after="240"/>
        <w:ind w:left="0" w:right="0" w:hanging="720"/>
        <w:jc w:val="both"/>
        <w:rPr/>
      </w:pPr>
      <w:r>
        <w:rPr>
          <w:rFonts w:ascii="Arial;sans-serif" w:hAnsi="Arial;sans-serif"/>
          <w:b w:val="false"/>
          <w:color w:val="000000"/>
          <w:sz w:val="20"/>
        </w:rPr>
        <w:t>15.</w:t>
      </w:r>
      <w:r>
        <w:rPr>
          <w:rFonts w:ascii="Arial;sans-serif" w:hAnsi="Arial;sans-serif"/>
          <w:b/>
          <w:color w:val="000000"/>
          <w:sz w:val="22"/>
          <w:u w:val="single"/>
        </w:rPr>
        <w:t>Governing Law</w:t>
      </w:r>
      <w:r>
        <w:rPr>
          <w:rFonts w:ascii="Arial;sans-serif" w:hAnsi="Arial;sans-serif"/>
          <w:b w:val="false"/>
          <w:color w:val="000000"/>
          <w:sz w:val="22"/>
        </w:rPr>
        <w:t xml:space="preserve">: This Agreement shall be governed by, and construed in accordance with, the laws of the State of Texas, without giving effect to any choice of law rules or principles thereof, and shall be construed according to its ordinary meaning and not for or against either party. </w:t>
      </w:r>
    </w:p>
    <w:p>
      <w:pPr>
        <w:pStyle w:val="TextBody"/>
        <w:bidi w:val="0"/>
        <w:spacing w:lineRule="auto" w:line="240" w:before="0" w:after="240"/>
        <w:ind w:left="0" w:right="0" w:hanging="720"/>
        <w:jc w:val="both"/>
        <w:rPr/>
      </w:pPr>
      <w:r>
        <w:rPr>
          <w:rFonts w:ascii="Arial;sans-serif" w:hAnsi="Arial;sans-serif"/>
          <w:b w:val="false"/>
          <w:color w:val="000000"/>
          <w:sz w:val="20"/>
        </w:rPr>
        <w:t>16.</w:t>
      </w:r>
      <w:r>
        <w:rPr>
          <w:rFonts w:ascii="Arial;sans-serif" w:hAnsi="Arial;sans-serif"/>
          <w:b/>
          <w:color w:val="000000"/>
          <w:sz w:val="22"/>
          <w:u w:val="single"/>
        </w:rPr>
        <w:t>Section 409A</w:t>
      </w:r>
      <w:r>
        <w:rPr>
          <w:rFonts w:ascii="Arial;sans-serif" w:hAnsi="Arial;sans-serif"/>
          <w:b w:val="false"/>
          <w:color w:val="000000"/>
          <w:sz w:val="22"/>
        </w:rPr>
        <w:t xml:space="preserve">: This Agreement shall be interpreted in accordance with all applicable requirements of Section 409A, and any distribution, acceleration or election feature of this Agreement subject to Section 409A that could result in the early inclusion in gross income shall be deemed restricted or limited to the extent necessary to avoid such result. Further, your right to receive any portion of the payments provided under this Agreement in the form of installment payments shall be treated as a right to receive a series of separate payments and, accordingly, each payment shall at all times be considered a separate and distinct payment as permitted under Treasury Regulation Section 1.409A-2(b)(2)(iii). Payment of any benefits and reimbursements by OPC that is required under this Agreement and that is not exempt from Section 409A shall comply with Section 409A’s requirements for reimbursement or in-kind benefit plans, as set forth in regulation section 1.409A-3(i)(1)(iv) (or any successor provision). For purposes of satisfying such requirements under Section 409A, the following rules shall apply but only to the extent that the payment of benefits or reimbursements, as applicable, is subject to Section 409A: (a) the amount of payments made during one taxable year for you shall not affect the amount of such payments in any other taxable year; (b) in the case of reimbursement payments, a payment shall be made by the last day of your taxable year following the taxable year in which the expense was incurred and (c) your right to payments by OPC of benefits or reimbursements under this Agreement shall not be subject to liquidation or exchange for any other benefit. If you are a “specified employee” (within the meaning of Section 409A) as of your Retirement Date and an amount payable under this Agreement constitutes deferred compensation (within the meaning of Section 409A) the payment of which is required to be delayed pursuant to the six-month delay rule set forth in Section 409A in order to avoid taxes or penalties under Section 409A, then OPC shall not pay such amount on the otherwise scheduled payment date, but shall instead accumulate such amount and pay it, without interest, on the first payday after such six-month period. To the extent required by Section 409A, any payment or benefit that would be considered deferred compensation subject to, and not exempt from, Section 409A, payable or provided upon your termination of employment, shall only be paid or provided to you upon your separation from service (within the meaning of Section 409A). Neither you nor any of your creditors or beneficiaries shall have the right to subject any deferred compensation (within the meaning of Section 409A) payable under this Agreement to any anticipation, alienation, sale, transfer, assignment, pledge, encumbrance, attachment or garnishment. Except as permitted under Section 409A, any </w:t>
      </w: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Page 6 of 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Page 6 of 8 </w:t>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2"/>
        </w:rPr>
      </w:pPr>
      <w:r>
        <w:rPr>
          <w:rFonts w:ascii="Arial;sans-serif" w:hAnsi="Arial;sans-serif"/>
          <w:b w:val="false"/>
          <w:color w:val="000000"/>
          <w:sz w:val="22"/>
        </w:rPr>
        <w:t>deferred compensation (within the meaning of Section 409A) payable to you may not be reduced by, or offset against, any amount owing by you to OPC. In any case, you shall be solely responsible and liable for the satisfaction of all taxes and penalties that may be imposed on you or for your account in connection with this Agreement (including any taxes and penalties under Section 409A), and OPC shall not have any obligation to indemnify or otherwise hold you harmless from any or all of such taxes or penalties. OPC makes no representations concerning the tax consequences of your participation in this Agreement under Section 409A or any other Federal, state or local tax law. Your tax consequences shall depend, in part, upon the application of relevant tax law, including Section 409A, to the relevant facts and circumstances.</w:t>
      </w:r>
    </w:p>
    <w:p>
      <w:pPr>
        <w:pStyle w:val="TextBody"/>
        <w:bidi w:val="0"/>
        <w:spacing w:lineRule="auto" w:line="240" w:before="0" w:after="240"/>
        <w:ind w:left="0" w:right="0" w:hanging="720"/>
        <w:jc w:val="both"/>
        <w:rPr/>
      </w:pPr>
      <w:r>
        <w:rPr>
          <w:rFonts w:ascii="Arial;sans-serif" w:hAnsi="Arial;sans-serif"/>
          <w:b w:val="false"/>
          <w:color w:val="000000"/>
          <w:sz w:val="20"/>
        </w:rPr>
        <w:t>17.</w:t>
      </w:r>
      <w:r>
        <w:rPr>
          <w:rFonts w:ascii="Arial;sans-serif" w:hAnsi="Arial;sans-serif"/>
          <w:b/>
          <w:color w:val="000000"/>
          <w:sz w:val="22"/>
          <w:u w:val="single"/>
        </w:rPr>
        <w:t>Address for Communications</w:t>
      </w:r>
      <w:r>
        <w:rPr>
          <w:rFonts w:ascii="Arial;sans-serif" w:hAnsi="Arial;sans-serif"/>
          <w:b w:val="false"/>
          <w:color w:val="000000"/>
          <w:sz w:val="22"/>
        </w:rPr>
        <w:t xml:space="preserve">: You shall keep Employer informed of (i) your official residence and personal email address for purposes of communications pursuant to this Agreement and under benefit plans and (ii) your designated bank account if you choose to receive payments pursuant to this Agreement through direct deposit. </w:t>
      </w:r>
    </w:p>
    <w:p>
      <w:pPr>
        <w:pStyle w:val="TextBody"/>
        <w:bidi w:val="0"/>
        <w:spacing w:lineRule="auto" w:line="240" w:before="0" w:after="240"/>
        <w:ind w:left="0" w:right="0" w:hanging="720"/>
        <w:jc w:val="both"/>
        <w:rPr/>
      </w:pPr>
      <w:r>
        <w:rPr>
          <w:rFonts w:ascii="Arial;sans-serif" w:hAnsi="Arial;sans-serif"/>
          <w:b w:val="false"/>
          <w:color w:val="000000"/>
          <w:sz w:val="20"/>
        </w:rPr>
        <w:t>18.</w:t>
      </w:r>
      <w:r>
        <w:rPr>
          <w:rFonts w:ascii="Arial;sans-serif" w:hAnsi="Arial;sans-serif"/>
          <w:b/>
          <w:color w:val="000000"/>
          <w:sz w:val="22"/>
          <w:u w:val="single"/>
        </w:rPr>
        <w:t>No Admission of Liability</w:t>
      </w:r>
      <w:r>
        <w:rPr>
          <w:rFonts w:ascii="Arial;sans-serif" w:hAnsi="Arial;sans-serif"/>
          <w:b w:val="false"/>
          <w:color w:val="000000"/>
          <w:sz w:val="22"/>
        </w:rPr>
        <w:t>: This Agreement does not constitute an admission by any party hereto of wrongdoing or liability and it shall not be construed as such.</w:t>
      </w:r>
    </w:p>
    <w:p>
      <w:pPr>
        <w:pStyle w:val="TextBody"/>
        <w:bidi w:val="0"/>
        <w:spacing w:lineRule="auto" w:line="240" w:before="0" w:after="240"/>
        <w:ind w:left="0" w:right="0" w:hanging="720"/>
        <w:jc w:val="both"/>
        <w:rPr/>
      </w:pPr>
      <w:r>
        <w:rPr>
          <w:rFonts w:ascii="Arial;sans-serif" w:hAnsi="Arial;sans-serif"/>
          <w:b w:val="false"/>
          <w:color w:val="000000"/>
          <w:sz w:val="20"/>
        </w:rPr>
        <w:t>19.</w:t>
      </w:r>
      <w:r>
        <w:rPr>
          <w:rFonts w:ascii="Arial;sans-serif" w:hAnsi="Arial;sans-serif"/>
          <w:b/>
          <w:color w:val="000000"/>
          <w:sz w:val="22"/>
          <w:u w:val="single"/>
        </w:rPr>
        <w:t>No Attorneys’ Fees or Costs</w:t>
      </w:r>
      <w:r>
        <w:rPr>
          <w:rFonts w:ascii="Arial;sans-serif" w:hAnsi="Arial;sans-serif"/>
          <w:b w:val="false"/>
          <w:color w:val="000000"/>
          <w:sz w:val="22"/>
        </w:rPr>
        <w:t>: Each party to this Agreement shall bear its own attorney fees and costs of any kind incurred in connection with the negotiation, review and finalization of this Agreement.</w:t>
      </w:r>
    </w:p>
    <w:p>
      <w:pPr>
        <w:pStyle w:val="TextBody"/>
        <w:bidi w:val="0"/>
        <w:spacing w:lineRule="auto" w:line="240" w:before="0" w:after="240"/>
        <w:ind w:left="0" w:right="0" w:hanging="720"/>
        <w:jc w:val="both"/>
        <w:rPr/>
      </w:pPr>
      <w:r>
        <w:rPr>
          <w:rFonts w:ascii="Arial;sans-serif" w:hAnsi="Arial;sans-serif"/>
          <w:b w:val="false"/>
          <w:color w:val="000000"/>
          <w:sz w:val="20"/>
        </w:rPr>
        <w:t>20.</w:t>
      </w:r>
      <w:r>
        <w:rPr>
          <w:rFonts w:ascii="Arial;sans-serif" w:hAnsi="Arial;sans-serif"/>
          <w:b/>
          <w:color w:val="000000"/>
          <w:sz w:val="22"/>
          <w:u w:val="single"/>
        </w:rPr>
        <w:t>Return of Incorrect Payments</w:t>
      </w:r>
      <w:r>
        <w:rPr>
          <w:rFonts w:ascii="Arial;sans-serif" w:hAnsi="Arial;sans-serif"/>
          <w:b w:val="false"/>
          <w:color w:val="000000"/>
          <w:sz w:val="22"/>
        </w:rPr>
        <w:t>: If you receive Retirement payments, benefit award amounts (in cash or equity), distributions of deferred amounts or other property or compensation from OPC to which you are not entitled hereunder or which otherwise should have been withheld for taxes or otherwise, then, and in such event, you shall hold such Retirement payments, benefit award amounts, distributions or other property or compensation in trust for the benefit of, and shall immediately pay over or deliver such property to, Employer. If Employer has continuing payment obligations under this Agreement at the time such error in payment is discovered, Employer may offset such payment obligations against your obligations under this Paragraph 20.</w:t>
      </w:r>
    </w:p>
    <w:p>
      <w:pPr>
        <w:pStyle w:val="TextBody"/>
        <w:bidi w:val="0"/>
        <w:spacing w:lineRule="auto" w:line="240" w:before="0" w:after="240"/>
        <w:ind w:left="0" w:right="0" w:hanging="720"/>
        <w:jc w:val="both"/>
        <w:rPr/>
      </w:pPr>
      <w:r>
        <w:rPr>
          <w:rFonts w:ascii="Arial;sans-serif" w:hAnsi="Arial;sans-serif"/>
          <w:b w:val="false"/>
          <w:color w:val="000000"/>
          <w:sz w:val="20"/>
        </w:rPr>
        <w:t>21.</w:t>
      </w:r>
      <w:r>
        <w:rPr>
          <w:rFonts w:ascii="Arial;sans-serif" w:hAnsi="Arial;sans-serif"/>
          <w:b/>
          <w:color w:val="000000"/>
          <w:sz w:val="22"/>
          <w:u w:val="single"/>
        </w:rPr>
        <w:t>Protected Conduct</w:t>
      </w:r>
      <w:r>
        <w:rPr>
          <w:rFonts w:ascii="Arial;sans-serif" w:hAnsi="Arial;sans-serif"/>
          <w:b w:val="false"/>
          <w:color w:val="000000"/>
          <w:sz w:val="22"/>
        </w:rPr>
        <w:t>: The following describes activities and conduct that are “Protected Conduct”. Nothing in this Agreement or any other OPC agreement, policy, practice, directive, or representation:</w:t>
      </w:r>
    </w:p>
    <w:p>
      <w:pPr>
        <w:pStyle w:val="TextBody"/>
        <w:bidi w:val="0"/>
        <w:spacing w:lineRule="auto" w:line="240" w:before="0" w:after="240"/>
        <w:ind w:left="0" w:right="0" w:hanging="720"/>
        <w:jc w:val="both"/>
        <w:rPr/>
      </w:pPr>
      <w:r>
        <w:rPr>
          <w:rFonts w:ascii="Arial;sans-serif" w:hAnsi="Arial;sans-serif"/>
          <w:b w:val="false"/>
          <w:color w:val="000000"/>
          <w:sz w:val="20"/>
        </w:rPr>
        <w:t>(a)</w:t>
      </w:r>
      <w:r>
        <w:rPr>
          <w:rFonts w:ascii="Arial;sans-serif" w:hAnsi="Arial;sans-serif"/>
          <w:b w:val="false"/>
          <w:color w:val="000000"/>
          <w:sz w:val="22"/>
        </w:rPr>
        <w:t xml:space="preserve">prohibits or impedes you, or any employee or former employee of the Company, from communicating directly with the Securities and Exchange Commission (the “SEC”) or its staff. Also, if you have initiated communication with the SEC relating to a possible securities law or rule violation, nothing in this Agreement prohibits or impedes your ability to continue to communicate directly with the SEC about possible securities law or rule violations without first seeking consent, written or oral, of OPC; </w:t>
      </w:r>
    </w:p>
    <w:p>
      <w:pPr>
        <w:pStyle w:val="TextBody"/>
        <w:bidi w:val="0"/>
        <w:spacing w:lineRule="auto" w:line="240" w:before="0" w:after="240"/>
        <w:ind w:left="0" w:right="0" w:hanging="720"/>
        <w:jc w:val="both"/>
        <w:rPr/>
      </w:pPr>
      <w:r>
        <w:rPr>
          <w:rFonts w:ascii="Arial;sans-serif" w:hAnsi="Arial;sans-serif"/>
          <w:b w:val="false"/>
          <w:color w:val="000000"/>
          <w:sz w:val="20"/>
        </w:rPr>
        <w:t>(b)</w:t>
      </w:r>
      <w:r>
        <w:rPr>
          <w:rFonts w:ascii="Arial;sans-serif" w:hAnsi="Arial;sans-serif"/>
          <w:b w:val="false"/>
          <w:color w:val="000000"/>
          <w:sz w:val="22"/>
        </w:rPr>
        <w:t>prevents you from communicating with, filing a charge or complaint with, providing documents or information voluntarily or in response to a subpoena or other information request to, or from participating in an investigation or proceeding conducted by the Equal Employment Opportunity Commission, National Labor Relations Board, the SEC, the Occupational Safety and Health Administration, law enforcement, or any other any federal, state or local agency or entity charged with the enforcement of any laws; or from testifying, providing evidence, or responding to a subpoena or discovery request in court litigation or arbitration;</w:t>
      </w:r>
    </w:p>
    <w:p>
      <w:pPr>
        <w:pStyle w:val="TextBody"/>
        <w:bidi w:val="0"/>
        <w:spacing w:lineRule="auto" w:line="240" w:before="0" w:after="240"/>
        <w:ind w:left="0" w:right="0" w:hanging="720"/>
        <w:jc w:val="both"/>
        <w:rPr/>
      </w:pPr>
      <w:r>
        <w:rPr>
          <w:rFonts w:ascii="Arial;sans-serif" w:hAnsi="Arial;sans-serif"/>
          <w:b w:val="false"/>
          <w:color w:val="000000"/>
          <w:sz w:val="20"/>
        </w:rPr>
        <w:t>(c)</w:t>
      </w:r>
      <w:r>
        <w:rPr>
          <w:rFonts w:ascii="Arial;sans-serif" w:hAnsi="Arial;sans-serif"/>
          <w:b w:val="false"/>
          <w:color w:val="000000"/>
          <w:sz w:val="22"/>
        </w:rPr>
        <w:t>requires you to disclose to Employer any such filing, communication or participation</w:t>
      </w:r>
    </w:p>
    <w:p>
      <w:pPr>
        <w:pStyle w:val="TextBody"/>
        <w:bidi w:val="0"/>
        <w:spacing w:lineRule="auto" w:line="240" w:before="0" w:after="240"/>
        <w:ind w:left="0" w:right="0" w:hanging="720"/>
        <w:jc w:val="both"/>
        <w:rPr/>
      </w:pPr>
      <w:r>
        <w:rPr>
          <w:rFonts w:ascii="Arial;sans-serif" w:hAnsi="Arial;sans-serif"/>
          <w:b w:val="false"/>
          <w:color w:val="000000"/>
          <w:sz w:val="20"/>
        </w:rPr>
        <w:t>(d)</w:t>
      </w:r>
      <w:r>
        <w:rPr>
          <w:rFonts w:ascii="Arial;sans-serif" w:hAnsi="Arial;sans-serif"/>
          <w:b w:val="false"/>
          <w:color w:val="000000"/>
          <w:sz w:val="22"/>
        </w:rPr>
        <w:t>limits or eliminates your right to receive an award from a government agency (not from OPC or other Employer Releasee) for information provided to a government agency.</w:t>
      </w: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Page 7 of 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Page 7 of 8 </w:t>
                      </w:r>
                    </w:p>
                  </w:txbxContent>
                </v:textbox>
                <w10:wrap type="none"/>
              </v:rect>
            </w:pict>
          </mc:Fallback>
        </mc:AlternateContent>
      </w:r>
    </w:p>
    <w:p>
      <w:pPr>
        <w:pStyle w:val="TextBody"/>
        <w:bidi w:val="0"/>
        <w:spacing w:lineRule="auto" w:line="240" w:before="0" w:after="240"/>
        <w:ind w:left="0" w:right="0" w:hanging="720"/>
        <w:jc w:val="both"/>
        <w:rPr/>
      </w:pPr>
      <w:r>
        <w:rPr>
          <w:rFonts w:ascii="Arial;sans-serif" w:hAnsi="Arial;sans-serif"/>
          <w:b w:val="false"/>
          <w:color w:val="000000"/>
          <w:sz w:val="20"/>
        </w:rPr>
        <w:t>(e)</w:t>
      </w:r>
      <w:r>
        <w:rPr>
          <w:rFonts w:ascii="Arial;sans-serif" w:hAnsi="Arial;sans-serif"/>
          <w:b w:val="false"/>
          <w:color w:val="000000"/>
          <w:sz w:val="22"/>
        </w:rPr>
        <w:t>limits or affects your right to disclose or discuss sexual misconduct, abuse, hostile work environment, harassment or assault disputes or events, or any other unlawful or unsafe Employer conduct or practices; or</w:t>
      </w:r>
    </w:p>
    <w:p>
      <w:pPr>
        <w:pStyle w:val="TextBody"/>
        <w:bidi w:val="0"/>
        <w:spacing w:lineRule="auto" w:line="268" w:before="0" w:after="0"/>
        <w:ind w:left="0" w:right="0" w:hanging="720"/>
        <w:jc w:val="left"/>
        <w:rPr>
          <w:rFonts w:ascii="Arial;sans-serif" w:hAnsi="Arial;sans-serif"/>
          <w:b w:val="false"/>
          <w:color w:val="000000"/>
          <w:sz w:val="22"/>
        </w:rPr>
      </w:pPr>
      <w:r>
        <w:rPr>
          <w:rFonts w:ascii="Arial;sans-serif" w:hAnsi="Arial;sans-serif"/>
          <w:b w:val="false"/>
          <w:color w:val="000000"/>
          <w:sz w:val="22"/>
        </w:rPr>
        <w:t>(f)limits or affects your right to challenge the knowing and voluntary nature of the release of claims under the ADEA,</w:t>
      </w:r>
    </w:p>
    <w:p>
      <w:pPr>
        <w:pStyle w:val="TextBody"/>
        <w:bidi w:val="0"/>
        <w:spacing w:lineRule="auto" w:line="268" w:before="0" w:after="0"/>
        <w:ind w:left="0" w:right="0" w:hanging="360"/>
        <w:jc w:val="both"/>
        <w:rPr/>
      </w:pPr>
      <w:r>
        <w:rPr>
          <w:rFonts w:ascii="Arial;sans-serif" w:hAnsi="Arial;sans-serif"/>
          <w:b w:val="false"/>
          <w:color w:val="000000"/>
          <w:sz w:val="22"/>
        </w:rPr>
        <w:br/>
        <w:t>You understand and agree that a disclosure of confidential or trade secret information by you to a Government Agency shall comply with and not exceed the limitations of what is considered a protected disclosure under the Defend Trade Secrets Act (18 U.S.C. §1833(b)) (the “</w:t>
      </w:r>
      <w:r>
        <w:rPr>
          <w:rFonts w:ascii="Arial;sans-serif" w:hAnsi="Arial;sans-serif"/>
          <w:b/>
          <w:color w:val="000000"/>
          <w:sz w:val="24"/>
        </w:rPr>
        <w:t>DTSA</w:t>
      </w:r>
      <w:r>
        <w:rPr>
          <w:color w:val="000000"/>
        </w:rPr>
        <w:t>”</w:t>
      </w:r>
      <w:r>
        <w:rPr>
          <w:rFonts w:ascii="Arial;sans-serif" w:hAnsi="Arial;sans-serif"/>
          <w:b w:val="false"/>
          <w:color w:val="000000"/>
          <w:sz w:val="22"/>
        </w:rPr>
        <w:t>). You understand that under the DTSA you will not be held criminally or civilly liable under any federal or state trade secret law for the disclosure of any confidential information that constitutes a trade secret to which the DTSA applies that is made (i) in confidence to a federal, state or local government official, either directly or indirectly, or to an attorney, in each case, solely for the purpose of reporting or investigating a suspected violation of law; or (ii) in a complaint or other document filed in a lawsuit or proceeding, if such filings are made under seal. You acknowledge notice of your rights under the DTSA which are described more fully in OPC Speak-Up and Non-Retaliation Policy (Policy No. 91:80:00)).</w:t>
      </w:r>
    </w:p>
    <w:p>
      <w:pPr>
        <w:pStyle w:val="TextBody"/>
        <w:bidi w:val="0"/>
        <w:spacing w:before="0" w:after="0"/>
        <w:ind w:left="0" w:right="0" w:hanging="360"/>
        <w:jc w:val="left"/>
        <w:rPr/>
      </w:pPr>
      <w:r>
        <w:rPr/>
      </w:r>
    </w:p>
    <w:p>
      <w:pPr>
        <w:pStyle w:val="TextBody"/>
        <w:bidi w:val="0"/>
        <w:spacing w:lineRule="auto" w:line="240" w:before="0" w:after="240"/>
        <w:ind w:left="0" w:right="0" w:hanging="720"/>
        <w:jc w:val="both"/>
        <w:rPr/>
      </w:pPr>
      <w:r>
        <w:rPr>
          <w:rFonts w:ascii="Arial;sans-serif" w:hAnsi="Arial;sans-serif"/>
          <w:b w:val="false"/>
          <w:color w:val="000000"/>
          <w:sz w:val="20"/>
        </w:rPr>
        <w:t>22.</w:t>
      </w:r>
      <w:r>
        <w:rPr>
          <w:rFonts w:ascii="Arial;sans-serif" w:hAnsi="Arial;sans-serif"/>
          <w:b/>
          <w:color w:val="000000"/>
          <w:sz w:val="22"/>
          <w:u w:val="single"/>
        </w:rPr>
        <w:t>Cooperation</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You agree to cooperate with the Released Parties regarding business or legal matters within your knowledge or responsibility.  Without limiting the foregoing, you agree (a) to respond to inquiries by or meet with a Released Party’s representatives, its counsel or other designees at mutually convenient times and places with respect to any items within the scope of this provision; (b) to provide adequate responses regarding business matters and truthful testimony regarding legal matters within your knowledge or responsibility; and (c) to provide Employer with notice of contact by any non-governmental adverse party or such adverse party’s representative, except as may be required by law.  Employer will reimburse you for reasonable expenses incurred in connection with the cooperation described in this paragraph.</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IN WITNESS WHEREOF, the parties have caused this Agreement to be executed as of the date set forth above.</w:t>
      </w:r>
    </w:p>
    <w:p>
      <w:pPr>
        <w:pStyle w:val="TextBody"/>
        <w:bidi w:val="0"/>
        <w:spacing w:before="0" w:after="0"/>
        <w:ind w:left="0" w:right="0" w:firstLine="720"/>
        <w:jc w:val="both"/>
        <w:rPr/>
      </w:pPr>
      <w:r>
        <w:rPr/>
      </w:r>
    </w:p>
    <w:p>
      <w:pPr>
        <w:pStyle w:val="TextBody"/>
        <w:bidi w:val="0"/>
        <w:spacing w:lineRule="auto" w:line="288" w:before="0" w:after="0"/>
        <w:jc w:val="both"/>
        <w:rPr>
          <w:color w:val="000000"/>
        </w:rPr>
      </w:pPr>
      <w:r>
        <w:rPr>
          <w:color w:val="000000"/>
        </w:rPr>
        <w:t>                                </w:t>
      </w:r>
    </w:p>
    <w:tbl>
      <w:tblPr>
        <w:tblW w:w="9697" w:type="dxa"/>
        <w:jc w:val="left"/>
        <w:tblInd w:w="0" w:type="dxa"/>
        <w:tblLayout w:type="fixed"/>
        <w:tblCellMar>
          <w:top w:w="28" w:type="dxa"/>
          <w:left w:w="28" w:type="dxa"/>
          <w:bottom w:w="28" w:type="dxa"/>
          <w:right w:w="28" w:type="dxa"/>
        </w:tblCellMar>
      </w:tblPr>
      <w:tblGrid>
        <w:gridCol w:w="538"/>
        <w:gridCol w:w="471"/>
        <w:gridCol w:w="475"/>
        <w:gridCol w:w="517"/>
        <w:gridCol w:w="517"/>
        <w:gridCol w:w="526"/>
        <w:gridCol w:w="748"/>
        <w:gridCol w:w="748"/>
        <w:gridCol w:w="748"/>
        <w:gridCol w:w="1284"/>
        <w:gridCol w:w="1284"/>
        <w:gridCol w:w="1841"/>
      </w:tblGrid>
      <w:tr>
        <w:trPr/>
        <w:tc>
          <w:tcPr>
            <w:tcW w:w="53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30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EXECUTIVE</w:t>
            </w:r>
          </w:p>
        </w:tc>
        <w:tc>
          <w:tcPr>
            <w:tcW w:w="665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OCCIDENTAL PETROLEUM CORPORATION</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By:</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Vicki Hollub</w:t>
            </w:r>
          </w:p>
        </w:tc>
        <w:tc>
          <w:tcPr>
            <w:tcW w:w="2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By:</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 Darin S. Moss</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Name printed:</w:t>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Vicki Hollub</w:t>
            </w:r>
          </w:p>
        </w:tc>
        <w:tc>
          <w:tcPr>
            <w:tcW w:w="2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DARIN S. MOSS</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VICE PRESIDENT HUMAN RESOURCES</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Page 8 of 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Page 8 of 8 </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RULE 13a – 14(a) / 15d – 14(a)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§302 OF THE SARBANES-OXLEY ACT OF 2002</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Richard Jackson, certify that:</w:t>
      </w:r>
    </w:p>
    <w:p>
      <w:pPr>
        <w:pStyle w:val="TextBody"/>
        <w:bidi w:val="0"/>
        <w:spacing w:before="0" w:after="0"/>
        <w:jc w:val="left"/>
        <w:rPr/>
      </w:pPr>
      <w:r>
        <w:rPr/>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Occidental Petroleum Corporation;</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August 5, 2026</w:t>
      </w:r>
    </w:p>
    <w:tbl>
      <w:tblPr>
        <w:tblW w:w="4104" w:type="dxa"/>
        <w:jc w:val="left"/>
        <w:tblInd w:w="0" w:type="dxa"/>
        <w:tblLayout w:type="fixed"/>
        <w:tblCellMar>
          <w:top w:w="28" w:type="dxa"/>
          <w:left w:w="28" w:type="dxa"/>
          <w:bottom w:w="28" w:type="dxa"/>
          <w:right w:w="28" w:type="dxa"/>
        </w:tblCellMar>
      </w:tblPr>
      <w:tblGrid>
        <w:gridCol w:w="124"/>
        <w:gridCol w:w="109"/>
        <w:gridCol w:w="109"/>
        <w:gridCol w:w="1129"/>
        <w:gridCol w:w="1129"/>
        <w:gridCol w:w="113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Richard Jackson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Richard Jackson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RULE 13a – 14(a) / 15d – 14(a)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§302 OF THE SARBANES-OXLEY ACT OF 2002</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Sunil Mathew, certify that:</w:t>
      </w:r>
    </w:p>
    <w:p>
      <w:pPr>
        <w:pStyle w:val="TextBody"/>
        <w:bidi w:val="0"/>
        <w:spacing w:before="0" w:after="0"/>
        <w:jc w:val="left"/>
        <w:rPr/>
      </w:pPr>
      <w:r>
        <w:rPr/>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Occidental Petroleum Corporation;</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August 5, 2026</w:t>
      </w:r>
    </w:p>
    <w:tbl>
      <w:tblPr>
        <w:tblW w:w="4749" w:type="dxa"/>
        <w:jc w:val="left"/>
        <w:tblInd w:w="0" w:type="dxa"/>
        <w:tblLayout w:type="fixed"/>
        <w:tblCellMar>
          <w:top w:w="28" w:type="dxa"/>
          <w:left w:w="28" w:type="dxa"/>
          <w:bottom w:w="28" w:type="dxa"/>
          <w:right w:w="28" w:type="dxa"/>
        </w:tblCellMar>
      </w:tblPr>
      <w:tblGrid>
        <w:gridCol w:w="124"/>
        <w:gridCol w:w="109"/>
        <w:gridCol w:w="109"/>
        <w:gridCol w:w="1185"/>
        <w:gridCol w:w="1185"/>
        <w:gridCol w:w="1190"/>
        <w:gridCol w:w="248"/>
        <w:gridCol w:w="248"/>
        <w:gridCol w:w="3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Sunil Mathew</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Sunil Mathew</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CEO AND CFO PURSUANT TO</w:t>
      </w:r>
    </w:p>
    <w:p>
      <w:pPr>
        <w:pStyle w:val="TextBody"/>
        <w:bidi w:val="0"/>
        <w:spacing w:lineRule="auto" w:line="288" w:before="0" w:after="0"/>
        <w:jc w:val="center"/>
        <w:rPr/>
      </w:pPr>
      <w:r>
        <w:rPr>
          <w:rFonts w:ascii="Arial;sans-serif" w:hAnsi="Arial;sans-serif"/>
          <w:b/>
          <w:color w:val="000000"/>
          <w:sz w:val="20"/>
        </w:rPr>
        <w:t>18 U.S.C.</w:t>
      </w:r>
      <w:r>
        <w:rPr>
          <w:color w:val="000000"/>
        </w:rPr>
        <w:t xml:space="preserve"> </w:t>
      </w:r>
      <w:r>
        <w:rPr>
          <w:rFonts w:ascii="Arial;sans-serif" w:hAnsi="Arial;sans-serif"/>
          <w:b w:val="false"/>
          <w:color w:val="000000"/>
          <w:sz w:val="20"/>
        </w:rPr>
        <w:t xml:space="preserve">§ </w:t>
      </w:r>
      <w:r>
        <w:rPr>
          <w:rFonts w:ascii="Arial;sans-serif" w:hAnsi="Arial;sans-serif"/>
          <w:b/>
          <w:color w:val="000000"/>
          <w:sz w:val="20"/>
        </w:rPr>
        <w:t>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pPr>
      <w:r>
        <w:rPr>
          <w:rFonts w:ascii="Arial;sans-serif" w:hAnsi="Arial;sans-serif"/>
          <w:b w:val="false"/>
          <w:color w:val="000000"/>
          <w:sz w:val="20"/>
        </w:rPr>
        <w:t xml:space="preserve">§ </w:t>
      </w:r>
      <w:r>
        <w:rPr>
          <w:rFonts w:ascii="Arial;sans-serif" w:hAnsi="Arial;sans-serif"/>
          <w:b/>
          <w:color w:val="000000"/>
          <w:sz w:val="20"/>
        </w:rPr>
        <w:t>906 OF THE SARBANES-OXLEY ACT OF 2002</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the Quarterly Report on Form 10-Q of Occidental Petroleum Corporation (the “Company”) for the fiscal period ended June 30, 2026, as filed with the Securities and Exchange Commission on August 5, 2026 (the “Report”), Richard Jackson, as Chief Executive Officer of the Company, and Sunil Mathew, as Chief Financial Officer of the Company, each hereby certifies, pursuant to 18 U.S.C. § 1350, as adopted pursuant to § 906 of the Sarbanes-Oxley Act of 2002, that, to the best of her or his knowledge:</w:t>
      </w:r>
    </w:p>
    <w:p>
      <w:pPr>
        <w:pStyle w:val="TextBody"/>
        <w:bidi w:val="0"/>
        <w:spacing w:before="0" w:after="0"/>
        <w:jc w:val="both"/>
        <w:rPr/>
      </w:pPr>
      <w:r>
        <w:rPr/>
      </w:r>
    </w:p>
    <w:p>
      <w:pPr>
        <w:pStyle w:val="TextBody"/>
        <w:bidi w:val="0"/>
        <w:spacing w:lineRule="auto" w:line="288" w:before="0" w:after="0"/>
        <w:ind w:left="0" w:right="0" w:hanging="72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before="0" w:after="0"/>
        <w:jc w:val="both"/>
        <w:rPr/>
      </w:pPr>
      <w:r>
        <w:rPr/>
      </w:r>
    </w:p>
    <w:p>
      <w:pPr>
        <w:pStyle w:val="TextBody"/>
        <w:bidi w:val="0"/>
        <w:spacing w:lineRule="auto" w:line="288" w:before="0" w:after="0"/>
        <w:ind w:left="0" w:right="0" w:hanging="720"/>
        <w:jc w:val="both"/>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4125" w:type="dxa"/>
        <w:jc w:val="left"/>
        <w:tblInd w:w="0" w:type="dxa"/>
        <w:tblLayout w:type="fixed"/>
        <w:tblCellMar>
          <w:top w:w="28" w:type="dxa"/>
          <w:left w:w="28" w:type="dxa"/>
          <w:bottom w:w="28" w:type="dxa"/>
          <w:right w:w="28" w:type="dxa"/>
        </w:tblCellMar>
      </w:tblPr>
      <w:tblGrid>
        <w:gridCol w:w="249"/>
        <w:gridCol w:w="220"/>
        <w:gridCol w:w="221"/>
        <w:gridCol w:w="952"/>
        <w:gridCol w:w="952"/>
        <w:gridCol w:w="955"/>
        <w:gridCol w:w="169"/>
        <w:gridCol w:w="169"/>
        <w:gridCol w:w="238"/>
      </w:tblGrid>
      <w:tr>
        <w:trPr/>
        <w:tc>
          <w:tcPr>
            <w:tcW w:w="2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Richard Jackson</w:t>
            </w:r>
          </w:p>
        </w:tc>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28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Richard Jackson</w:t>
            </w:r>
          </w:p>
        </w:tc>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43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2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August 5, 2026</w:t>
            </w:r>
          </w:p>
        </w:tc>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5097" w:type="dxa"/>
        <w:jc w:val="left"/>
        <w:tblInd w:w="0" w:type="dxa"/>
        <w:tblLayout w:type="fixed"/>
        <w:tblCellMar>
          <w:top w:w="28" w:type="dxa"/>
          <w:left w:w="28" w:type="dxa"/>
          <w:bottom w:w="28" w:type="dxa"/>
          <w:right w:w="28" w:type="dxa"/>
        </w:tblCellMar>
      </w:tblPr>
      <w:tblGrid>
        <w:gridCol w:w="249"/>
        <w:gridCol w:w="220"/>
        <w:gridCol w:w="221"/>
        <w:gridCol w:w="1185"/>
        <w:gridCol w:w="1185"/>
        <w:gridCol w:w="1190"/>
        <w:gridCol w:w="248"/>
        <w:gridCol w:w="248"/>
        <w:gridCol w:w="351"/>
      </w:tblGrid>
      <w:tr>
        <w:trPr/>
        <w:tc>
          <w:tcPr>
            <w:tcW w:w="2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Sunil Mathew</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5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Sunil Mathew</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44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and Chief Financial Officer</w:t>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August 5, 2026</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has been provided to Occidental Petroleum Corporation and will be retained by Occidental Petroleum Corporation and furnished to the Securities and Exchange Commission or its staff upon request.</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pStyle w:val="TextBody"/>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Arial Narrow">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23230</Words>
  <Characters>125440</Characters>
  <CharactersWithSpaces>146671</CharactersWithSpaces>
  <Paragraphs>4004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