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Hollub Vicki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OCCIDENTAL PETROLEUM CORPORATION 5 GREENWAY PLAZA, STE. 110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OCCIDENTAL PETROLEUM CORP</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/DE/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OXY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560" w:space="360"/>
            <w:col w:w="3280" w:space="535"/>
            <w:col w:w="3345"/>
          </w:cols>
          <w:pgMar w:left="460" w:top="219" w:right="359" w:bottom="66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9"/>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77046</w:t>
            </w: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9"/>
              </w:rPr>
              <w:t>3,183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4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1,112,004</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701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1,111,303</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8"/>
              </w:rPr>
              <w:t>73,477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1,037,826</w:t>
            </w:r>
          </w:p>
        </w:tc>
        <w:tc>
          <w:tcPr>
            <w:tcW w:w="940" w:type="dxa"/>
            <w:vAlign w:val="bottom"/>
            <w:tcBorders>
              <w:bottom w:val="single" w:sz="8" w:color="2C2C2C"/>
            </w:tcBorders>
          </w:tcPr>
          <w:p>
            <w:pPr>
              <w:jc w:val="center"/>
              <w:ind w:right="3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OPC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26,950</w:t>
            </w:r>
            <w:r>
              <w:rPr>
                <w:rFonts w:ascii="Times New Roman" w:cs="Times New Roman" w:eastAsia="Times New Roman" w:hAnsi="Times New Roman"/>
                <w:sz w:val="22"/>
                <w:szCs w:val="22"/>
                <w:color w:val="008000"/>
                <w:w w:val="93"/>
                <w:vertAlign w:val="superscript"/>
              </w:rPr>
              <w:t>(5)</w:t>
            </w:r>
          </w:p>
        </w:tc>
        <w:tc>
          <w:tcPr>
            <w:tcW w:w="940" w:type="dxa"/>
            <w:vAlign w:val="bottom"/>
          </w:tcPr>
          <w:p>
            <w:pPr>
              <w:jc w:val="center"/>
              <w:ind w:right="5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common stock under Occidental Petroleum Corporation's Amended and Restated 2015 Long-Term Incentive Plan for non-employee director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 shares acquired in April 2026 through dividend reinvestment.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tax withholding obligations.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tax withholding obligations upon the accelerated vesting of previously reported restricted stock units in connection with the reporting person's retirement as President and CEO effective June 1,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Based on a plan statement dated June 1, 2026.</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Brittany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Vicki A.</w:t>
        <w:tab/>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8752" TargetMode="External"/><Relationship Id="rId14" Type="http://schemas.openxmlformats.org/officeDocument/2006/relationships/hyperlink" Target="http://www.sec.gov/cgi-bin/browse-edgar?action=getcompany&amp;CIK=0000797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2026-06-03T18:37:16Z</dcterms:created>
  <dcterms:modified xsi:type="dcterms:W3CDTF">2026-06-03T18:37:16Z</dcterms:modified>
</cp:coreProperties>
</file>