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165100</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240665</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OCCIDENTAL PETROLEUM CORPORATION</w:t>
      </w:r>
    </w:p>
    <w:p>
      <w:pPr>
        <w:spacing w:after="0" w:line="58"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7040" w:type="dxa"/>
            <w:vAlign w:val="bottom"/>
            <w:gridSpan w:val="3"/>
          </w:tcPr>
          <w:p>
            <w:pPr>
              <w:ind w:left="304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tc>
        <w:tc>
          <w:tcPr>
            <w:tcW w:w="2380" w:type="dxa"/>
            <w:vAlign w:val="bottom"/>
          </w:tcPr>
          <w:p>
            <w:pPr>
              <w:spacing w:after="0"/>
              <w:rPr>
                <w:sz w:val="20"/>
                <w:szCs w:val="20"/>
                <w:color w:val="auto"/>
              </w:rPr>
            </w:pPr>
          </w:p>
        </w:tc>
      </w:tr>
      <w:tr>
        <w:trPr>
          <w:trHeight w:val="230"/>
        </w:trPr>
        <w:tc>
          <w:tcPr>
            <w:tcW w:w="374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37"/>
        </w:trPr>
        <w:tc>
          <w:tcPr>
            <w:tcW w:w="374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001-09210</w:t>
            </w:r>
          </w:p>
        </w:tc>
        <w:tc>
          <w:tcPr>
            <w:tcW w:w="1020" w:type="dxa"/>
            <w:vAlign w:val="bottom"/>
          </w:tcPr>
          <w:p>
            <w:pPr>
              <w:spacing w:after="0"/>
              <w:rPr>
                <w:sz w:val="24"/>
                <w:szCs w:val="24"/>
                <w:color w:val="auto"/>
              </w:rPr>
            </w:pPr>
          </w:p>
        </w:tc>
        <w:tc>
          <w:tcPr>
            <w:tcW w:w="23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95-4035997</w:t>
            </w:r>
          </w:p>
        </w:tc>
      </w:tr>
      <w:tr>
        <w:trPr>
          <w:trHeight w:val="216"/>
        </w:trPr>
        <w:tc>
          <w:tcPr>
            <w:tcW w:w="374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30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3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74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33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3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37"/>
        </w:trPr>
        <w:tc>
          <w:tcPr>
            <w:tcW w:w="37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5 Greenway Plaza, Suite 110</w:t>
            </w:r>
          </w:p>
        </w:tc>
        <w:tc>
          <w:tcPr>
            <w:tcW w:w="2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16"/>
        </w:trPr>
        <w:tc>
          <w:tcPr>
            <w:tcW w:w="37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38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77046</w:t>
            </w:r>
          </w:p>
        </w:tc>
      </w:tr>
      <w:tr>
        <w:trPr>
          <w:trHeight w:val="238"/>
        </w:trPr>
        <w:tc>
          <w:tcPr>
            <w:tcW w:w="37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3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215-7000</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160020</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80" w:firstLine="8"/>
        <w:spacing w:after="0" w:line="516"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41"/>
        </w:trPr>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58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6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34"/>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$0.20 par value</w:t>
            </w:r>
          </w:p>
        </w:tc>
        <w:tc>
          <w:tcPr>
            <w:tcW w:w="58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OXY</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0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305435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September 18, 2019, Occidental Petroleum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completed its previously announced offers to exchange (the “</w:t>
      </w:r>
      <w:r>
        <w:rPr>
          <w:rFonts w:ascii="Times New Roman" w:cs="Times New Roman" w:eastAsia="Times New Roman" w:hAnsi="Times New Roman"/>
          <w:sz w:val="18"/>
          <w:szCs w:val="18"/>
          <w:u w:val="single" w:color="auto"/>
          <w:color w:val="auto"/>
        </w:rPr>
        <w:t>Exchange Offers</w:t>
      </w:r>
      <w:r>
        <w:rPr>
          <w:rFonts w:ascii="Times New Roman" w:cs="Times New Roman" w:eastAsia="Times New Roman" w:hAnsi="Times New Roman"/>
          <w:sz w:val="18"/>
          <w:szCs w:val="18"/>
          <w:color w:val="auto"/>
        </w:rPr>
        <w:t>”) any and all validly tendered (and not validly withdrawn) and accepted notes of the following series for Oxy Notes (as defined below) and cash and the related solicitation of consents to amend the indentures governing such notes (such notes, collectively, the “</w:t>
      </w:r>
      <w:r>
        <w:rPr>
          <w:rFonts w:ascii="Times New Roman" w:cs="Times New Roman" w:eastAsia="Times New Roman" w:hAnsi="Times New Roman"/>
          <w:sz w:val="18"/>
          <w:szCs w:val="18"/>
          <w:u w:val="single" w:color="auto"/>
          <w:color w:val="auto"/>
        </w:rPr>
        <w:t>Old Notes</w:t>
      </w:r>
      <w:r>
        <w:rPr>
          <w:rFonts w:ascii="Times New Roman" w:cs="Times New Roman" w:eastAsia="Times New Roman" w:hAnsi="Times New Roman"/>
          <w:sz w:val="18"/>
          <w:szCs w:val="18"/>
          <w:color w:val="auto"/>
        </w:rPr>
        <w:t>”): (i) the 4.850% Senior Notes due 2021 issued by Anadarko Petroleum Corporation (“</w:t>
      </w:r>
      <w:r>
        <w:rPr>
          <w:rFonts w:ascii="Times New Roman" w:cs="Times New Roman" w:eastAsia="Times New Roman" w:hAnsi="Times New Roman"/>
          <w:sz w:val="18"/>
          <w:szCs w:val="18"/>
          <w:u w:val="single" w:color="auto"/>
          <w:color w:val="auto"/>
        </w:rPr>
        <w:t>Anadarko</w:t>
      </w:r>
      <w:r>
        <w:rPr>
          <w:rFonts w:ascii="Times New Roman" w:cs="Times New Roman" w:eastAsia="Times New Roman" w:hAnsi="Times New Roman"/>
          <w:sz w:val="18"/>
          <w:szCs w:val="18"/>
          <w:color w:val="auto"/>
        </w:rPr>
        <w:t>”), (ii) the 3.450% Senior Notes due 2024 issued by Anadarko, (iii) the 6.950% Senior Notes due 2024 issued by Kerr-McGee Corporation (“</w:t>
      </w:r>
      <w:r>
        <w:rPr>
          <w:rFonts w:ascii="Times New Roman" w:cs="Times New Roman" w:eastAsia="Times New Roman" w:hAnsi="Times New Roman"/>
          <w:sz w:val="18"/>
          <w:szCs w:val="18"/>
          <w:u w:val="single" w:color="auto"/>
          <w:color w:val="auto"/>
        </w:rPr>
        <w:t>Kerr-McGee</w:t>
      </w:r>
      <w:r>
        <w:rPr>
          <w:rFonts w:ascii="Times New Roman" w:cs="Times New Roman" w:eastAsia="Times New Roman" w:hAnsi="Times New Roman"/>
          <w:sz w:val="18"/>
          <w:szCs w:val="18"/>
          <w:color w:val="auto"/>
        </w:rPr>
        <w:t>”), (iv) the 7.250% Debentures due 2025 issued by Anadarko, (v) the 5.550% Senior Notes due 2026 issued by Anadarko, (vi) the 7.500% Debentures due 2026 issued by Anadarko Holding Company, as successor in interest to Union Pacific Resources Group Inc. (“</w:t>
      </w:r>
      <w:r>
        <w:rPr>
          <w:rFonts w:ascii="Times New Roman" w:cs="Times New Roman" w:eastAsia="Times New Roman" w:hAnsi="Times New Roman"/>
          <w:sz w:val="18"/>
          <w:szCs w:val="18"/>
          <w:u w:val="single" w:color="auto"/>
          <w:color w:val="auto"/>
        </w:rPr>
        <w:t>Anadarko HoldCo</w:t>
      </w:r>
      <w:r>
        <w:rPr>
          <w:rFonts w:ascii="Times New Roman" w:cs="Times New Roman" w:eastAsia="Times New Roman" w:hAnsi="Times New Roman"/>
          <w:sz w:val="18"/>
          <w:szCs w:val="18"/>
          <w:color w:val="auto"/>
        </w:rPr>
        <w:t>”), (vii) the 7.000% Debentures due 2027 issued by Anadarko, (viii) the 7.125% Debentures due 2027 issued by Kerr-McGee, (ix) the</w:t>
      </w:r>
    </w:p>
    <w:p>
      <w:pPr>
        <w:spacing w:after="0" w:line="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7.150% Debentures due 2028 issued by Anadarko HoldCo, (x) the 6.625% Debentures due 2028 issued by Anadarko, (xi) the 7.200% Debentures due 2029 issued by Anadarko, (xii) the 7.950% Debentures due 2029 issued by Anadarko HoldCo, (xiii) the 7.500% Senior Notes due 2031 issued by Anadarko Finance Company (“</w:t>
      </w:r>
      <w:r>
        <w:rPr>
          <w:rFonts w:ascii="Times New Roman" w:cs="Times New Roman" w:eastAsia="Times New Roman" w:hAnsi="Times New Roman"/>
          <w:sz w:val="18"/>
          <w:szCs w:val="18"/>
          <w:u w:val="single" w:color="auto"/>
          <w:color w:val="auto"/>
        </w:rPr>
        <w:t>Anadarko Finance</w:t>
      </w:r>
      <w:r>
        <w:rPr>
          <w:rFonts w:ascii="Times New Roman" w:cs="Times New Roman" w:eastAsia="Times New Roman" w:hAnsi="Times New Roman"/>
          <w:sz w:val="18"/>
          <w:szCs w:val="18"/>
          <w:color w:val="auto"/>
        </w:rPr>
        <w:t>”), (xiv) the 7.875% Senior Notes due 2031 issued by Kerr-McGee, (xv) the 6.450% Senior Notes due 2036 issued by Anadarko, (xvi) the Zero Coupon Senior Notes due 2036 issued by Anadarko, (xvii) the 7.950% Senior Notes due 2039 issued by Anadarko, (xviii) the</w:t>
      </w:r>
    </w:p>
    <w:p>
      <w:pPr>
        <w:spacing w:after="0" w:line="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6.200% Senior Notes due 2040 issued by Anadarko, (xix) the 4.500% Senior Notes due 2044 issued by Anadarko, (xx) the 6.600% Senior Notes due 2046 issued by Anadarko, (xxi) the 7.250% Debentures due 2096 issued by Anadarko, (xxii) the 7.730% Debentures due 2096 issued by Anadarko and (xxiii) the 7.500% Debentures due 2096 issued by Anadarko HoldCo.</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Exchange Offers, the aggregate principal amounts of the Old Notes set forth below were validly tendered and accepted for exchange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34" w:lineRule="exact"/>
        <w:rPr>
          <w:sz w:val="20"/>
          <w:szCs w:val="20"/>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$653,019,000 aggregate principal amount of the 4.850% Senior Notes due 2021 issued by Anadarko;</w:t>
      </w:r>
    </w:p>
    <w:p>
      <w:pPr>
        <w:spacing w:after="0" w:line="2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$233,062,000 aggregate principal amount of the 3.450% Senior Notes due 2024 issued by Anadarko;</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$582,523,000 aggregate principal amount of the 6.950% Senior Notes due 2024 issued by Kerr-McGee;</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$1,081,892,000 aggregate principal amount of the 5.550% Senior Notes due 2026 issued by Anadarko;</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$88,208,000 aggregate principal amount of the 7.500% Debentures due 2026 issued by Anadarko HoldCo;</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$29,802,000 aggregate principal amount of the 7.000% Debentures due 2027 issued by Anadarko;</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$122,636,000 aggregate principal amount of the 7.125% Debentures due 2027 issued by Kerr-McGee;</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$224,267,000 aggregate principal amount of the 7.150% Debentures due 2028 issued by Anadarko HoldCo;</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$13,811,000 aggregate principal amount of the 6.625% Debentures due 2028 issued by Anadarko;</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$126,005,000 aggregate principal amount of the 7.200% Debentures due 2029 issued by Anadarko;</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$80,881,000 aggregate principal amount of the 7.950% Debentures due 2029 issued by Anadarko HoldCo;</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$869,550,000 aggregate principal amount of the 7.500% Senior Notes due 2031 issued by Anadarko Finance;</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$484,677,000 aggregate principal amount of the 7.875% Senior Notes due 2031 issued by Kerr-McGee;</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$1,734,194,000 aggregate principal amount of the 6.450% Senior Notes due 2036 issued by Anadarko;</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$2,270,292,000 aggregate principal amount at maturity of the Zero Coupon Senior Notes due 2036 issued by Anadarko;</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$321,591,000 aggregate principal amount of the 7.950% Senior Notes due 2039 issued by Anadarko;</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$737,496,000 aggregate principal amount of the 6.200% Senior Notes due 2040 issued by Anadarko;</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$623,462,000 aggregate principal amount of the 4.500% Senior Notes due 2044 issued by Anadarko;</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$1,099,221,000 aggregate principal amount of the 6.600% Senior Notes due 2046 issued by Anadarko;</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$54,624,000 aggregate principal amount of the 7.730% Debentures due 2096 issued by Anadarko; and</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$59,783,000 aggregate principal amount of the 7.500% Debentures due 2096 issued by Anadarko HoldCo.</w:t>
      </w:r>
    </w:p>
    <w:p>
      <w:pPr>
        <w:spacing w:after="0" w:line="2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Old Notes that were tendered and accepted for exchange in the Exchange Offers were exchanged for certificated notes registered in the Company’s name, which notes will remain outstanding and may be transferred to a subsidiary of the Company. Following the settlement of the Exchange Offers, $402,356,000 aggregate principal amount at maturity of Old Notes remain outstanding and held by persons other than the Company.</w:t>
      </w:r>
    </w:p>
    <w:p>
      <w:pPr>
        <w:spacing w:after="0" w:line="20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connection with the settlement of the Exchange Offers, the Company issued the following series of notes (collectively, the “</w:t>
      </w:r>
      <w:r>
        <w:rPr>
          <w:rFonts w:ascii="Times New Roman" w:cs="Times New Roman" w:eastAsia="Times New Roman" w:hAnsi="Times New Roman"/>
          <w:sz w:val="18"/>
          <w:szCs w:val="18"/>
          <w:u w:val="single" w:color="auto"/>
          <w:color w:val="auto"/>
        </w:rPr>
        <w:t>Oxy Notes</w:t>
      </w:r>
      <w:r>
        <w:rPr>
          <w:rFonts w:ascii="Times New Roman" w:cs="Times New Roman" w:eastAsia="Times New Roman" w:hAnsi="Times New Roman"/>
          <w:sz w:val="18"/>
          <w:szCs w:val="18"/>
          <w:color w:val="auto"/>
        </w:rPr>
        <w:t>”) in exchange for the validly tendered and accepted Old Notes:</w:t>
      </w:r>
    </w:p>
    <w:p>
      <w:pPr>
        <w:spacing w:after="0" w:line="189" w:lineRule="exact"/>
        <w:rPr>
          <w:sz w:val="20"/>
          <w:szCs w:val="20"/>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$653,019,000 aggregate principal amount of the 4.850% Senior Notes due 2021;</w:t>
      </w:r>
    </w:p>
    <w:p>
      <w:pPr>
        <w:spacing w:after="0" w:line="2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$233,062,000 aggregate principal amount of the 3.450% Senior Notes due 2024;</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$582,523,000 aggregate principal amount of the 6.950% Senior Notes due 2024;</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$1,081,892,000 aggregate principal amount of the 5.550% Senior Notes due 2026;</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$88,208,000 aggregate principal amount of the 7.500% Debentures due 2026;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 w:name="page3"/>
    <w:bookmarkEnd w:id="2"/>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$29,802,000 aggregate principal amount of the 7.000% Debentures due 2027;</w:t>
      </w:r>
    </w:p>
    <w:p>
      <w:pPr>
        <w:spacing w:after="0" w:line="2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$122,636,000 aggregate principal amount of the 7.125% Debentures due 2027;</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$224,267,000 aggregate principal amount of the 7.150% Debentures due 2028;</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$13,811,000 aggregate principal amount of the 6.625% Debentures due 2028;</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$126,005,000 aggregate principal amount of the 7.200% Debentures due 2029;</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$80,881,000 aggregate principal amount of the 7.950% Debentures due 2029;</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$869,550,000 aggregate principal amount of the 7.500% Senior Notes due 2031;</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$484,677,000 aggregate principal amount of the 7.875% Senior Notes due 2031;</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$1,734,194,000 aggregate principal amount of the 6.450% Senior Notes due 2036;</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$2,270,292,000 aggregate principal amount at maturity of the Zero Coupon Senior Notes due 2036;</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$321,591,000 aggregate principal amount of the 7.950% Senior Notes due 2039;</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$737,496,000 aggregate principal amount of the 6.200% Senior Notes due 2040;</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$623,462,000 aggregate principal amount of the 4.500% Senior Notes due 2044;</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$1,099,221,000 aggregate principal amount of the 6.600% Senior Notes due 2046;</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$54,624,000 aggregate principal amount of the 7.730% Debentures due 2096; and</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$59,783,000 aggregate principal amount of the 7.500% Debentures due 2096.</w:t>
      </w:r>
    </w:p>
    <w:p>
      <w:pPr>
        <w:spacing w:after="0" w:line="23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As of 12:01 a.m., New York City time, on September 13, 2019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all conditions to the Exchange Offers were satisfied or waived other than the condition that the Company obtains the receipt of the requisite consents applicable to the 7.250% Debentures due 2025 issued by Anadarko and the 7.250% Debentures due 2096 issued by Anadarko to adopt certain proposed amendments to the indentures governing such Old Notes. The Company did not accept any Old Notes of such series tendered for exchange in the Exchange Offers and therefore did not issue any corresponding notes of those series.</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Oxy Notes are governed by the terms of an indenture, dated as of August 8, 2019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The Bank of New York Mellon Trust Company, N.A., as trustee, as supplemented by an officer’s certificate for each series of Oxy Notes, dated as of September 18, 2019, setting forth the specific terms applicable to each series of Oxy Notes. The Indenture contains covenants that limit the ability of the Company and its consolidated subsidiaries to, among other things, incur liens and the ability of the Company to merge, consolidate or transfer substantially all of its assets.</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may redeem the 4.850% Senior Notes due 2021, the 3.450% Senior Notes due 2024, the 6.950% Senior Notes due 2024, the 5.550% Senior Notes due 2026, the 7.125% Debentures due 2027, the 7.150% Debentures due 2028, the 7.950% Debentures due 2029, the 7.500% Senior Notes due 2031, the 7.875% Senior Notes due 2031, the 6.450% Senior Notes due 2036, the 7.950% Senior Notes due 2039, the 6.200% Senior Notes due 2040, the 4.500% Senior Notes due 2044 and the 6.600% Senior Notes due 2046 (collectively, the “</w:t>
      </w:r>
      <w:r>
        <w:rPr>
          <w:rFonts w:ascii="Times New Roman" w:cs="Times New Roman" w:eastAsia="Times New Roman" w:hAnsi="Times New Roman"/>
          <w:sz w:val="18"/>
          <w:szCs w:val="18"/>
          <w:u w:val="single" w:color="auto"/>
          <w:color w:val="auto"/>
        </w:rPr>
        <w:t>Oxy Redeemable Notes</w:t>
      </w:r>
      <w:r>
        <w:rPr>
          <w:rFonts w:ascii="Times New Roman" w:cs="Times New Roman" w:eastAsia="Times New Roman" w:hAnsi="Times New Roman"/>
          <w:sz w:val="18"/>
          <w:szCs w:val="18"/>
          <w:color w:val="auto"/>
        </w:rPr>
        <w:t>”), in whole or in part, at the option of the Company, at any time or from time to time, in each case prior to final maturity (or in the case of the Oxy Par Call Notes (as defined below), prior to the applicable date set forth below) at a redemption price equal to the greater of (i) 100% of the principal amount of the Oxy Redeemable Notes to be redeemed and (ii) the sum of the present values of the remaining scheduled payments on the Oxy Redeemable Notes discounted to the date of redemption, on a semiannual basis (assuming a 360-day year consisting of twelve 30-day months), at a rate equal to the sum of the applicable treasury rate plus 50 basis points in the case of the 4.850% Senior Notes due 2021, 15 basis points in the case of the 3.450% Senior Notes due 2024, 30 basis points in the case of the 6.950% Senior Notes due 2024, 50 basis points in the case of the 5.550% Senior Notes due 2026, 10 basis points in the case of the 7.125% Debentures due 2027, 25 basis points in the case of the 7.150% Debentures due 2028, 40 basis points in the case of the 7.950% Debentures due 2029, 30 basis points in the case of the 7.500% Senior Notes due 2031, 25 basis points in the case of the 7.875% Senior Notes due 2031, 30 basis points in the case of the 6.450% Senior Notes due 2036, 50 basis points in the case of the 7.950% Senior Notes due 2039, 25 basis points in the case of the 6.200% Senior Notes due 2040, 20 basis points in the case of the 4.500% Senior Notes due 2044 and 50 basis points in the case of the 6.600% Senior Notes due 2046, plus, in each case, accrued and unpaid interest on the Oxy Redeemable Notes of the series being redeemed to, but not including, the redemption date.</w:t>
      </w:r>
    </w:p>
    <w:p>
      <w:pPr>
        <w:spacing w:after="0" w:line="2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and after February 15, 2021 with respect to the 4.850% Senior Notes due 2021, April 15, 2024 with respect to the 3.450% Senior Notes due 2024, December 15, 2025 with respect to the 5.550% Senior Notes due 2026, January 15, 2044 with respect to the 4.500% Senior Notes due 2044 and September 15, 2046 with respect to the 6.600% Senior Notes due 2046, the Company may redeem the applicable series of Oxy Notes (collectively, the “</w:t>
      </w:r>
      <w:r>
        <w:rPr>
          <w:rFonts w:ascii="Times New Roman" w:cs="Times New Roman" w:eastAsia="Times New Roman" w:hAnsi="Times New Roman"/>
          <w:sz w:val="18"/>
          <w:szCs w:val="18"/>
          <w:u w:val="single" w:color="auto"/>
          <w:color w:val="auto"/>
        </w:rPr>
        <w:t>Oxy Par Call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at the option of the Company, in whole or in part from time to time, at a redemption price equal to 100% of the principal amount of the Oxy Par Call Notes of the series to be redeemed, plus, accrued and unpaid interest on the principal amount of the Oxy Par Call Notes to be redeemed to, but not including, the redemption date.</w:t>
      </w: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p>
      <w:pPr>
        <w:spacing w:after="0" w:line="258" w:lineRule="auto"/>
        <w:rPr>
          <w:sz w:val="20"/>
          <w:szCs w:val="20"/>
          <w:color w:val="auto"/>
        </w:rPr>
      </w:pPr>
      <w:r>
        <w:rPr>
          <w:rFonts w:ascii="Times New Roman" w:cs="Times New Roman" w:eastAsia="Times New Roman" w:hAnsi="Times New Roman"/>
          <w:sz w:val="18"/>
          <w:szCs w:val="18"/>
          <w:color w:val="auto"/>
        </w:rPr>
        <w:t>The Exchange Offers were made pursuant to the terms and conditions set forth in Occidental’s prospectus, dated as of August 15, 2019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as amended by a press release issued by Occidental on August 29, 2019, and the related Letter of Transmittal and Consent (the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The Prospectus forms a part of the Registration Statement on Form S-4, which was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August 1, 2019, as amended by Amendment No. 1 thereto filed with the SEC on August 13, 2019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declared effective on August 15, 2019.</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Oxy Notes have been registered under the Securities Act of 1933 pursuant to the Registration Statement.</w:t>
      </w:r>
    </w:p>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This summary of the Oxy Notes does not purport to be complete and is qualified in its entirety by reference to the Indenture and the form of the Oxy Notes, which are attached hereto as Exhibits 4.1 through 4.22, and are incorporated by reference into this Item 2.03.</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56"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7"/>
          <w:szCs w:val="17"/>
          <w:color w:val="auto"/>
        </w:rPr>
        <w:t>On September 16, 2019, the Company issued a press release announcing the final results of the Exchange Offers following the expiration of the Exchange Offers as of the Expiration Date. A copy of the press release is attached hereto as Exhibit 99.1 and is incorporated by reference into this Item 8.01.</w:t>
      </w:r>
    </w:p>
    <w:p>
      <w:pPr>
        <w:spacing w:after="0" w:line="16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4"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54"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9">
        <w:r>
          <w:rPr>
            <w:rFonts w:ascii="Times New Roman" w:cs="Times New Roman" w:eastAsia="Times New Roman" w:hAnsi="Times New Roman"/>
            <w:sz w:val="17"/>
            <w:szCs w:val="17"/>
            <w:u w:val="single" w:color="auto"/>
            <w:color w:val="0000EE"/>
          </w:rPr>
          <w:t>Indenture, dated as of August 8, 2019, between Occidental Petroleum Corporation and The Bank of New York Mellon Trust Company, N.A.</w:t>
        </w:r>
      </w:hyperlink>
    </w:p>
    <w:p>
      <w:pPr>
        <w:spacing w:after="0" w:line="27" w:lineRule="exact"/>
        <w:rPr>
          <w:sz w:val="20"/>
          <w:szCs w:val="20"/>
          <w:color w:val="auto"/>
        </w:rPr>
      </w:pPr>
    </w:p>
    <w:p>
      <w:pPr>
        <w:ind w:left="820"/>
        <w:spacing w:after="0"/>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(incorporated by reference to Exhibit 4.1 to the Form 8-K of Occidental Petroleum Corporation dated August 8, 2019).</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w:anchor="page6">
        <w:r>
          <w:rPr>
            <w:rFonts w:ascii="Times New Roman" w:cs="Times New Roman" w:eastAsia="Times New Roman" w:hAnsi="Times New Roman"/>
            <w:sz w:val="17"/>
            <w:szCs w:val="17"/>
            <w:u w:val="single" w:color="auto"/>
            <w:color w:val="0000EE"/>
          </w:rPr>
          <w:t>Form of 4.850% Senior Notes due 2021.</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w:anchor="page17">
        <w:r>
          <w:rPr>
            <w:rFonts w:ascii="Times New Roman" w:cs="Times New Roman" w:eastAsia="Times New Roman" w:hAnsi="Times New Roman"/>
            <w:sz w:val="17"/>
            <w:szCs w:val="17"/>
            <w:u w:val="single" w:color="auto"/>
            <w:color w:val="0000EE"/>
          </w:rPr>
          <w:t>Form of 3.450% Senior Notes due 2024.</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w:anchor="page28">
        <w:r>
          <w:rPr>
            <w:rFonts w:ascii="Times New Roman" w:cs="Times New Roman" w:eastAsia="Times New Roman" w:hAnsi="Times New Roman"/>
            <w:sz w:val="17"/>
            <w:szCs w:val="17"/>
            <w:u w:val="single" w:color="auto"/>
            <w:color w:val="0000EE"/>
          </w:rPr>
          <w:t>Form of 6.950% Senior Notes due 2024.</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w:anchor="page39">
        <w:r>
          <w:rPr>
            <w:rFonts w:ascii="Times New Roman" w:cs="Times New Roman" w:eastAsia="Times New Roman" w:hAnsi="Times New Roman"/>
            <w:sz w:val="17"/>
            <w:szCs w:val="17"/>
            <w:u w:val="single" w:color="auto"/>
            <w:color w:val="0000EE"/>
          </w:rPr>
          <w:t>Form of 5.550% Senior Notes due 2026.</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w:anchor="page50">
        <w:r>
          <w:rPr>
            <w:rFonts w:ascii="Times New Roman" w:cs="Times New Roman" w:eastAsia="Times New Roman" w:hAnsi="Times New Roman"/>
            <w:sz w:val="17"/>
            <w:szCs w:val="17"/>
            <w:u w:val="single" w:color="auto"/>
            <w:color w:val="0000EE"/>
          </w:rPr>
          <w:t>Form of 7.500% Debentures due 2026.</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4.7</w:t>
      </w:r>
      <w:r>
        <w:rPr>
          <w:sz w:val="20"/>
          <w:szCs w:val="20"/>
          <w:color w:val="auto"/>
        </w:rPr>
        <w:tab/>
      </w:r>
      <w:hyperlink w:anchor="page59">
        <w:r>
          <w:rPr>
            <w:rFonts w:ascii="Times New Roman" w:cs="Times New Roman" w:eastAsia="Times New Roman" w:hAnsi="Times New Roman"/>
            <w:sz w:val="17"/>
            <w:szCs w:val="17"/>
            <w:u w:val="single" w:color="auto"/>
            <w:color w:val="0000EE"/>
          </w:rPr>
          <w:t>Form of 7.000% Debentures due 2027.</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4.8</w:t>
      </w:r>
      <w:r>
        <w:rPr>
          <w:sz w:val="20"/>
          <w:szCs w:val="20"/>
          <w:color w:val="auto"/>
        </w:rPr>
        <w:tab/>
      </w:r>
      <w:hyperlink w:anchor="page68">
        <w:r>
          <w:rPr>
            <w:rFonts w:ascii="Times New Roman" w:cs="Times New Roman" w:eastAsia="Times New Roman" w:hAnsi="Times New Roman"/>
            <w:sz w:val="17"/>
            <w:szCs w:val="17"/>
            <w:u w:val="single" w:color="auto"/>
            <w:color w:val="0000EE"/>
          </w:rPr>
          <w:t>Form of 7.125% Debentures due 2027.</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4.9</w:t>
      </w:r>
      <w:r>
        <w:rPr>
          <w:sz w:val="20"/>
          <w:szCs w:val="20"/>
          <w:color w:val="auto"/>
        </w:rPr>
        <w:tab/>
      </w:r>
      <w:hyperlink w:anchor="page79">
        <w:r>
          <w:rPr>
            <w:rFonts w:ascii="Times New Roman" w:cs="Times New Roman" w:eastAsia="Times New Roman" w:hAnsi="Times New Roman"/>
            <w:sz w:val="17"/>
            <w:szCs w:val="17"/>
            <w:u w:val="single" w:color="auto"/>
            <w:color w:val="0000EE"/>
          </w:rPr>
          <w:t>Form of 7.150% Debentures due 2028.</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4.10</w:t>
      </w:r>
      <w:r>
        <w:rPr>
          <w:sz w:val="20"/>
          <w:szCs w:val="20"/>
          <w:color w:val="auto"/>
        </w:rPr>
        <w:tab/>
      </w:r>
      <w:hyperlink w:anchor="page90">
        <w:r>
          <w:rPr>
            <w:rFonts w:ascii="Times New Roman" w:cs="Times New Roman" w:eastAsia="Times New Roman" w:hAnsi="Times New Roman"/>
            <w:sz w:val="17"/>
            <w:szCs w:val="17"/>
            <w:u w:val="single" w:color="auto"/>
            <w:color w:val="0000EE"/>
          </w:rPr>
          <w:t>Form of 6.625% Debentures due 2028.</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4.11</w:t>
      </w:r>
      <w:r>
        <w:rPr>
          <w:sz w:val="20"/>
          <w:szCs w:val="20"/>
          <w:color w:val="auto"/>
        </w:rPr>
        <w:tab/>
      </w:r>
      <w:hyperlink w:anchor="page99">
        <w:r>
          <w:rPr>
            <w:rFonts w:ascii="Times New Roman" w:cs="Times New Roman" w:eastAsia="Times New Roman" w:hAnsi="Times New Roman"/>
            <w:sz w:val="17"/>
            <w:szCs w:val="17"/>
            <w:u w:val="single" w:color="auto"/>
            <w:color w:val="0000EE"/>
          </w:rPr>
          <w:t>Form of 7.200% Debentures due 2029.</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4.12</w:t>
      </w:r>
      <w:r>
        <w:rPr>
          <w:sz w:val="20"/>
          <w:szCs w:val="20"/>
          <w:color w:val="auto"/>
        </w:rPr>
        <w:tab/>
      </w:r>
      <w:hyperlink w:anchor="page108">
        <w:r>
          <w:rPr>
            <w:rFonts w:ascii="Times New Roman" w:cs="Times New Roman" w:eastAsia="Times New Roman" w:hAnsi="Times New Roman"/>
            <w:sz w:val="17"/>
            <w:szCs w:val="17"/>
            <w:u w:val="single" w:color="auto"/>
            <w:color w:val="0000EE"/>
          </w:rPr>
          <w:t>Form of 7.950% Debentures due 2029.</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4.13</w:t>
      </w:r>
      <w:r>
        <w:rPr>
          <w:sz w:val="20"/>
          <w:szCs w:val="20"/>
          <w:color w:val="auto"/>
        </w:rPr>
        <w:tab/>
      </w:r>
      <w:hyperlink w:anchor="page119">
        <w:r>
          <w:rPr>
            <w:rFonts w:ascii="Times New Roman" w:cs="Times New Roman" w:eastAsia="Times New Roman" w:hAnsi="Times New Roman"/>
            <w:sz w:val="17"/>
            <w:szCs w:val="17"/>
            <w:u w:val="single" w:color="auto"/>
            <w:color w:val="0000EE"/>
          </w:rPr>
          <w:t>Form of 7.500% Senior Notes due 2031.</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4.14</w:t>
      </w:r>
      <w:r>
        <w:rPr>
          <w:sz w:val="20"/>
          <w:szCs w:val="20"/>
          <w:color w:val="auto"/>
        </w:rPr>
        <w:tab/>
      </w:r>
      <w:hyperlink w:anchor="page130">
        <w:r>
          <w:rPr>
            <w:rFonts w:ascii="Times New Roman" w:cs="Times New Roman" w:eastAsia="Times New Roman" w:hAnsi="Times New Roman"/>
            <w:sz w:val="17"/>
            <w:szCs w:val="17"/>
            <w:u w:val="single" w:color="auto"/>
            <w:color w:val="0000EE"/>
          </w:rPr>
          <w:t>Form of 7.875% Senior Notes due 2031.</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4.15</w:t>
      </w:r>
      <w:r>
        <w:rPr>
          <w:sz w:val="20"/>
          <w:szCs w:val="20"/>
          <w:color w:val="auto"/>
        </w:rPr>
        <w:tab/>
      </w:r>
      <w:hyperlink w:anchor="page141">
        <w:r>
          <w:rPr>
            <w:rFonts w:ascii="Times New Roman" w:cs="Times New Roman" w:eastAsia="Times New Roman" w:hAnsi="Times New Roman"/>
            <w:sz w:val="17"/>
            <w:szCs w:val="17"/>
            <w:u w:val="single" w:color="auto"/>
            <w:color w:val="0000EE"/>
          </w:rPr>
          <w:t>Form of 6.450% Senior Notes due 2036.</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4.16</w:t>
      </w:r>
      <w:r>
        <w:rPr>
          <w:sz w:val="20"/>
          <w:szCs w:val="20"/>
          <w:color w:val="auto"/>
        </w:rPr>
        <w:tab/>
      </w:r>
      <w:hyperlink w:anchor="page152">
        <w:r>
          <w:rPr>
            <w:rFonts w:ascii="Times New Roman" w:cs="Times New Roman" w:eastAsia="Times New Roman" w:hAnsi="Times New Roman"/>
            <w:sz w:val="17"/>
            <w:szCs w:val="17"/>
            <w:u w:val="single" w:color="auto"/>
            <w:color w:val="0000EE"/>
          </w:rPr>
          <w:t>Form of Zero Coupon Senior Notes due 2036.</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4.17</w:t>
      </w:r>
      <w:r>
        <w:rPr>
          <w:sz w:val="20"/>
          <w:szCs w:val="20"/>
          <w:color w:val="auto"/>
        </w:rPr>
        <w:tab/>
      </w:r>
      <w:hyperlink w:anchor="page168">
        <w:r>
          <w:rPr>
            <w:rFonts w:ascii="Times New Roman" w:cs="Times New Roman" w:eastAsia="Times New Roman" w:hAnsi="Times New Roman"/>
            <w:sz w:val="17"/>
            <w:szCs w:val="17"/>
            <w:u w:val="single" w:color="auto"/>
            <w:color w:val="0000EE"/>
          </w:rPr>
          <w:t>Form of 7.950% Senior Notes due 2039.</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4.18</w:t>
      </w:r>
      <w:r>
        <w:rPr>
          <w:sz w:val="20"/>
          <w:szCs w:val="20"/>
          <w:color w:val="auto"/>
        </w:rPr>
        <w:tab/>
      </w:r>
      <w:hyperlink w:anchor="page179">
        <w:r>
          <w:rPr>
            <w:rFonts w:ascii="Times New Roman" w:cs="Times New Roman" w:eastAsia="Times New Roman" w:hAnsi="Times New Roman"/>
            <w:sz w:val="17"/>
            <w:szCs w:val="17"/>
            <w:u w:val="single" w:color="auto"/>
            <w:color w:val="0000EE"/>
          </w:rPr>
          <w:t>Form of 6.200% Senior Notes due 2040.</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4.19</w:t>
      </w:r>
      <w:r>
        <w:rPr>
          <w:sz w:val="20"/>
          <w:szCs w:val="20"/>
          <w:color w:val="auto"/>
        </w:rPr>
        <w:tab/>
      </w:r>
      <w:hyperlink w:anchor="page190">
        <w:r>
          <w:rPr>
            <w:rFonts w:ascii="Times New Roman" w:cs="Times New Roman" w:eastAsia="Times New Roman" w:hAnsi="Times New Roman"/>
            <w:sz w:val="17"/>
            <w:szCs w:val="17"/>
            <w:u w:val="single" w:color="auto"/>
            <w:color w:val="0000EE"/>
          </w:rPr>
          <w:t>Form of 4.500% Senior Notes due 2044.</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4.20</w:t>
      </w:r>
      <w:r>
        <w:rPr>
          <w:sz w:val="20"/>
          <w:szCs w:val="20"/>
          <w:color w:val="auto"/>
        </w:rPr>
        <w:tab/>
      </w:r>
      <w:hyperlink w:anchor="page201">
        <w:r>
          <w:rPr>
            <w:rFonts w:ascii="Times New Roman" w:cs="Times New Roman" w:eastAsia="Times New Roman" w:hAnsi="Times New Roman"/>
            <w:sz w:val="17"/>
            <w:szCs w:val="17"/>
            <w:u w:val="single" w:color="auto"/>
            <w:color w:val="0000EE"/>
          </w:rPr>
          <w:t>Form of 6.600% Senior Notes due 2046.</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4.21</w:t>
      </w:r>
      <w:r>
        <w:rPr>
          <w:sz w:val="20"/>
          <w:szCs w:val="20"/>
          <w:color w:val="auto"/>
        </w:rPr>
        <w:tab/>
      </w:r>
      <w:hyperlink w:anchor="page212">
        <w:r>
          <w:rPr>
            <w:rFonts w:ascii="Times New Roman" w:cs="Times New Roman" w:eastAsia="Times New Roman" w:hAnsi="Times New Roman"/>
            <w:sz w:val="17"/>
            <w:szCs w:val="17"/>
            <w:u w:val="single" w:color="auto"/>
            <w:color w:val="0000EE"/>
          </w:rPr>
          <w:t>Form of 7.730% Debentures due 2096.</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4.22</w:t>
      </w:r>
      <w:r>
        <w:rPr>
          <w:sz w:val="20"/>
          <w:szCs w:val="20"/>
          <w:color w:val="auto"/>
        </w:rPr>
        <w:tab/>
      </w:r>
      <w:hyperlink w:anchor="page221">
        <w:r>
          <w:rPr>
            <w:rFonts w:ascii="Times New Roman" w:cs="Times New Roman" w:eastAsia="Times New Roman" w:hAnsi="Times New Roman"/>
            <w:sz w:val="17"/>
            <w:szCs w:val="17"/>
            <w:u w:val="single" w:color="auto"/>
            <w:color w:val="0000EE"/>
          </w:rPr>
          <w:t>Form of 7.500% Debentures due 2096.</w:t>
        </w:r>
      </w:hyperlink>
    </w:p>
    <w:p>
      <w:pPr>
        <w:spacing w:after="0" w:line="9" w:lineRule="exact"/>
        <w:rPr>
          <w:sz w:val="20"/>
          <w:szCs w:val="20"/>
          <w:color w:val="auto"/>
        </w:rPr>
      </w:pPr>
    </w:p>
    <w:p>
      <w:pPr>
        <w:ind w:left="240"/>
        <w:spacing w:after="0"/>
        <w:tabs>
          <w:tab w:leader="none" w:pos="80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230">
        <w:r>
          <w:rPr>
            <w:rFonts w:ascii="Times New Roman" w:cs="Times New Roman" w:eastAsia="Times New Roman" w:hAnsi="Times New Roman"/>
            <w:sz w:val="17"/>
            <w:szCs w:val="17"/>
            <w:u w:val="single" w:color="auto"/>
            <w:color w:val="0000EE"/>
          </w:rPr>
          <w:t>Press Release, dated September 16, 2019.</w:t>
        </w:r>
      </w:hyperlink>
    </w:p>
    <w:p>
      <w:pPr>
        <w:spacing w:after="0" w:line="9" w:lineRule="exact"/>
        <w:rPr>
          <w:sz w:val="20"/>
          <w:szCs w:val="20"/>
          <w:color w:val="auto"/>
        </w:rPr>
      </w:pPr>
    </w:p>
    <w:p>
      <w:pPr>
        <w:ind w:left="240"/>
        <w:spacing w:after="0"/>
        <w:tabs>
          <w:tab w:leader="none" w:pos="8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4" w:name="page5"/>
    <w:bookmarkEnd w:id="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5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Nicole E. Clark</w:t>
            </w:r>
          </w:p>
        </w:tc>
      </w:tr>
      <w:tr>
        <w:trPr>
          <w:trHeight w:val="198"/>
        </w:trPr>
        <w:tc>
          <w:tcPr>
            <w:tcW w:w="580" w:type="dxa"/>
            <w:vAlign w:val="bottom"/>
          </w:tcPr>
          <w:p>
            <w:pPr>
              <w:spacing w:after="0"/>
              <w:rPr>
                <w:sz w:val="17"/>
                <w:szCs w:val="17"/>
                <w:color w:val="auto"/>
              </w:rPr>
            </w:pPr>
          </w:p>
        </w:tc>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3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Nicole E. Clark</w:t>
            </w:r>
          </w:p>
        </w:tc>
      </w:tr>
      <w:tr>
        <w:trPr>
          <w:trHeight w:val="216"/>
        </w:trPr>
        <w:tc>
          <w:tcPr>
            <w:tcW w:w="5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Vice President, Associate General</w:t>
            </w:r>
          </w:p>
        </w:tc>
      </w:tr>
      <w:tr>
        <w:trPr>
          <w:trHeight w:val="234"/>
        </w:trPr>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Counsel and Corporate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19, 2019</w:t>
      </w:r>
    </w:p>
    <w:p>
      <w:pPr>
        <w:spacing w:after="0" w:line="200" w:lineRule="exact"/>
        <w:rPr>
          <w:sz w:val="20"/>
          <w:szCs w:val="20"/>
          <w:color w:val="auto"/>
        </w:rPr>
      </w:pPr>
    </w:p>
    <w:p>
      <w:pPr>
        <w:spacing w:after="0" w:line="2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17" w:right="439" w:bottom="1440" w:gutter="0" w:footer="0" w:header="0"/>
        </w:sectPr>
      </w:pPr>
    </w:p>
    <w:bookmarkStart w:id="5" w:name="page6"/>
    <w:bookmarkEnd w:id="5"/>
    <w:p>
      <w:pPr>
        <w:ind w:left="104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4.2</w:t>
      </w:r>
    </w:p>
    <w:p>
      <w:pPr>
        <w:spacing w:after="0" w:line="258"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UNLESS THIS CERTIFICATE IS PRESENTED BY AN AUTHORIZED REPRESENTATIVE OF THE DEPOSITORY TRUST COMPANY, A NEW YORK CORPORATION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OCCIDENTAL PETROLEUM CORPORATION</w:t>
            </w:r>
          </w:p>
        </w:tc>
      </w:tr>
      <w:tr>
        <w:trPr>
          <w:trHeight w:val="459"/>
        </w:trPr>
        <w:tc>
          <w:tcPr>
            <w:tcW w:w="3100" w:type="dxa"/>
            <w:vAlign w:val="bottom"/>
          </w:tcPr>
          <w:p>
            <w:pPr>
              <w:spacing w:after="0"/>
              <w:rPr>
                <w:sz w:val="24"/>
                <w:szCs w:val="24"/>
                <w:color w:val="auto"/>
              </w:rPr>
            </w:pPr>
          </w:p>
        </w:tc>
        <w:tc>
          <w:tcPr>
            <w:tcW w:w="832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4.850% SENIOR NOTES DUE 2021</w:t>
            </w: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3100" w:type="dxa"/>
            <w:vAlign w:val="bottom"/>
          </w:tcPr>
          <w:p>
            <w:pPr>
              <w:spacing w:after="0"/>
              <w:rPr>
                <w:sz w:val="20"/>
                <w:szCs w:val="20"/>
                <w:color w:val="auto"/>
              </w:rPr>
            </w:pPr>
          </w:p>
        </w:tc>
        <w:tc>
          <w:tcPr>
            <w:tcW w:w="8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CUSIP: 674599 CZ6</w:t>
            </w:r>
          </w:p>
        </w:tc>
        <w:tc>
          <w:tcPr>
            <w:tcW w:w="8320" w:type="dxa"/>
            <w:vAlign w:val="bottom"/>
          </w:tcPr>
          <w:p>
            <w:pPr>
              <w:spacing w:after="0"/>
              <w:rPr>
                <w:sz w:val="24"/>
                <w:szCs w:val="24"/>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ISIN: US674599CZ63</w:t>
            </w:r>
          </w:p>
        </w:tc>
        <w:tc>
          <w:tcPr>
            <w:tcW w:w="8320" w:type="dxa"/>
            <w:vAlign w:val="bottom"/>
          </w:tcPr>
          <w:p>
            <w:pPr>
              <w:spacing w:after="0"/>
              <w:rPr>
                <w:sz w:val="20"/>
                <w:szCs w:val="20"/>
                <w:color w:val="auto"/>
              </w:rPr>
            </w:pP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March 15, 2021</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4.850% per annum</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March 15 and September 15, commencing March 15, 2020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March 1 and September 1</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310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6" w:name="page7"/>
    <w:bookmarkEnd w:id="6"/>
    <w:p>
      <w:pPr>
        <w:ind w:firstLine="648"/>
        <w:spacing w:after="0" w:line="251" w:lineRule="auto"/>
        <w:rPr>
          <w:sz w:val="20"/>
          <w:szCs w:val="20"/>
          <w:color w:val="auto"/>
        </w:rPr>
      </w:pPr>
      <w:r>
        <w:rPr>
          <w:rFonts w:ascii="Times New Roman" w:cs="Times New Roman" w:eastAsia="Times New Roman" w:hAnsi="Times New Roman"/>
          <w:sz w:val="18"/>
          <w:szCs w:val="18"/>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(unless and to the extent earlier redeemed prior to such Maturity Date) and to pay interest thereon from September 15, 2019 or from the most recent Interest Payment Date to which interest has been paid or duly provided for, semi-annually in arrears on March 15 and September 15 in each year, commencing on March 15, 2020, at the rate per annum specified above, until the principal hereof is paid or made available for payment. Interest on this Note will be computed on the basis of a 360-day year comprised of twelve 30-day months. Interest payments for this Note will include interest accrued to but excluding each Interest Payment Date. The interest so payable, and punctually paid or duly provided for, on any Interest Payment Date will, as provided in the Indenture, be paid to the Person in whose name this Note (or one or more Predecessor Securities) is registered at the close of business on the Regular Record Date, which shall be the March 1 or September 1 (whether or not a Business Day), as the case may be, immediately preceding such Interest Payment Date. If any Interest Payment Date or Maturity with respect to this Note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Note (or one or more Predecessor Securities) is registered at the close of business on a Special Record Date for the payment of such Defaulted Interest to be fixed by the Trustee (as defined below), notice of which will be given to Holders of Notes not less than 10 days prior to such Special Record Date, or (2) be paid at any time in any other lawful manner not inconsistent with the requirements of any securities exchange on which the Notes may be listed, and upon such notice as may be required by such exchange, all as more fully provided in the Indenture. Payment of the principal of and interest on this Note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Note set forth below, which further provisions shall for all purposes have the same effect as if set forth at this place.</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or its duly appointed co-authenticating agent by manual signature, this Note shall not be entitled to any benefit under the Indenture or be valid or obligatory for any purpose.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OCCIDENTAL PETROLEUM CORPORATION has caused this Note to be signed by the signature of its Chairman of the Board, its President, a Vice President, its Treasurer or an Assistant Treasurer.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8" w:name="page9"/>
    <w:bookmarkEnd w:id="8"/>
    <w:p>
      <w:pPr>
        <w:ind w:left="37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9" w:name="page10"/>
    <w:bookmarkEnd w:id="9"/>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This Note is one of a duly authorized issue of securities (herein called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of the Company, issued and to be issued pursuant to the Indenture (as defined below). This Note is one of a series designated by the Company as its 4.850% Senior Notes due 2021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limited in initial aggregate principal amount to $[ ]. The Indenture does not limit the aggregate principal amount of the Securities.</w:t>
      </w:r>
    </w:p>
    <w:p>
      <w:pPr>
        <w:spacing w:after="0" w:line="198"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The Company issued this Note pursuant to an Indenture, dated as of August 8, 2019 (herein called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which term, for the purpose of this Note,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Notes and of the terms upon which the Notes are, and are to be, authenticated and delivered.</w:t>
      </w:r>
    </w:p>
    <w:p>
      <w:pPr>
        <w:spacing w:after="0" w:line="21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Notes are issuable in denominations of $2,000 and any amount in excess thereof which is an integral multiple of $1,000. As provided in the Indenture and subject to certain limitations therein set forth, the Notes are exchangeable for a like aggregate principal amount of Notes of like tenor of any authorized denomination, as requested by the Holder surrendering the same, upon surrender of the Note or Notes to be exchanged at any office or agency described below where Notes may be presented for registration of transfer.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from time to time, without notice to or the consent of the Holders of the Notes, reopen the Notes and issue additional Notes.</w:t>
      </w:r>
    </w:p>
    <w:p>
      <w:pPr>
        <w:spacing w:after="0" w:line="2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Notes are redeemable, in whole at any time or in part from time to time prior to February 15, 2021 (the “</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at the option of the Company at a Redemption Price equal to the greater of (i) 100% of the principal amount of the Notes to be redeemed and (ii) as determined by the Quotation Agent, the sum of the present values of the remaining scheduled payments of principal and interest on the Notes to be redeemed through the Par Call Date (not including any portion of such payments of interest accrued to, but not including, the Redemption Date) discounted to the Redemption Date on a semi-annual basis (assuming a 360-day year comprised of twelve 30-day months) at the Treasury Rate (as defined herein) plus 50 basis points plus, in each case, accrued and unpaid interest on the principal amount of the Notes being redeemed to, but not including, the Redemption Date. On and after the Par Call Date, the Notes are redeemable, in whole at any time or in part from time to time, at the option of the Company at a Redemption Price equal to 100% of the principal amount of the Notes to be redeemed, plus accrued and unpaid interest on the principal amount of the Notes being redeemed to, but not including, the Redemption Date. Notwithstanding the foregoing, installments of interest whose Stated Maturity is on or prior to the relevant Redemption Date shall be payable to the Holders of the Notes, or one or more Predecessor Securities, of record at the close of business on the relevant Regular Record Dates according to their terms and the provisions of the Indenture.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rate per annum, as determined by the Quotation Agent equal to: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0" w:name="page11"/>
    <w:bookmarkEnd w:id="10"/>
    <w:p>
      <w:pPr>
        <w:jc w:val="both"/>
        <w:ind w:left="66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provided that if no maturity is within three months before or after the remaining term of the Notes to be redeemed (assuming, for this purpose, that the Notes mature on the Par Call Date), yields for the two published maturities most closely corresponding to the Comparable Treasury Issue will be determined and the Treasury Rate will be interpolated or extrapolated from those yields on a straight-line basis rounding to the nearest month; or</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that Redemption Date.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Treasury Rate will be calculated at 5:00 p.m. (New York City time) on the third Business Day preceding the Redemption Date by the Quotation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30"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Issue</w:t>
      </w:r>
      <w:r>
        <w:rPr>
          <w:rFonts w:ascii="Times New Roman" w:cs="Times New Roman" w:eastAsia="Times New Roman" w:hAnsi="Times New Roman"/>
          <w:sz w:val="18"/>
          <w:szCs w:val="18"/>
          <w:color w:val="auto"/>
        </w:rPr>
        <w:t>” means, with respect to any Redemption Date, the United States Treasury security selected by the Quotation Agent that would be utilized, at the time of selection and in accordance with customary financial practice, in pricing new issues of corporate debt securities of comparable maturity to the remaining term of the Notes (assuming, for this purpose, that the Notes mature on the Par Call Date).</w:t>
      </w:r>
    </w:p>
    <w:p>
      <w:pPr>
        <w:spacing w:after="0" w:line="198"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Price</w:t>
      </w:r>
      <w:r>
        <w:rPr>
          <w:rFonts w:ascii="Times New Roman" w:cs="Times New Roman" w:eastAsia="Times New Roman" w:hAnsi="Times New Roman"/>
          <w:sz w:val="18"/>
          <w:szCs w:val="18"/>
          <w:color w:val="auto"/>
        </w:rPr>
        <w:t>” means, with respect to any Redemption Date, (1) the average of the Reference Treasury Dealer Quotations for such Redemption Date, after excluding the highest and lowest Reference Treasury Dealer Quotations, or (2) if the Quotation Agent obtains fewer than three Reference Treasury Dealer Quotations, the average of all such Reference Treasury Dealer Quotations, such average in any case to be determined by the Quotation Agent, or (3) if only one Reference Treasury Dealer Quotation is received, such Reference Treasury Dealer Quotation.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Quotation Agent</w:t>
      </w:r>
      <w:r>
        <w:rPr>
          <w:rFonts w:ascii="Times New Roman" w:cs="Times New Roman" w:eastAsia="Times New Roman" w:hAnsi="Times New Roman"/>
          <w:sz w:val="18"/>
          <w:szCs w:val="18"/>
          <w:color w:val="auto"/>
        </w:rPr>
        <w:t>” means, with respect to any Redemption Date, the Reference Treasury Dealer appointed by the Company.</w:t>
      </w:r>
    </w:p>
    <w:p>
      <w:pPr>
        <w:spacing w:after="0" w:line="252"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w:t>
      </w:r>
      <w:r>
        <w:rPr>
          <w:rFonts w:ascii="Times New Roman" w:cs="Times New Roman" w:eastAsia="Times New Roman" w:hAnsi="Times New Roman"/>
          <w:sz w:val="18"/>
          <w:szCs w:val="18"/>
          <w:color w:val="auto"/>
        </w:rPr>
        <w:t>” means, with respect to any Redemption Date, each of (1) BofA Securities, Inc. and Citigroup Global Markets Inc. (or their respective affiliates that are primary U.S. Government securities dealers) and their respective successors; provided, however, that if any of them shall cease to be a primary U.S. Government securities dealer in the United States of America (a “</w:t>
      </w:r>
      <w:r>
        <w:rPr>
          <w:rFonts w:ascii="Times New Roman" w:cs="Times New Roman" w:eastAsia="Times New Roman" w:hAnsi="Times New Roman"/>
          <w:sz w:val="18"/>
          <w:szCs w:val="18"/>
          <w:b w:val="1"/>
          <w:bCs w:val="1"/>
          <w:color w:val="auto"/>
        </w:rPr>
        <w:t>Primary Treasury Dealer</w:t>
      </w:r>
      <w:r>
        <w:rPr>
          <w:rFonts w:ascii="Times New Roman" w:cs="Times New Roman" w:eastAsia="Times New Roman" w:hAnsi="Times New Roman"/>
          <w:sz w:val="18"/>
          <w:szCs w:val="18"/>
          <w:color w:val="auto"/>
        </w:rPr>
        <w:t>”), the Company shall substitute for it another Primary Treasury Dealer; and (2) any other Primary Treasury Dealer or Dealers selected by the Company.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ind w:right="2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in The City of New York preceding such Redemption Date.</w:t>
      </w:r>
    </w:p>
    <w:p>
      <w:pPr>
        <w:spacing w:after="0" w:line="20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sent at least 10 days but not more than 60 days before the Redemption Date to each Holder of the Notes to be redeemed, all as more fully provided in the Indenture. Unless the Company defaults in payment of the Redemption Price (or any accrued and unpaid interest on the Notes or portions thereof to be redeemed), on and after the Redemption Date interest will cease to accrue on the Notes or portions thereof called for redemption. If less than all of the Notes are to be redeemed, the Notes (or portions thereof) to be redeemed shall be selected, in the case of Global Notes, in accordance with the policies and procedures of the depository or, in the case of Definitive Notes, by the Trustee by such method as the Trustee shall deem fair and appropriate, all as more fully provided in the Indenture.</w:t>
      </w:r>
    </w:p>
    <w:p>
      <w:pPr>
        <w:spacing w:after="0" w:line="21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All notices of redemption shall state the Redemption Date, the Redemption Price (or, if not then ascertainable, the manner of calculation thereof), if fewer than all the Outstanding Notes are to be redeemed, the identification (and, in the case of partial redemption, the principal amounts) of the particular Notes to be redeemed, that on the Redemption Date the Redemption Price will become due and payable upon each Note, or portion thereof, to be redeemed, together with accrued and unpaid interest thereon, that interest on each Note, or portion thereof, called for redemption will cease to accrue on the Redemption Date and the place or places where Notes may be surrendered for redemption.</w:t>
      </w:r>
    </w:p>
    <w:p>
      <w:pPr>
        <w:spacing w:after="0" w:line="211" w:lineRule="exact"/>
        <w:rPr>
          <w:sz w:val="20"/>
          <w:szCs w:val="20"/>
          <w:color w:val="auto"/>
        </w:rPr>
      </w:pPr>
    </w:p>
    <w:p>
      <w:pPr>
        <w:ind w:right="80" w:firstLine="648"/>
        <w:spacing w:after="0" w:line="313" w:lineRule="auto"/>
        <w:rPr>
          <w:sz w:val="20"/>
          <w:szCs w:val="20"/>
          <w:color w:val="auto"/>
        </w:rPr>
      </w:pPr>
      <w:r>
        <w:rPr>
          <w:rFonts w:ascii="Times New Roman" w:cs="Times New Roman" w:eastAsia="Times New Roman" w:hAnsi="Times New Roman"/>
          <w:sz w:val="17"/>
          <w:szCs w:val="17"/>
          <w:color w:val="auto"/>
        </w:rPr>
        <w:t>In the event of redemption of this Note in part only, a new Note or Notes of like tenor in an aggregate principal amount equal to and in exchange for the unredeemed portion of the principal amount hereof will be issued in authorized denominations in the name of the Holder hereof upon surrender hereof.</w:t>
      </w:r>
    </w:p>
    <w:p>
      <w:pPr>
        <w:spacing w:after="0" w:line="16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For all purposes of this Note and the Indenture, unless the context otherwise requires, all provisions relating to the redemption by the Company of this Note shall relate, in the case that this Note is redeemed, or to be redeemed, by the Company only in part, to that portion of the principal amount of this Note that has been, or is to be, redeemed.</w:t>
      </w: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the Notes shall occur and be continuing, the principal of and accrued interest on the Notes may be declared due and payable in the manner and with the effect provided in the Indenture.</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12" w:name="page13"/>
    <w:bookmarkEnd w:id="12"/>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w:t>
      </w:r>
    </w:p>
    <w:p>
      <w:pPr>
        <w:spacing w:after="0" w:line="3" w:lineRule="exact"/>
        <w:rPr>
          <w:sz w:val="20"/>
          <w:szCs w:val="20"/>
          <w:color w:val="auto"/>
        </w:rPr>
      </w:pPr>
    </w:p>
    <w:p>
      <w:pPr>
        <w:ind w:firstLine="8"/>
        <w:spacing w:after="0" w:line="252"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15"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subject to the provisions for satisfaction and discharge in Article Four of the Indenture, shall alter or impair the obligation of the Company, which is absolute and unconditional, to pay the principal of and interest on this Note at the times, place and rate, and in the coin or currency, herein prescribed.</w:t>
      </w:r>
    </w:p>
    <w:p>
      <w:pPr>
        <w:spacing w:after="0" w:line="20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shall be permitted, by irrevocably depositing cash or U.S. Government Obligations, in amounts and maturities sufficient to pay and discharge at the Stated Maturity or Redemption Date, as the case may be, the entire indebtedness on all Outstanding Notes that have become due and payable or will become due and payable within one year (or are scheduled for redemption within one year), with the Trustee in trust, solely for the benefit of the Holders of all Outstanding Notes, to defease the Indenture with respect to such Notes (subject to specified exceptions), and upon such deposit and satisfaction of the other conditions set forth in the Indenture, the Company shall be deemed to have paid and discharged its entire indebtedness on the Notes.</w:t>
      </w:r>
    </w:p>
    <w:p>
      <w:pPr>
        <w:spacing w:after="0" w:line="21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shall also be permitted to discharge, at any time, its obligations in respect of the Notes (other than certain limited obligations, such as the obligation to transfer and exchange the Notes) by (1)(a) delivering all of the outstanding Notes to the Trustee to be cancelled or (b) depositing with the Trustee in trust funds or non-callable United States government or government-guaranteed obligations sufficient, without investment, to pay all remaining principal and interest on the Notes and (2) complying with certain other provisions of the Indenture, including delivering to the Trustee an opinion of counsel from a nationally recognized counsel or an IRS ruling stating that (A) the Company has received from, or there has been published by, the Internal Revenue Service a ruling or (B) since the date of the Indenture, there has been a change in the applicable federal income tax law, in the case of either (A) or (B) to the effect that the Holders of the Notes will not recognize income, gain or loss for federal income tax purposes as a result of such discharge and will be subject to federal income tax on the same amount, in the same manner and at the same times as would be the case if such deposit and discharge were not to occur.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shall also be permitted to omit to comply with the restrictive covenants described in Sections 1007 and 801 of the Indenture, with respect to the Notes, and the omission shall not be an Event of Default, pursuant to the Company’s right to covenant defeasance. In order to exercise the Company’s right to covenant defeasance, the Company will be required to deposit with the Trustee, in trust funds or non-callable United States government or government-guaranteed obligations, funds sufficient, without investment, to pay all remaining principal and interest on the Notes. To effect a covenant defeasance with respect to the Notes, the Company shall be required to deliver to the Trustee an opinion of counsel to the effect that the holders of the Notes will not recognize gain or loss for federal income tax purposes as a result of the deposit and the covenant defeasance and will be subject to federal income tax on the same amount, in the same manner and at the same times as would be the case if such deposit and covenant defeasance were not to occur.</w:t>
      </w:r>
    </w:p>
    <w:p>
      <w:pPr>
        <w:spacing w:after="0" w:line="216"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Notes is registrable in the Security Register, upon surrender of a Note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Notes of like tenor, of authorized denominations and for the same aggregate principal amount, will be issued to the designated transferee or transferees.</w:t>
      </w:r>
    </w:p>
    <w:p>
      <w:pPr>
        <w:spacing w:after="0" w:line="215"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20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 of the State of New York (without regard to conflicts of laws principles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3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All undefined terms (whether or not capitalized) used in this Note which are defined in the Indenture shall have the meanings assigned to them in the Indenture.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jc w:val="center"/>
        <w:ind w:right="-37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-127635</wp:posOffset>
            </wp:positionV>
            <wp:extent cx="59347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347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618865"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-127635</wp:posOffset>
            </wp:positionV>
            <wp:extent cx="21780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appear(s) on the face of this Note)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*NOTICE: The signature must be guaranteed by an institution that is a member of one of the following recognized signature guarantee programs: (i) The Securities Transfer Agent Medallion Program (STAMP); (ii) The New York Stock Exchange Medallion Program (MNSP); (iii) The Stock Exchange Medallion Program (SEMP); or (iv) such other guarantee program acceptable to the Trustee.</w:t>
      </w:r>
    </w:p>
    <w:p>
      <w:pPr>
        <w:spacing w:after="0" w:line="3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21" w:right="6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color w:val="auto"/>
        </w:rPr>
        <w:t>SCHEDULE OF EXCHANGES OF INTERESTS IN THE GLOBAL NOTE</w:t>
      </w:r>
    </w:p>
    <w:p>
      <w:pPr>
        <w:spacing w:after="0" w:line="25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Signature of</w:t>
            </w:r>
          </w:p>
        </w:tc>
      </w:tr>
      <w:tr>
        <w:trPr>
          <w:trHeight w:val="216"/>
        </w:trPr>
        <w:tc>
          <w:tcPr>
            <w:tcW w:w="2120" w:type="dxa"/>
            <w:vAlign w:val="bottom"/>
          </w:tcPr>
          <w:p>
            <w:pPr>
              <w:spacing w:after="0"/>
              <w:rPr>
                <w:sz w:val="18"/>
                <w:szCs w:val="18"/>
                <w:color w:val="auto"/>
              </w:rPr>
            </w:pPr>
          </w:p>
        </w:tc>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Amount of</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Authorized</w:t>
            </w:r>
          </w:p>
        </w:tc>
      </w:tr>
      <w:tr>
        <w:trPr>
          <w:trHeight w:val="216"/>
        </w:trPr>
        <w:tc>
          <w:tcPr>
            <w:tcW w:w="2120" w:type="dxa"/>
            <w:vAlign w:val="bottom"/>
          </w:tcPr>
          <w:p>
            <w:pPr>
              <w:spacing w:after="0"/>
              <w:rPr>
                <w:sz w:val="18"/>
                <w:szCs w:val="18"/>
                <w:color w:val="auto"/>
              </w:rPr>
            </w:pPr>
          </w:p>
        </w:tc>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Decrease in</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Officer of</w:t>
            </w:r>
          </w:p>
        </w:tc>
      </w:tr>
      <w:tr>
        <w:trPr>
          <w:trHeight w:val="216"/>
        </w:trPr>
        <w:tc>
          <w:tcPr>
            <w:tcW w:w="2120" w:type="dxa"/>
            <w:vAlign w:val="bottom"/>
          </w:tcPr>
          <w:p>
            <w:pPr>
              <w:spacing w:after="0"/>
              <w:rPr>
                <w:sz w:val="18"/>
                <w:szCs w:val="18"/>
                <w:color w:val="auto"/>
              </w:rPr>
            </w:pPr>
          </w:p>
        </w:tc>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Principal</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Trustee or</w:t>
            </w:r>
          </w:p>
        </w:tc>
      </w:tr>
      <w:tr>
        <w:trPr>
          <w:trHeight w:val="216"/>
        </w:trPr>
        <w:tc>
          <w:tcPr>
            <w:tcW w:w="2120" w:type="dxa"/>
            <w:vAlign w:val="bottom"/>
          </w:tcPr>
          <w:p>
            <w:pPr>
              <w:spacing w:after="0"/>
              <w:rPr>
                <w:sz w:val="18"/>
                <w:szCs w:val="18"/>
                <w:color w:val="auto"/>
              </w:rPr>
            </w:pPr>
          </w:p>
        </w:tc>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Amount of this</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2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Date of Exchange</w:t>
            </w:r>
          </w:p>
        </w:tc>
        <w:tc>
          <w:tcPr>
            <w:tcW w:w="2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Global Note</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2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Custodian</w:t>
            </w:r>
          </w:p>
        </w:tc>
      </w:tr>
      <w:tr>
        <w:trPr>
          <w:trHeight w:val="625"/>
        </w:trPr>
        <w:tc>
          <w:tcPr>
            <w:tcW w:w="2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20" w:type="dxa"/>
            <w:vAlign w:val="bottom"/>
          </w:tcPr>
          <w:p>
            <w:pPr>
              <w:jc w:val="right"/>
              <w:ind w:right="753"/>
              <w:spacing w:after="0"/>
              <w:rPr>
                <w:sz w:val="20"/>
                <w:szCs w:val="20"/>
                <w:color w:val="auto"/>
              </w:rPr>
            </w:pPr>
            <w:r>
              <w:rPr>
                <w:rFonts w:ascii="Times New Roman" w:cs="Times New Roman" w:eastAsia="Times New Roman" w:hAnsi="Times New Roman"/>
                <w:sz w:val="14"/>
                <w:szCs w:val="14"/>
                <w:color w:val="auto"/>
              </w:rPr>
              <w:t>11</w:t>
            </w:r>
          </w:p>
        </w:tc>
        <w:tc>
          <w:tcPr>
            <w:tcW w:w="2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98"/>
        </w:trPr>
        <w:tc>
          <w:tcPr>
            <w:tcW w:w="21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1" w:right="239" w:bottom="1440" w:gutter="0" w:footer="0" w:header="0"/>
        </w:sectPr>
      </w:pPr>
    </w:p>
    <w:bookmarkStart w:id="16" w:name="page17"/>
    <w:bookmarkEnd w:id="16"/>
    <w:p>
      <w:pPr>
        <w:ind w:left="104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4.3</w:t>
      </w:r>
    </w:p>
    <w:p>
      <w:pPr>
        <w:spacing w:after="0" w:line="258"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UNLESS THIS CERTIFICATE IS PRESENTED BY AN AUTHORIZED REPRESENTATIVE OF THE DEPOSITORY TRUST COMPANY, A NEW YORK CORPORATION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OCCIDENTAL PETROLEUM CORPORATION</w:t>
            </w:r>
          </w:p>
        </w:tc>
      </w:tr>
      <w:tr>
        <w:trPr>
          <w:trHeight w:val="459"/>
        </w:trPr>
        <w:tc>
          <w:tcPr>
            <w:tcW w:w="3100" w:type="dxa"/>
            <w:vAlign w:val="bottom"/>
          </w:tcPr>
          <w:p>
            <w:pPr>
              <w:spacing w:after="0"/>
              <w:rPr>
                <w:sz w:val="24"/>
                <w:szCs w:val="24"/>
                <w:color w:val="auto"/>
              </w:rPr>
            </w:pPr>
          </w:p>
        </w:tc>
        <w:tc>
          <w:tcPr>
            <w:tcW w:w="832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3.450% SENIOR NOTES DUE 2024</w:t>
            </w: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3100" w:type="dxa"/>
            <w:vAlign w:val="bottom"/>
          </w:tcPr>
          <w:p>
            <w:pPr>
              <w:spacing w:after="0"/>
              <w:rPr>
                <w:sz w:val="20"/>
                <w:szCs w:val="20"/>
                <w:color w:val="auto"/>
              </w:rPr>
            </w:pPr>
          </w:p>
        </w:tc>
        <w:tc>
          <w:tcPr>
            <w:tcW w:w="8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CUSIP: 674599 DA0</w:t>
            </w:r>
          </w:p>
        </w:tc>
        <w:tc>
          <w:tcPr>
            <w:tcW w:w="8320" w:type="dxa"/>
            <w:vAlign w:val="bottom"/>
          </w:tcPr>
          <w:p>
            <w:pPr>
              <w:spacing w:after="0"/>
              <w:rPr>
                <w:sz w:val="24"/>
                <w:szCs w:val="24"/>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ISIN: US674599DA04</w:t>
            </w:r>
          </w:p>
        </w:tc>
        <w:tc>
          <w:tcPr>
            <w:tcW w:w="8320" w:type="dxa"/>
            <w:vAlign w:val="bottom"/>
          </w:tcPr>
          <w:p>
            <w:pPr>
              <w:spacing w:after="0"/>
              <w:rPr>
                <w:sz w:val="20"/>
                <w:szCs w:val="20"/>
                <w:color w:val="auto"/>
              </w:rPr>
            </w:pP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July 15, 2024</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3.450% per annum</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January 15 and July 15, commencing January 15, 2020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January 1 and July 1</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310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7" w:name="page18"/>
    <w:bookmarkEnd w:id="17"/>
    <w:p>
      <w:pPr>
        <w:ind w:firstLine="648"/>
        <w:spacing w:after="0" w:line="251" w:lineRule="auto"/>
        <w:rPr>
          <w:sz w:val="20"/>
          <w:szCs w:val="20"/>
          <w:color w:val="auto"/>
        </w:rPr>
      </w:pPr>
      <w:r>
        <w:rPr>
          <w:rFonts w:ascii="Times New Roman" w:cs="Times New Roman" w:eastAsia="Times New Roman" w:hAnsi="Times New Roman"/>
          <w:sz w:val="18"/>
          <w:szCs w:val="18"/>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(unless and to the extent earlier redeemed prior to such Maturity Date) and to pay interest thereon from July 15, 2019 or from the most recent Interest Payment Date to which interest has been paid or duly provided for, semi-annually in arrears on January 15 and July 15 in each year, commencing on January 15, 2020, at the rate per annum specified above, until the principal hereof is paid or made available for payment. Interest on this Note will be computed on the basis of a 360-day year comprised of twelve 30-day months. Interest payments for this Note will include interest accrued to but excluding each Interest Payment Date. The interest so payable, and punctually paid or duly provided for, on any Interest Payment Date will, as provided in the Indenture, be paid to the Person in whose name this Note (or one or more Predecessor Securities) is registered at the close of business on the Regular Record Date, which shall be the January 1 or July 1 (whether or not a Business Day), as the case may be, immediately preceding such Interest Payment Date. If any Interest Payment Date or Maturity with respect to this Note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Note (or one or more Predecessor Securities) is registered at the close of business on a Special Record Date for the payment of such Defaulted Interest to be fixed by the Trustee (as defined below), notice of which will be given to Holders of Notes not less than 10 days prior to such Special Record Date, or (2) be paid at any time in any other lawful manner not inconsistent with the requirements of any securities exchange on which the Notes may be listed, and upon such notice as may be required by such exchange, all as more fully provided in the Indenture. Payment of the principal of and interest on this Note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3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Note set forth below, which further provisions shall for all purposes have the same effect as if set forth at this place.</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or its duly appointed co-authenticating agent by manual signature, this Note shall not be entitled to any benefit under the Indenture or be valid or obligatory for any purpose.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OCCIDENTAL PETROLEUM CORPORATION has caused this Note to be signed by the signature of its Chairman of the Board, its President, a Vice President, its Treasurer or an Assistant Treasurer.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19" w:name="page20"/>
    <w:bookmarkEnd w:id="19"/>
    <w:p>
      <w:pPr>
        <w:ind w:left="37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0" w:name="page21"/>
    <w:bookmarkEnd w:id="20"/>
    <w:p>
      <w:pPr>
        <w:ind w:right="240" w:firstLine="648"/>
        <w:spacing w:after="0" w:line="268" w:lineRule="auto"/>
        <w:rPr>
          <w:sz w:val="20"/>
          <w:szCs w:val="20"/>
          <w:color w:val="auto"/>
        </w:rPr>
      </w:pPr>
      <w:r>
        <w:rPr>
          <w:rFonts w:ascii="Times New Roman" w:cs="Times New Roman" w:eastAsia="Times New Roman" w:hAnsi="Times New Roman"/>
          <w:sz w:val="18"/>
          <w:szCs w:val="18"/>
          <w:color w:val="auto"/>
        </w:rPr>
        <w:t>This Note is one of a duly authorized issue of securities (herein called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of the Company, issued and to be issued pursuant to the Indenture (as defined below). This Note is one of a series designated by the Company as its 3.450% Senior Notes due 2024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limited in initial aggregate principal amount to $[ ]. The Indenture does not limit the aggregate principal amount of the Securities.</w:t>
      </w:r>
    </w:p>
    <w:p>
      <w:pPr>
        <w:spacing w:after="0" w:line="198"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The Company issued this Note pursuant to an Indenture, dated as of August 8, 2019 (herein called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which term, for the purpose of this Note,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Notes and of the terms upon which the Notes are, and are to be, authenticated and delivered.</w:t>
      </w:r>
    </w:p>
    <w:p>
      <w:pPr>
        <w:spacing w:after="0" w:line="21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Notes are issuable in denominations of $2,000 and any amount in excess thereof which is an integral multiple of $1,000. As provided in the Indenture and subject to certain limitations therein set forth, the Notes are exchangeable for a like aggregate principal amount of Notes of like tenor of any authorized denomination, as requested by the Holder surrendering the same, upon surrender of the Note or Notes to be exchanged at any office or agency described below where Notes may be presented for registration of transfer.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from time to time, without notice to or the consent of the Holders of the Notes, reopen the Notes and issue additional Notes.</w:t>
      </w:r>
    </w:p>
    <w:p>
      <w:pPr>
        <w:spacing w:after="0" w:line="2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Notes are redeemable, in whole at any time or in part from time to time prior to April 15, 2024 (the “</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at the option of the Company at a Redemption Price equal to the greater of (i) 100% of the principal amount of the Notes to be redeemed and (ii) as determined by the Quotation Agent, the sum of the present values of the remaining scheduled payments of principal and interest on the Notes to be redeemed through the Par Call Date (not including any portion of such payments of interest accrued to, but not including, the Redemption Date) discounted to the Redemption Date on a semi-annual basis (assuming a 360-day year comprised of twelve 30-day months) at the Treasury Rate (as defined herein) plus 15 basis points plus, in each case, accrued and unpaid interest on the principal amount of the Notes being redeemed to, but not including, the Redemption Date. On and after the Par Call Date, the Notes are redeemable, in whole at any time or in part from time to time, at the option of the Company at a Redemption Price equal to 100% of the principal amount of the Notes to be redeemed, plus accrued and unpaid interest on the principal amount of the Notes being redeemed to, but not including, the Redemption Date. Notwithstanding the foregoing, installments of interest whose Stated Maturity is on or prior to the relevant Redemption Date shall be payable to the Holders of the Notes, or one or more Predecessor Securities, of record at the close of business on the relevant Regular Record Dates according to their terms and the provisions of the Indenture.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rate per annum, as determined by the Quotation Agent equal to: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1" w:name="page22"/>
    <w:bookmarkEnd w:id="21"/>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provided that if no maturity is within three months before or after the remaining term of the Notes to be redeemed (assuming, for this purpose, that the Notes mature on the Par Call Date), yields for the two published maturities most closely corresponding to the Comparable Treasury Issue will be determined and the Treasury Rate will be interpolated or extrapolated from those yields on a straight-line basis rounding to the nearest month; or</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that Redemption Date.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Treasury Rate will be calculated at 5:00 p.m. (New York City time) on the third Business Day preceding the Redemption Date by the Quotation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30"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Issue</w:t>
      </w:r>
      <w:r>
        <w:rPr>
          <w:rFonts w:ascii="Times New Roman" w:cs="Times New Roman" w:eastAsia="Times New Roman" w:hAnsi="Times New Roman"/>
          <w:sz w:val="18"/>
          <w:szCs w:val="18"/>
          <w:color w:val="auto"/>
        </w:rPr>
        <w:t>” means, with respect to any Redemption Date, the United States Treasury security selected by the Quotation Agent that would be utilized, at the time of selection and in accordance with customary financial practice, in pricing new issues of corporate debt securities of comparable maturity to the remaining term of the Notes (assuming, for this purpose, that the Notes mature on the Par Call Date).</w:t>
      </w:r>
    </w:p>
    <w:p>
      <w:pPr>
        <w:spacing w:after="0" w:line="198"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Price</w:t>
      </w:r>
      <w:r>
        <w:rPr>
          <w:rFonts w:ascii="Times New Roman" w:cs="Times New Roman" w:eastAsia="Times New Roman" w:hAnsi="Times New Roman"/>
          <w:sz w:val="18"/>
          <w:szCs w:val="18"/>
          <w:color w:val="auto"/>
        </w:rPr>
        <w:t>” means, with respect to any Redemption Date, (1) the average of the Reference Treasury Dealer Quotations for such Redemption Date, after excluding the highest and lowest Reference Treasury Dealer Quotations, or (2) if the Quotation Agent obtains fewer than three Reference Treasury Dealer Quotations, the average of all such Reference Treasury Dealer Quotations, such average in any case to be determined by the Quotation Agent, or (3) if only one Reference Treasury Dealer Quotation is received, such Reference Treasury Dealer Quotation.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Quotation Agent</w:t>
      </w:r>
      <w:r>
        <w:rPr>
          <w:rFonts w:ascii="Times New Roman" w:cs="Times New Roman" w:eastAsia="Times New Roman" w:hAnsi="Times New Roman"/>
          <w:sz w:val="18"/>
          <w:szCs w:val="18"/>
          <w:color w:val="auto"/>
        </w:rPr>
        <w:t>” means, with respect to any Redemption Date, the Reference Treasury Dealer appointed by the Company.</w:t>
      </w:r>
    </w:p>
    <w:p>
      <w:pPr>
        <w:spacing w:after="0" w:line="252"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w:t>
      </w:r>
      <w:r>
        <w:rPr>
          <w:rFonts w:ascii="Times New Roman" w:cs="Times New Roman" w:eastAsia="Times New Roman" w:hAnsi="Times New Roman"/>
          <w:sz w:val="18"/>
          <w:szCs w:val="18"/>
          <w:color w:val="auto"/>
        </w:rPr>
        <w:t>” means, with respect to any Redemption Date, each of (1) BofA Securities, Inc. and Citigroup Global Markets Inc. (or their respective affiliates that are primary U.S. Government securities dealers) and their respective successors; provided, however, that if any of them shall cease to be a primary U.S. Government securities dealer in the United States of America (a “</w:t>
      </w:r>
      <w:r>
        <w:rPr>
          <w:rFonts w:ascii="Times New Roman" w:cs="Times New Roman" w:eastAsia="Times New Roman" w:hAnsi="Times New Roman"/>
          <w:sz w:val="18"/>
          <w:szCs w:val="18"/>
          <w:b w:val="1"/>
          <w:bCs w:val="1"/>
          <w:color w:val="auto"/>
        </w:rPr>
        <w:t>Primary Treasury Dealer</w:t>
      </w:r>
      <w:r>
        <w:rPr>
          <w:rFonts w:ascii="Times New Roman" w:cs="Times New Roman" w:eastAsia="Times New Roman" w:hAnsi="Times New Roman"/>
          <w:sz w:val="18"/>
          <w:szCs w:val="18"/>
          <w:color w:val="auto"/>
        </w:rPr>
        <w:t>”), the Company shall substitute for it another Primary Treasury Dealer; and (2) any other Primary Treasury Dealer or Dealers selected by the Company.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ind w:right="2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in The City of New York preceding such Redemption Date.</w:t>
      </w:r>
    </w:p>
    <w:p>
      <w:pPr>
        <w:spacing w:after="0" w:line="20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sent at least 10 days but not more than 60 days before the Redemption Date to each Holder of the Notes to be redeemed, all as more fully provided in the Indenture. Unless the Company defaults in payment of the Redemption Price (or any accrued and unpaid interest on the Notes or portions thereof to be redeemed), on and after the Redemption Date interest will cease to accrue on the Notes or portions thereof called for redemption. If less than all of the Notes are to be redeemed, the Notes (or portions thereof) to be redeemed shall be selected, in the case of Global Notes, in accordance with the policies and procedures of the depository or, in the case of Definitive Notes, by the Trustee by such method as the Trustee shall deem fair and appropriate, all as more fully provided in the Indenture.</w:t>
      </w:r>
    </w:p>
    <w:p>
      <w:pPr>
        <w:spacing w:after="0" w:line="21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All notices of redemption shall state the Redemption Date, the Redemption Price (or, if not then ascertainable, the manner of calculation thereof), if fewer than all the Outstanding Notes are to be redeemed, the identification (and, in the case of partial redemption, the principal amounts) of the particular Notes to be redeemed, that on the Redemption Date the Redemption Price will become due and payable upon each Note, or portion thereof, to be redeemed, together with accrued and unpaid interest thereon, that interest on each Note, or portion thereof, called for redemption will cease to accrue on the Redemption Date and the place or places where Notes may be surrendered for redemption.</w:t>
      </w:r>
    </w:p>
    <w:p>
      <w:pPr>
        <w:spacing w:after="0" w:line="211" w:lineRule="exact"/>
        <w:rPr>
          <w:sz w:val="20"/>
          <w:szCs w:val="20"/>
          <w:color w:val="auto"/>
        </w:rPr>
      </w:pPr>
    </w:p>
    <w:p>
      <w:pPr>
        <w:ind w:right="80" w:firstLine="648"/>
        <w:spacing w:after="0" w:line="313" w:lineRule="auto"/>
        <w:rPr>
          <w:sz w:val="20"/>
          <w:szCs w:val="20"/>
          <w:color w:val="auto"/>
        </w:rPr>
      </w:pPr>
      <w:r>
        <w:rPr>
          <w:rFonts w:ascii="Times New Roman" w:cs="Times New Roman" w:eastAsia="Times New Roman" w:hAnsi="Times New Roman"/>
          <w:sz w:val="17"/>
          <w:szCs w:val="17"/>
          <w:color w:val="auto"/>
        </w:rPr>
        <w:t>In the event of redemption of this Note in part only, a new Note or Notes of like tenor in an aggregate principal amount equal to and in exchange for the unredeemed portion of the principal amount hereof will be issued in authorized denominations in the name of the Holder hereof upon surrender hereof.</w:t>
      </w:r>
    </w:p>
    <w:p>
      <w:pPr>
        <w:spacing w:after="0" w:line="16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For all purposes of this Note and the Indenture, unless the context otherwise requires, all provisions relating to the redemption by the Company of this Note shall relate, in the case that this Note is redeemed, or to be redeemed, by the Company only in part, to that portion of the principal amount of this Note that has been, or is to be, redeemed.</w:t>
      </w: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the Notes shall occur and be continuing, the principal of and accrued interest on the Notes may be declared due and payable in the manner and with the effect provided in the Indenture.</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3" w:name="page24"/>
    <w:bookmarkEnd w:id="23"/>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w:t>
      </w:r>
    </w:p>
    <w:p>
      <w:pPr>
        <w:spacing w:after="0" w:line="3" w:lineRule="exact"/>
        <w:rPr>
          <w:sz w:val="20"/>
          <w:szCs w:val="20"/>
          <w:color w:val="auto"/>
        </w:rPr>
      </w:pPr>
    </w:p>
    <w:p>
      <w:pPr>
        <w:ind w:firstLine="8"/>
        <w:spacing w:after="0" w:line="252"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15"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subject to the provisions for satisfaction and discharge in Article Four of the Indenture, shall alter or impair the obligation of the Company, which is absolute and unconditional, to pay the principal of and interest on this Note at the times, place and rate, and in the coin or currency, herein prescribed.</w:t>
      </w:r>
    </w:p>
    <w:p>
      <w:pPr>
        <w:spacing w:after="0" w:line="20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shall be permitted, by irrevocably depositing cash or U.S. Government Obligations, in amounts and maturities sufficient to pay and discharge at the Stated Maturity or Redemption Date, as the case may be, the entire indebtedness on all Outstanding Notes that have become due and payable or will become due and payable within one year (or are scheduled for redemption within one year), with the Trustee in trust, solely for the benefit of the Holders of all Outstanding Notes, to defease the Indenture with respect to such Notes (subject to specified exceptions), and upon such deposit and satisfaction of the other conditions set forth in the Indenture, the Company shall be deemed to have paid and discharged its entire indebtedness on the Notes.</w:t>
      </w:r>
    </w:p>
    <w:p>
      <w:pPr>
        <w:spacing w:after="0" w:line="21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shall also be permitted to discharge, at any time, its obligations in respect of the Notes (other than certain limited obligations, such as the obligation to transfer and exchange the Notes) by (1)(a) delivering all of the outstanding Notes to the Trustee to be cancelled or (b) depositing with the Trustee in trust funds or non-callable United States government or government-guaranteed obligations sufficient, without investment, to pay all remaining principal and interest on the Notes and (2) complying with certain other provisions of the Indenture, including delivering to the Trustee an opinion of counsel from a nationally recognized counsel or an IRS ruling stating that (A) the Company has received from, or there has been published by, the Internal Revenue Service a ruling or (B) since the date of the Indenture, there has been a change in the applicable federal income tax law, in the case of either (A) or (B) to the effect that the Holders of the Notes will not recognize income, gain or loss for federal income tax purposes as a result of such discharge and will be subject to federal income tax on the same amount, in the same manner and at the same times as would be the case if such deposit and discharge were not to occur.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shall also be permitted to omit to comply with the restrictive covenants described in Sections 1007 and 801 of the Indenture, with respect to the Notes, and the omission shall not be an Event of Default, pursuant to the Company’s right to covenant defeasance. In order to exercise the Company’s right to covenant defeasance, the Company will be required to deposit with the Trustee, in trust funds or non-callable United States government or government-guaranteed obligations, funds sufficient, without investment, to pay all remaining principal and interest on the Notes. To effect a covenant defeasance with respect to the Notes, the Company shall be required to deliver to the Trustee an opinion of counsel to the effect that the holders of the Notes will not recognize gain or loss for federal income tax purposes as a result of the deposit and the covenant defeasance and will be subject to federal income tax on the same amount, in the same manner and at the same times as would be the case if such deposit and covenant defeasance were not to occur.</w:t>
      </w:r>
    </w:p>
    <w:p>
      <w:pPr>
        <w:spacing w:after="0" w:line="216"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Notes is registrable in the Security Register, upon surrender of a Note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Notes of like tenor, of authorized denominations and for the same aggregate principal amount, will be issued to the designated transferee or transferees.</w:t>
      </w:r>
    </w:p>
    <w:p>
      <w:pPr>
        <w:spacing w:after="0" w:line="215"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20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 of the State of New York (without regard to conflicts of laws principles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3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All undefined terms (whether or not capitalized) used in this Note which are defined in the Indenture shall have the meanings assigned to them in the Indenture.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5" w:name="page26"/>
    <w:bookmarkEnd w:id="25"/>
    <w:p>
      <w:pPr>
        <w:jc w:val="center"/>
        <w:ind w:right="-37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-127635</wp:posOffset>
            </wp:positionV>
            <wp:extent cx="59347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9347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618865"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-127635</wp:posOffset>
            </wp:positionV>
            <wp:extent cx="21780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appear(s) on the face of this Note)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*NOTICE: The signature must be guaranteed by an institution that is a member of one of the following recognized signature guarantee programs: (i) The Securities Transfer Agent Medallion Program (STAMP); (ii) The New York Stock Exchange Medallion Program (MNSP); (iii) The Stock Exchange Medallion Program (SEMP); or (iv) such other guarantee program acceptable to the Trustee.</w:t>
      </w:r>
    </w:p>
    <w:p>
      <w:pPr>
        <w:spacing w:after="0" w:line="3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21" w:right="61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color w:val="auto"/>
        </w:rPr>
        <w:t>SCHEDULE OF EXCHANGES OF INTERESTS IN THE GLOBAL NOTE</w:t>
      </w:r>
    </w:p>
    <w:p>
      <w:pPr>
        <w:spacing w:after="0" w:line="25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Amount of</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Authorized</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Decrease in</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Officer of</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Principal</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Trustee or</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Amount of this</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Date of Exchange</w:t>
            </w:r>
          </w:p>
        </w:tc>
        <w:tc>
          <w:tcPr>
            <w:tcW w:w="2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Global Note</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Custodian</w:t>
            </w:r>
          </w:p>
        </w:tc>
      </w:tr>
      <w:tr>
        <w:trPr>
          <w:trHeight w:val="598"/>
        </w:trPr>
        <w:tc>
          <w:tcPr>
            <w:tcW w:w="2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0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rPr>
              <w:t>11</w:t>
            </w:r>
          </w:p>
        </w:tc>
        <w:tc>
          <w:tcPr>
            <w:tcW w:w="25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98"/>
        </w:trPr>
        <w:tc>
          <w:tcPr>
            <w:tcW w:w="21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ind w:left="104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4.4</w:t>
      </w:r>
    </w:p>
    <w:p>
      <w:pPr>
        <w:spacing w:after="0" w:line="23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UNLESS THIS CERTIFICATE IS PRESENTED BY AN AUTHORIZED REPRESENTATIVE OF THE DEPOSITORY TRUST COMPANY, A NEW YORK CORPORATION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OCCIDENTAL PETROLEUM CORPORATION</w:t>
            </w:r>
          </w:p>
        </w:tc>
      </w:tr>
      <w:tr>
        <w:trPr>
          <w:trHeight w:val="459"/>
        </w:trPr>
        <w:tc>
          <w:tcPr>
            <w:tcW w:w="3100" w:type="dxa"/>
            <w:vAlign w:val="bottom"/>
          </w:tcPr>
          <w:p>
            <w:pPr>
              <w:spacing w:after="0"/>
              <w:rPr>
                <w:sz w:val="24"/>
                <w:szCs w:val="24"/>
                <w:color w:val="auto"/>
              </w:rPr>
            </w:pPr>
          </w:p>
        </w:tc>
        <w:tc>
          <w:tcPr>
            <w:tcW w:w="832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6.950% SENIOR NOTES DUE 2024</w:t>
            </w: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3100" w:type="dxa"/>
            <w:vAlign w:val="bottom"/>
          </w:tcPr>
          <w:p>
            <w:pPr>
              <w:spacing w:after="0"/>
              <w:rPr>
                <w:sz w:val="20"/>
                <w:szCs w:val="20"/>
                <w:color w:val="auto"/>
              </w:rPr>
            </w:pPr>
          </w:p>
        </w:tc>
        <w:tc>
          <w:tcPr>
            <w:tcW w:w="8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CUSIP: 674599 DB8</w:t>
            </w:r>
          </w:p>
        </w:tc>
        <w:tc>
          <w:tcPr>
            <w:tcW w:w="8320" w:type="dxa"/>
            <w:vAlign w:val="bottom"/>
          </w:tcPr>
          <w:p>
            <w:pPr>
              <w:spacing w:after="0"/>
              <w:rPr>
                <w:sz w:val="24"/>
                <w:szCs w:val="24"/>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ISIN: US674599DB86</w:t>
            </w:r>
          </w:p>
        </w:tc>
        <w:tc>
          <w:tcPr>
            <w:tcW w:w="8320" w:type="dxa"/>
            <w:vAlign w:val="bottom"/>
          </w:tcPr>
          <w:p>
            <w:pPr>
              <w:spacing w:after="0"/>
              <w:rPr>
                <w:sz w:val="20"/>
                <w:szCs w:val="20"/>
                <w:color w:val="auto"/>
              </w:rPr>
            </w:pP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July 1, 2024</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6.950% per annum</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January 1 and July 1, commencing January 1, 2020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December 15 and June 15</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310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8" w:name="page29"/>
    <w:bookmarkEnd w:id="28"/>
    <w:p>
      <w:pPr>
        <w:ind w:firstLine="648"/>
        <w:spacing w:after="0" w:line="251" w:lineRule="auto"/>
        <w:rPr>
          <w:sz w:val="20"/>
          <w:szCs w:val="20"/>
          <w:color w:val="auto"/>
        </w:rPr>
      </w:pPr>
      <w:r>
        <w:rPr>
          <w:rFonts w:ascii="Times New Roman" w:cs="Times New Roman" w:eastAsia="Times New Roman" w:hAnsi="Times New Roman"/>
          <w:sz w:val="18"/>
          <w:szCs w:val="18"/>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(unless and to the extent earlier redeemed prior to such Maturity Date) and to pay interest thereon from July 1, 2019 or from the most recent Interest Payment Date to which interest has been paid or duly provided for, semi-annually in arrears on January 1 and July 1 in each year, commencing on January 1, 2020, at the rate per annum specified above, until the principal hereof is paid or made available for payment. Interest on this Note will be computed on the basis of a 360-day year comprised of twelve 30-day months. Interest payments for this Note will include interest accrued to but excluding each Interest Payment Date. The interest so payable, and punctually paid or duly provided for, on any Interest Payment Date will, as provided in the Indenture, be paid to the Person in whose name this Note (or one or more Predecessor Securities) is registered at the close of business on the Regular Record Date, which shall be the December 15 or June 15 (whether or not a Business Day), as the case may be, immediately preceding such Interest Payment Date. If any Interest Payment Date or Maturity with respect to this Note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Note (or one or more Predecessor Securities) is registered at the close of business on a Special Record Date for the payment of such Defaulted Interest to be fixed by the Trustee (as defined below), notice of which will be given to Holders of Notes not less than 10 days prior to such Special Record Date, or (2) be paid at any time in any other lawful manner not inconsistent with the requirements of any securities exchange on which the Notes may be listed, and upon such notice as may be required by such exchange, all as more fully provided in the Indenture. Payment of the principal of and interest on this Note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Note set forth below, which further provisions shall for all purposes have the same effect as if set forth at this place.</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or its duly appointed co-authenticating agent by manual signature, this Note shall not be entitled to any benefit under the Indenture or be valid or obligatory for any purpose.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9" w:name="page30"/>
    <w:bookmarkEnd w:id="2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OCCIDENTAL PETROLEUM CORPORATION has caused this Note to be signed by the signature of its Chairman of the Board, its President, a Vice President, its Treasurer or an Assistant Treasurer.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30" w:name="page31"/>
    <w:bookmarkEnd w:id="30"/>
    <w:p>
      <w:pPr>
        <w:ind w:left="37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1" w:name="page32"/>
    <w:bookmarkEnd w:id="31"/>
    <w:p>
      <w:pPr>
        <w:ind w:right="180" w:firstLine="648"/>
        <w:spacing w:after="0" w:line="268" w:lineRule="auto"/>
        <w:rPr>
          <w:sz w:val="20"/>
          <w:szCs w:val="20"/>
          <w:color w:val="auto"/>
        </w:rPr>
      </w:pPr>
      <w:r>
        <w:rPr>
          <w:rFonts w:ascii="Times New Roman" w:cs="Times New Roman" w:eastAsia="Times New Roman" w:hAnsi="Times New Roman"/>
          <w:sz w:val="18"/>
          <w:szCs w:val="18"/>
          <w:color w:val="auto"/>
        </w:rPr>
        <w:t>This Note is one of a duly authorized issue of securities (herein called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of the Company, issued and to be issued pursuant to the Indenture (as defined below). This Note is one of a series designated by the Company as its 6.950% Senior Notes due 2024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limited in initial aggregate principal amount to $[ ]. The Indenture does not limit the aggregate principal amount of the Securities.</w:t>
      </w:r>
    </w:p>
    <w:p>
      <w:pPr>
        <w:spacing w:after="0" w:line="198"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The Company issued this Note pursuant to an Indenture, dated as of August 8, 2019 (herein called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which term, for the purpose of this Note,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Notes and of the terms upon which the Notes are, and are to be, authenticated and delivered.</w:t>
      </w:r>
    </w:p>
    <w:p>
      <w:pPr>
        <w:spacing w:after="0" w:line="21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Notes are issuable in denominations of $1,000 and any amount in excess thereof which is an integral multiple of $1,000. As provided in the Indenture and subject to certain limitations therein set forth, the Notes are exchangeable for a like aggregate principal amount of Notes of like tenor of any authorized denomination, as requested by the Holder surrendering the same, upon surrender of the Note or Notes to be exchanged at any office or agency described below where Notes may be presented for registration of transfer.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from time to time, without notice to or the consent of the Holders of the Notes, reopen the Notes and issue additional Notes.</w:t>
      </w:r>
    </w:p>
    <w:p>
      <w:pPr>
        <w:spacing w:after="0" w:line="25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Notes are redeemable, in whole at any time or in part from time to time prior to final maturity, at the option of the Company at a Redemption Price equal to the greater of (i) 100% of the principal amount of the Notes to be redeemed and (ii) as determined by the Quotation Agent, the sum of the present values of the remaining scheduled payments of principal and interest on the Notes to be redeemed through the final maturity (not including any portion of such payments of interest accrued to, but not including, the Redemption Date) discounted to the Redemption Date on a semi-annual basis (assuming a 360-day year comprised of twelve 30-day months) at the Treasury Rate (as defined herein) plus 30 basis points plus, in each case, accrued and unpaid interest on the principal amount of the Notes being redeemed to, but not including, the Redemption Date. Notwithstanding the foregoing, installments of interest whose Stated Maturity is on or prior to the relevant Redemption Date shall be payable to the Holders of the Notes, or one or more Predecessor Securities, of record at the close of business on the relevant Regular Record Dates according to their terms and the provisions of the Indenture.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rate per annum, as determined by the Quotation Agent equal to:</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7" w:right="319" w:bottom="1440" w:gutter="0" w:footer="0" w:header="0"/>
        </w:sectPr>
      </w:pPr>
    </w:p>
    <w:bookmarkStart w:id="32" w:name="page33"/>
    <w:bookmarkEnd w:id="32"/>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provided that if no maturity is within three months before or after the remaining term of the Notes to be redeemed, yields for the two published maturities most closely corresponding to the Comparable Treasury Issue will be determined and the Treasury Rate will be interpolated or extrapolated from those yields on a straight-line basis rounding to the nearest month; or</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that Redemption Date.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Treasury Rate will be calculated at 5:00 p.m. (New York City time) on the third Business Day preceding the Redemption Date by the Quotation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30"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Issue</w:t>
      </w:r>
      <w:r>
        <w:rPr>
          <w:rFonts w:ascii="Times New Roman" w:cs="Times New Roman" w:eastAsia="Times New Roman" w:hAnsi="Times New Roman"/>
          <w:sz w:val="18"/>
          <w:szCs w:val="18"/>
          <w:color w:val="auto"/>
        </w:rPr>
        <w:t>” means, with respect to any Redemption Date, the United States Treasury security selected by the Quotation Agent that would be utilized, at the time of selection and in accordance with customary financial practice, in pricing new issues of corporate debt securities of comparable maturity to the remaining term of the Notes.</w:t>
      </w:r>
    </w:p>
    <w:p>
      <w:pPr>
        <w:spacing w:after="0" w:line="198"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Price</w:t>
      </w:r>
      <w:r>
        <w:rPr>
          <w:rFonts w:ascii="Times New Roman" w:cs="Times New Roman" w:eastAsia="Times New Roman" w:hAnsi="Times New Roman"/>
          <w:sz w:val="18"/>
          <w:szCs w:val="18"/>
          <w:color w:val="auto"/>
        </w:rPr>
        <w:t>” means, with respect to any Redemption Date, (1) the average of the Reference Treasury Dealer Quotations for such Redemption Date, after excluding the highest and lowest Reference Treasury Dealer Quotations, or (2) if the Quotation Agent obtains fewer than three Reference Treasury Dealer Quotations, the average of all such Reference Treasury Dealer Quotations, such average in any case to be determined by the Quotation Agent, or (3) if only one Reference Treasury Dealer Quotation is received, such Reference Treasury Dealer Quotation.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Quotation Agent</w:t>
      </w:r>
      <w:r>
        <w:rPr>
          <w:rFonts w:ascii="Times New Roman" w:cs="Times New Roman" w:eastAsia="Times New Roman" w:hAnsi="Times New Roman"/>
          <w:sz w:val="18"/>
          <w:szCs w:val="18"/>
          <w:color w:val="auto"/>
        </w:rPr>
        <w:t>” means, with respect to any Redemption Date, the Reference Treasury Dealer appointed by the Company.</w:t>
      </w:r>
    </w:p>
    <w:p>
      <w:pPr>
        <w:spacing w:after="0" w:line="252"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w:t>
      </w:r>
      <w:r>
        <w:rPr>
          <w:rFonts w:ascii="Times New Roman" w:cs="Times New Roman" w:eastAsia="Times New Roman" w:hAnsi="Times New Roman"/>
          <w:sz w:val="18"/>
          <w:szCs w:val="18"/>
          <w:color w:val="auto"/>
        </w:rPr>
        <w:t>” means, with respect to any Redemption Date, each of (1) BofA Securities, Inc. and Citigroup Global Markets Inc. (or their respective affiliates that are primary U.S. Government securities dealers) and their respective successors; provided, however, that if any of them shall cease to be a primary U.S. Government securities dealer in the United States of America (a “</w:t>
      </w:r>
      <w:r>
        <w:rPr>
          <w:rFonts w:ascii="Times New Roman" w:cs="Times New Roman" w:eastAsia="Times New Roman" w:hAnsi="Times New Roman"/>
          <w:sz w:val="18"/>
          <w:szCs w:val="18"/>
          <w:b w:val="1"/>
          <w:bCs w:val="1"/>
          <w:color w:val="auto"/>
        </w:rPr>
        <w:t>Primary Treasury Dealer</w:t>
      </w:r>
      <w:r>
        <w:rPr>
          <w:rFonts w:ascii="Times New Roman" w:cs="Times New Roman" w:eastAsia="Times New Roman" w:hAnsi="Times New Roman"/>
          <w:sz w:val="18"/>
          <w:szCs w:val="18"/>
          <w:color w:val="auto"/>
        </w:rPr>
        <w:t>”), the Company shall substitute for it another Primary Treasury Dealer; and (2) any other Primary Treasury Dealer or Dealers selected by the Company.</w:t>
      </w:r>
    </w:p>
    <w:p>
      <w:pPr>
        <w:spacing w:after="0" w:line="204" w:lineRule="exact"/>
        <w:rPr>
          <w:sz w:val="20"/>
          <w:szCs w:val="20"/>
          <w:color w:val="auto"/>
        </w:rPr>
      </w:pPr>
    </w:p>
    <w:p>
      <w:pPr>
        <w:ind w:right="3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in The City of New York preceding such Redemption Date.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sent at least 10 days but not more than 60 days before the Redemption Date to each Holder of the Notes to be redeemed, all as more fully provided in the Indenture. Unless the Company defaults in payment of the Redemption Price (or any accrued and unpaid interest on the Notes or portions thereof to be redeemed), on and after the Redemption Date interest will cease to accrue on the Notes or portions thereof called for redemption. If less than all of the Notes are to be redeemed, the Notes (or portions thereof) to be redeemed shall be selected, in the case of Global Notes, in accordance with the policies and procedures of the depository or, in the case of Definitive Notes, by the Trustee by such method as the Trustee shall deem fair and appropriate, all as more fully provided in the Indenture.</w:t>
      </w:r>
    </w:p>
    <w:p>
      <w:pPr>
        <w:spacing w:after="0" w:line="21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All notices of redemption shall state the Redemption Date, the Redemption Price (or, if not then ascertainable, the manner of calculation thereof), if fewer than all the Outstanding Notes are to be redeemed, the identification (and, in the case of partial redemption, the principal amounts) of the particular Notes to be redeemed, that on the Redemption Date the Redemption Price will become due and payable upon each Note, or portion thereof, to be redeemed, together with accrued and unpaid interest thereon, that interest on each Note, or portion thereof, called for redemption will cease to accrue on the Redemption Date and the place or places where Notes may be surrendered for redemption.</w:t>
      </w:r>
    </w:p>
    <w:p>
      <w:pPr>
        <w:spacing w:after="0" w:line="211" w:lineRule="exact"/>
        <w:rPr>
          <w:sz w:val="20"/>
          <w:szCs w:val="20"/>
          <w:color w:val="auto"/>
        </w:rPr>
      </w:pPr>
    </w:p>
    <w:p>
      <w:pPr>
        <w:ind w:right="80" w:firstLine="648"/>
        <w:spacing w:after="0" w:line="313" w:lineRule="auto"/>
        <w:rPr>
          <w:sz w:val="20"/>
          <w:szCs w:val="20"/>
          <w:color w:val="auto"/>
        </w:rPr>
      </w:pPr>
      <w:r>
        <w:rPr>
          <w:rFonts w:ascii="Times New Roman" w:cs="Times New Roman" w:eastAsia="Times New Roman" w:hAnsi="Times New Roman"/>
          <w:sz w:val="17"/>
          <w:szCs w:val="17"/>
          <w:color w:val="auto"/>
        </w:rPr>
        <w:t>In the event of redemption of this Note in part only, a new Note or Notes of like tenor in an aggregate principal amount equal to and in exchange for the unredeemed portion of the principal amount hereof will be issued in authorized denominations in the name of the Holder hereof upon surrender hereof.</w:t>
      </w:r>
    </w:p>
    <w:p>
      <w:pPr>
        <w:spacing w:after="0" w:line="16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For all purposes of this Note and the Indenture, unless the context otherwise requires, all provisions relating to the redemption by the Company of this Note shall relate, in the case that this Note is redeemed, or to be redeemed, by the Company only in part, to that portion of the principal amount of this Note that has been, or is to be, redeemed.</w:t>
      </w: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the Notes shall occur and be continuing, the principal of and accrued interest on the Notes may be declared due and payable in the manner and with the effect provided in the Indenture.</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4" w:name="page35"/>
    <w:bookmarkEnd w:id="34"/>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w:t>
      </w:r>
    </w:p>
    <w:p>
      <w:pPr>
        <w:spacing w:after="0" w:line="3" w:lineRule="exact"/>
        <w:rPr>
          <w:sz w:val="20"/>
          <w:szCs w:val="20"/>
          <w:color w:val="auto"/>
        </w:rPr>
      </w:pPr>
    </w:p>
    <w:p>
      <w:pPr>
        <w:ind w:firstLine="8"/>
        <w:spacing w:after="0" w:line="252" w:lineRule="auto"/>
        <w:tabs>
          <w:tab w:leader="none" w:pos="2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15"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subject to the provisions for satisfaction and discharge in Article Four of the Indenture, shall alter or impair the obligation of the Company, which is absolute and unconditional, to pay the principal of and interest on this Note at the times, place and rate, and in the coin or currency, herein prescribed.</w:t>
      </w:r>
    </w:p>
    <w:p>
      <w:pPr>
        <w:spacing w:after="0" w:line="20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shall be permitted, by irrevocably depositing cash or U.S. Government Obligations, in amounts and maturities sufficient to pay and discharge at the Stated Maturity or Redemption Date, as the case may be, the entire indebtedness on all Outstanding Notes that have become due and payable or will become due and payable within one year (or are scheduled for redemption within one year), with the Trustee in trust, solely for the benefit of the Holders of all Outstanding Notes, to defease the Indenture with respect to such Notes (subject to specified exceptions), and upon such deposit and satisfaction of the other conditions set forth in the Indenture, the Company shall be deemed to have paid and discharged its entire indebtedness on the Notes.</w:t>
      </w:r>
    </w:p>
    <w:p>
      <w:pPr>
        <w:spacing w:after="0" w:line="21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shall also be permitted to discharge, at any time, its obligations in respect of the Notes (other than certain limited obligations, such as the obligation to transfer and exchange the Notes) by (1)(a) delivering all of the outstanding Notes to the Trustee to be cancelled or (b) depositing with the Trustee in trust funds or non-callable United States government or government-guaranteed obligations sufficient, without investment, to pay all remaining principal and interest on the Notes and (2) complying with certain other provisions of the Indenture.</w:t>
      </w:r>
    </w:p>
    <w:p>
      <w:pPr>
        <w:spacing w:after="0" w:line="20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shall also be permitted to omit to comply with the restrictive covenants described in Sections 1007 and 801 of the Indenture, with respect to the Notes, and the omission shall not be an Event of Default, pursuant to the Company’s right to covenant defeasance. In order to exercise the Company’s right to covenant defeasance, the Company will be required to deposit with the Trustee, in trust funds or non-callable United States government or government-guaranteed obligations, funds sufficient, without investment, to pay all remaining principal and interest on the Notes. To effect a covenant defeasance with respect to the Notes, the Company shall be required to deliver to the Trustee an opinion of counsel to the effect that the holders of the Notes will not recognize gain or loss for federal income tax purposes as a result of the deposit and the covenant defeasance and will be subject to federal income tax on the same amount, in the same manner and at the same times as would be the case if such deposit and covenant defeasance were not to occur.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Notes is registrable in the Security Register, upon surrender of a Note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Notes of like tenor, of authorized denominations and for the same aggregate principal amount, will be issued to the designated transferee or transferees.</w:t>
      </w:r>
    </w:p>
    <w:p>
      <w:pPr>
        <w:spacing w:after="0" w:line="215"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20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 of the State of New York (without regard to conflicts of laws principles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3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All undefined terms (whether or not capitalized) used in this Note which are defined in the Indenture shall have the meanings assigned to them in the Indenture.</w:t>
      </w:r>
    </w:p>
    <w:p>
      <w:pPr>
        <w:spacing w:after="0" w:line="3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36" w:name="page37"/>
    <w:bookmarkEnd w:id="36"/>
    <w:p>
      <w:pPr>
        <w:jc w:val="center"/>
        <w:ind w:right="-37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-127635</wp:posOffset>
            </wp:positionV>
            <wp:extent cx="593471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9347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618865"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-127635</wp:posOffset>
            </wp:positionV>
            <wp:extent cx="21780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appear(s) on the face of this Note)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*NOTICE: The signature must be guaranteed by an institution that is a member of one of the following recognized signature guarantee programs: (i) The Securities Transfer Agent Medallion Program (STAMP); (ii) The New York Stock Exchange Medallion Program (MNSP); (iii) The Stock Exchange Medallion Program (SEMP); or (iv) such other guarantee program acceptable to the Trustee.</w:t>
      </w:r>
    </w:p>
    <w:p>
      <w:pPr>
        <w:spacing w:after="0" w:line="3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21" w:right="61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SCHEDULE OF EXCHANGES OF INTERESTS IN THE GLOBAL NOTE</w:t>
      </w:r>
    </w:p>
    <w:p>
      <w:pPr>
        <w:spacing w:after="0" w:line="25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Signature of</w:t>
            </w:r>
          </w:p>
        </w:tc>
      </w:tr>
      <w:tr>
        <w:trPr>
          <w:trHeight w:val="216"/>
        </w:trPr>
        <w:tc>
          <w:tcPr>
            <w:tcW w:w="2120" w:type="dxa"/>
            <w:vAlign w:val="bottom"/>
          </w:tcPr>
          <w:p>
            <w:pPr>
              <w:spacing w:after="0"/>
              <w:rPr>
                <w:sz w:val="18"/>
                <w:szCs w:val="18"/>
                <w:color w:val="auto"/>
              </w:rPr>
            </w:pPr>
          </w:p>
        </w:tc>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Amount of</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Authorized</w:t>
            </w:r>
          </w:p>
        </w:tc>
      </w:tr>
      <w:tr>
        <w:trPr>
          <w:trHeight w:val="216"/>
        </w:trPr>
        <w:tc>
          <w:tcPr>
            <w:tcW w:w="2120" w:type="dxa"/>
            <w:vAlign w:val="bottom"/>
          </w:tcPr>
          <w:p>
            <w:pPr>
              <w:spacing w:after="0"/>
              <w:rPr>
                <w:sz w:val="18"/>
                <w:szCs w:val="18"/>
                <w:color w:val="auto"/>
              </w:rPr>
            </w:pPr>
          </w:p>
        </w:tc>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Decrease in</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Officer of</w:t>
            </w:r>
          </w:p>
        </w:tc>
      </w:tr>
      <w:tr>
        <w:trPr>
          <w:trHeight w:val="216"/>
        </w:trPr>
        <w:tc>
          <w:tcPr>
            <w:tcW w:w="2120" w:type="dxa"/>
            <w:vAlign w:val="bottom"/>
          </w:tcPr>
          <w:p>
            <w:pPr>
              <w:spacing w:after="0"/>
              <w:rPr>
                <w:sz w:val="18"/>
                <w:szCs w:val="18"/>
                <w:color w:val="auto"/>
              </w:rPr>
            </w:pPr>
          </w:p>
        </w:tc>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Principal</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2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Trustee or</w:t>
            </w:r>
          </w:p>
        </w:tc>
      </w:tr>
      <w:tr>
        <w:trPr>
          <w:trHeight w:val="216"/>
        </w:trPr>
        <w:tc>
          <w:tcPr>
            <w:tcW w:w="2120" w:type="dxa"/>
            <w:vAlign w:val="bottom"/>
          </w:tcPr>
          <w:p>
            <w:pPr>
              <w:spacing w:after="0"/>
              <w:rPr>
                <w:sz w:val="18"/>
                <w:szCs w:val="18"/>
                <w:color w:val="auto"/>
              </w:rPr>
            </w:pPr>
          </w:p>
        </w:tc>
        <w:tc>
          <w:tcPr>
            <w:tcW w:w="2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Amount of this</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2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Date of Exchange</w:t>
            </w:r>
          </w:p>
        </w:tc>
        <w:tc>
          <w:tcPr>
            <w:tcW w:w="2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Global Note</w:t>
            </w: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2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Custodian</w:t>
            </w:r>
          </w:p>
        </w:tc>
      </w:tr>
      <w:tr>
        <w:trPr>
          <w:trHeight w:val="598"/>
        </w:trPr>
        <w:tc>
          <w:tcPr>
            <w:tcW w:w="2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20" w:type="dxa"/>
            <w:vAlign w:val="bottom"/>
          </w:tcPr>
          <w:p>
            <w:pPr>
              <w:jc w:val="right"/>
              <w:ind w:right="753"/>
              <w:spacing w:after="0"/>
              <w:rPr>
                <w:sz w:val="20"/>
                <w:szCs w:val="20"/>
                <w:color w:val="auto"/>
              </w:rPr>
            </w:pPr>
            <w:r>
              <w:rPr>
                <w:rFonts w:ascii="Times New Roman" w:cs="Times New Roman" w:eastAsia="Times New Roman" w:hAnsi="Times New Roman"/>
                <w:sz w:val="14"/>
                <w:szCs w:val="14"/>
                <w:color w:val="auto"/>
              </w:rPr>
              <w:t>11</w:t>
            </w:r>
          </w:p>
        </w:tc>
        <w:tc>
          <w:tcPr>
            <w:tcW w:w="25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98"/>
        </w:trPr>
        <w:tc>
          <w:tcPr>
            <w:tcW w:w="212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32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1" w:right="239" w:bottom="1440" w:gutter="0" w:footer="0" w:header="0"/>
        </w:sectPr>
      </w:pPr>
    </w:p>
    <w:bookmarkStart w:id="38" w:name="page39"/>
    <w:bookmarkEnd w:id="38"/>
    <w:p>
      <w:pPr>
        <w:ind w:left="104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4.5</w:t>
      </w:r>
    </w:p>
    <w:p>
      <w:pPr>
        <w:spacing w:after="0" w:line="23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UNLESS THIS CERTIFICATE IS PRESENTED BY AN AUTHORIZED REPRESENTATIVE OF THE DEPOSITORY TRUST COMPANY, A NEW YORK CORPORATION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OCCIDENTAL PETROLEUM CORPORATION</w:t>
            </w:r>
          </w:p>
        </w:tc>
      </w:tr>
      <w:tr>
        <w:trPr>
          <w:trHeight w:val="459"/>
        </w:trPr>
        <w:tc>
          <w:tcPr>
            <w:tcW w:w="3100" w:type="dxa"/>
            <w:vAlign w:val="bottom"/>
          </w:tcPr>
          <w:p>
            <w:pPr>
              <w:spacing w:after="0"/>
              <w:rPr>
                <w:sz w:val="24"/>
                <w:szCs w:val="24"/>
                <w:color w:val="auto"/>
              </w:rPr>
            </w:pPr>
          </w:p>
        </w:tc>
        <w:tc>
          <w:tcPr>
            <w:tcW w:w="832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5.550% SENIOR NOTES DUE 2026</w:t>
            </w: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3100" w:type="dxa"/>
            <w:vAlign w:val="bottom"/>
          </w:tcPr>
          <w:p>
            <w:pPr>
              <w:spacing w:after="0"/>
              <w:rPr>
                <w:sz w:val="20"/>
                <w:szCs w:val="20"/>
                <w:color w:val="auto"/>
              </w:rPr>
            </w:pPr>
          </w:p>
        </w:tc>
        <w:tc>
          <w:tcPr>
            <w:tcW w:w="8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CUSIP: 674599 DC6</w:t>
            </w:r>
          </w:p>
        </w:tc>
        <w:tc>
          <w:tcPr>
            <w:tcW w:w="8320" w:type="dxa"/>
            <w:vAlign w:val="bottom"/>
          </w:tcPr>
          <w:p>
            <w:pPr>
              <w:spacing w:after="0"/>
              <w:rPr>
                <w:sz w:val="24"/>
                <w:szCs w:val="24"/>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ISIN: US674599DC69</w:t>
            </w:r>
          </w:p>
        </w:tc>
        <w:tc>
          <w:tcPr>
            <w:tcW w:w="8320" w:type="dxa"/>
            <w:vAlign w:val="bottom"/>
          </w:tcPr>
          <w:p>
            <w:pPr>
              <w:spacing w:after="0"/>
              <w:rPr>
                <w:sz w:val="20"/>
                <w:szCs w:val="20"/>
                <w:color w:val="auto"/>
              </w:rPr>
            </w:pP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March 15, 2026</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5.550% per annum</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March 15 and September 15, commencing March 15, 2020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March 1 and September 1</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310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39" w:name="page40"/>
    <w:bookmarkEnd w:id="39"/>
    <w:p>
      <w:pPr>
        <w:ind w:firstLine="648"/>
        <w:spacing w:after="0" w:line="251" w:lineRule="auto"/>
        <w:rPr>
          <w:sz w:val="20"/>
          <w:szCs w:val="20"/>
          <w:color w:val="auto"/>
        </w:rPr>
      </w:pPr>
      <w:r>
        <w:rPr>
          <w:rFonts w:ascii="Times New Roman" w:cs="Times New Roman" w:eastAsia="Times New Roman" w:hAnsi="Times New Roman"/>
          <w:sz w:val="18"/>
          <w:szCs w:val="18"/>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(unless and to the extent earlier redeemed prior to such Maturity Date) and to pay interest thereon from September 15, 2019 or from the most recent Interest Payment Date to which interest has been paid or duly provided for, semi-annually in arrears on March 15 and September 15 in each year, commencing on March 15, 2020, at the rate per annum specified above, until the principal hereof is paid or made available for payment. Interest on this Note will be computed on the basis of a 360-day year comprised of twelve 30-day months. Interest payments for this Note will include interest accrued to but excluding each Interest Payment Date. The interest so payable, and punctually paid or duly provided for, on any Interest Payment Date will, as provided in the Indenture, be paid to the Person in whose name this Note (or one or more Predecessor Securities) is registered at the close of business on the Regular Record Date, which shall be the March 1 or September 1 (whether or not a Business Day), as the case may be, immediately preceding such Interest Payment Date. If any Interest Payment Date or Maturity with respect to this Note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Note (or one or more Predecessor Securities) is registered at the close of business on a Special Record Date for the payment of such Defaulted Interest to be fixed by the Trustee (as defined below), notice of which will be given to Holders of Notes not less than 10 days prior to such Special Record Date, or (2) be paid at any time in any other lawful manner not inconsistent with the requirements of any securities exchange on which the Notes may be listed, and upon such notice as may be required by such exchange, all as more fully provided in the Indenture. Payment of the principal of and interest on this Note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Note set forth below, which further provisions shall for all purposes have the same effect as if set forth at this place.</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or its duly appointed co-authenticating agent by manual signature, this Note shall not be entitled to any benefit under the Indenture or be valid or obligatory for any purpose.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0" w:name="page41"/>
    <w:bookmarkEnd w:id="4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OCCIDENTAL PETROLEUM CORPORATION has caused this Note to be signed by the signature of its Chairman of the Board, its President, a Vice President, its Treasurer or an Assistant Treasurer.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41" w:name="page42"/>
    <w:bookmarkEnd w:id="41"/>
    <w:p>
      <w:pPr>
        <w:ind w:left="37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2" w:name="page43"/>
    <w:bookmarkEnd w:id="42"/>
    <w:p>
      <w:pPr>
        <w:ind w:right="240" w:firstLine="648"/>
        <w:spacing w:after="0" w:line="268" w:lineRule="auto"/>
        <w:rPr>
          <w:sz w:val="20"/>
          <w:szCs w:val="20"/>
          <w:color w:val="auto"/>
        </w:rPr>
      </w:pPr>
      <w:r>
        <w:rPr>
          <w:rFonts w:ascii="Times New Roman" w:cs="Times New Roman" w:eastAsia="Times New Roman" w:hAnsi="Times New Roman"/>
          <w:sz w:val="18"/>
          <w:szCs w:val="18"/>
          <w:color w:val="auto"/>
        </w:rPr>
        <w:t>This Note is one of a duly authorized issue of securities (herein called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of the Company, issued and to be issued pursuant to the Indenture (as defined below). This Note is one of a series designated by the Company as its 5.550% Senior Notes due 2026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limited in initial aggregate principal amount to $[ ]. The Indenture does not limit the aggregate principal amount of the Securities.</w:t>
      </w:r>
    </w:p>
    <w:p>
      <w:pPr>
        <w:spacing w:after="0" w:line="198"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color w:val="auto"/>
        </w:rPr>
        <w:t>The Company issued this Note pursuant to an Indenture, dated as of August 8, 2019 (herein called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which term, for the purpose of this Note,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Notes and of the terms upon which the Notes are, and are to be, authenticated and delivered.</w:t>
      </w:r>
    </w:p>
    <w:p>
      <w:pPr>
        <w:spacing w:after="0" w:line="21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Notes are issuable in denominations of $2,000 and any amount in excess thereof which is an integral multiple of $1,000. As provided in the Indenture and subject to certain limitations therein set forth, the Notes are exchangeable for a like aggregate principal amount of Notes of like tenor of any authorized denomination, as requested by the Holder surrendering the same, upon surrender of the Note or Notes to be exchanged at any office or agency described below where Notes may be presented for registration of transfer.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from time to time, without notice to or the consent of the Holders of the Notes, reopen the Notes and issue additional Notes.</w:t>
      </w:r>
    </w:p>
    <w:p>
      <w:pPr>
        <w:spacing w:after="0" w:line="24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Notes are redeemable, in whole at any time or in part from time to time prior to December 15, 2025 (the “</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at the option of the Company at a Redemption Price equal to the greater of (i) 100% of the principal amount of the Notes to be redeemed and (ii) as determined by the Quotation Agent, the sum of the present values of the remaining scheduled payments of principal and interest on the Notes to be redeemed through the Par Call Date (not including any portion of such payments of interest accrued to, but not including, the Redemption Date) discounted to the Redemption Date on a semi-annual basis (assuming a 360-day year comprised of twelve 30-day months) at the Treasury Rate (as defined herein) plus 50 basis points plus, in each case, accrued and unpaid interest on the principal amount of the Notes being redeemed to, but not including, the Redemption Date. On and after the Par Call Date, the Notes are redeemable, in whole at any time or in part from time to time, at the option of the Company at a Redemption Price equal to 100% of the principal amount of the Notes to be redeemed, plus accrued and unpaid interest on the principal amount of the Notes being redeemed to, but not including, the Redemption Date. Notwithstanding the foregoing, installments of interest whose Stated Maturity is on or prior to the relevant Redemption Date shall be payable to the Holders of the Notes, or one or more Predecessor Securities, of record at the close of business on the relevant Regular Record Dates according to their terms and the provisions of the Indenture.</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rate per annum, as determined by the Quotation Agent equal to: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43" w:name="page44"/>
    <w:bookmarkEnd w:id="43"/>
    <w:p>
      <w:pPr>
        <w:jc w:val="both"/>
        <w:ind w:left="66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provided that if no maturity is within three months before or after the remaining term of the Notes to be redeemed (assuming, for this purpose, that the Notes mature on the Par Call Date), yields for the two published maturities most closely corresponding to the Comparable Treasury Issue will be determined and the Treasury Rate will be interpolated or extrapolated from those yields on a straight-line basis rounding to the nearest month; or</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that Redemption Date.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Treasury Rate will be calculated at 5:00 p.m. (New York City time) on the third Business Day preceding the Redemption Date by the Quotation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30"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Issue</w:t>
      </w:r>
      <w:r>
        <w:rPr>
          <w:rFonts w:ascii="Times New Roman" w:cs="Times New Roman" w:eastAsia="Times New Roman" w:hAnsi="Times New Roman"/>
          <w:sz w:val="18"/>
          <w:szCs w:val="18"/>
          <w:color w:val="auto"/>
        </w:rPr>
        <w:t>” means, with respect to any Redemption Date, the United States Treasury security selected by the Quotation Agent that would be utilized, at the time of selection and in accordance with customary financial practice, in pricing new issues of corporate debt securities of comparable maturity to the remaining term of the Notes (assuming, for this purpose, that the Notes mature on the Par Call Date).</w:t>
      </w:r>
    </w:p>
    <w:p>
      <w:pPr>
        <w:spacing w:after="0" w:line="198"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Price</w:t>
      </w:r>
      <w:r>
        <w:rPr>
          <w:rFonts w:ascii="Times New Roman" w:cs="Times New Roman" w:eastAsia="Times New Roman" w:hAnsi="Times New Roman"/>
          <w:sz w:val="18"/>
          <w:szCs w:val="18"/>
          <w:color w:val="auto"/>
        </w:rPr>
        <w:t>” means, with respect to any Redemption Date, (1) the average of the Reference Treasury Dealer Quotations for such Redemption Date, after excluding the highest and lowest Reference Treasury Dealer Quotations, or (2) if the Quotation Agent obtains fewer than three Reference Treasury Dealer Quotations, the average of all such Reference Treasury Dealer Quotations, such average in any case to be determined by the Quotation Agent, or (3) if only one Reference Treasury Dealer Quotation is received, such Reference Treasury Dealer Quotation.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Quotation Agent</w:t>
      </w:r>
      <w:r>
        <w:rPr>
          <w:rFonts w:ascii="Times New Roman" w:cs="Times New Roman" w:eastAsia="Times New Roman" w:hAnsi="Times New Roman"/>
          <w:sz w:val="18"/>
          <w:szCs w:val="18"/>
          <w:color w:val="auto"/>
        </w:rPr>
        <w:t>” means, with respect to any Redemption Date, the Reference Treasury Dealer appointed by the Company.</w:t>
      </w:r>
    </w:p>
    <w:p>
      <w:pPr>
        <w:spacing w:after="0" w:line="252"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w:t>
      </w:r>
      <w:r>
        <w:rPr>
          <w:rFonts w:ascii="Times New Roman" w:cs="Times New Roman" w:eastAsia="Times New Roman" w:hAnsi="Times New Roman"/>
          <w:sz w:val="18"/>
          <w:szCs w:val="18"/>
          <w:color w:val="auto"/>
        </w:rPr>
        <w:t>” means, with respect to any Redemption Date, each of (1) BofA Securities, Inc. and Citigroup Global Markets Inc. (or their respective affiliates that are primary U.S. Government securities dealers) and their respective successors; provided, however, that if any of them shall cease to be a primary U.S. Government securities dealer in the United States of America (a “</w:t>
      </w:r>
      <w:r>
        <w:rPr>
          <w:rFonts w:ascii="Times New Roman" w:cs="Times New Roman" w:eastAsia="Times New Roman" w:hAnsi="Times New Roman"/>
          <w:sz w:val="18"/>
          <w:szCs w:val="18"/>
          <w:b w:val="1"/>
          <w:bCs w:val="1"/>
          <w:color w:val="auto"/>
        </w:rPr>
        <w:t>Primary Treasury Dealer</w:t>
      </w:r>
      <w:r>
        <w:rPr>
          <w:rFonts w:ascii="Times New Roman" w:cs="Times New Roman" w:eastAsia="Times New Roman" w:hAnsi="Times New Roman"/>
          <w:sz w:val="18"/>
          <w:szCs w:val="18"/>
          <w:color w:val="auto"/>
        </w:rPr>
        <w:t>”), the Company shall substitute for it another Primary Treasury Dealer; and (2) any other Primary Treasury Dealer or Dealers selected by the Company.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ind w:right="28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in The City of New York preceding such Redemption Date.</w:t>
      </w:r>
    </w:p>
    <w:p>
      <w:pPr>
        <w:spacing w:after="0" w:line="20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sent at least 10 days but not more than 60 days before the Redemption Date to each Holder of the Notes to be redeemed, all as more fully provided in the Indenture. Unless the Company defaults in payment of the Redemption Price (or any accrued and unpaid interest on the Notes or portions thereof to be redeemed), on and after the Redemption Date interest will cease to accrue on the Notes or portions thereof called for redemption. If less than all of the Notes are to be redeemed, the Notes (or portions thereof) to be redeemed shall be selected, in the case of Global Notes, in accordance with the policies and procedures of the depository or, in the case of Definitive Notes, by the Trustee by such method as the Trustee shall deem fair and appropriate, all as more fully provided in the Indenture.</w:t>
      </w:r>
    </w:p>
    <w:p>
      <w:pPr>
        <w:spacing w:after="0" w:line="21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All notices of redemption shall state the Redemption Date, the Redemption Price (or, if not then ascertainable, the manner of calculation thereof), if fewer than all the Outstanding Notes are to be redeemed, the identification (and, in the case of partial redemption, the principal amounts) of the particular Notes to be redeemed, that on the Redemption Date the Redemption Price will become due and payable upon each Note, or portion thereof, to be redeemed, together with accrued and unpaid interest thereon, that interest on each Note, or portion thereof, called for redemption will cease to accrue on the Redemption Date and the place or places where Notes may be surrendered for redemption.</w:t>
      </w:r>
    </w:p>
    <w:p>
      <w:pPr>
        <w:spacing w:after="0" w:line="211" w:lineRule="exact"/>
        <w:rPr>
          <w:sz w:val="20"/>
          <w:szCs w:val="20"/>
          <w:color w:val="auto"/>
        </w:rPr>
      </w:pPr>
    </w:p>
    <w:p>
      <w:pPr>
        <w:ind w:right="80" w:firstLine="648"/>
        <w:spacing w:after="0" w:line="313" w:lineRule="auto"/>
        <w:rPr>
          <w:sz w:val="20"/>
          <w:szCs w:val="20"/>
          <w:color w:val="auto"/>
        </w:rPr>
      </w:pPr>
      <w:r>
        <w:rPr>
          <w:rFonts w:ascii="Times New Roman" w:cs="Times New Roman" w:eastAsia="Times New Roman" w:hAnsi="Times New Roman"/>
          <w:sz w:val="17"/>
          <w:szCs w:val="17"/>
          <w:color w:val="auto"/>
        </w:rPr>
        <w:t>In the event of redemption of this Note in part only, a new Note or Notes of like tenor in an aggregate principal amount equal to and in exchange for the unredeemed portion of the principal amount hereof will be issued in authorized denominations in the name of the Holder hereof upon surrender hereof.</w:t>
      </w:r>
    </w:p>
    <w:p>
      <w:pPr>
        <w:spacing w:after="0" w:line="165"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For all purposes of this Note and the Indenture, unless the context otherwise requires, all provisions relating to the redemption by the Company of this Note shall relate, in the case that this Note is redeemed, or to be redeemed, by the Company only in part, to that portion of the principal amount of this Note that has been, or is to be, redeemed.</w:t>
      </w:r>
    </w:p>
    <w:p>
      <w:pPr>
        <w:spacing w:after="0" w:line="20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the Notes shall occur and be continuing, the principal of and accrued interest on the Notes may be declared due and payable in the manner and with the effect provided in the Indenture.</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45" w:name="page46"/>
    <w:bookmarkEnd w:id="45"/>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w:t>
      </w:r>
    </w:p>
    <w:p>
      <w:pPr>
        <w:spacing w:after="0" w:line="3" w:lineRule="exact"/>
        <w:rPr>
          <w:sz w:val="20"/>
          <w:szCs w:val="20"/>
          <w:color w:val="auto"/>
        </w:rPr>
      </w:pPr>
    </w:p>
    <w:p>
      <w:pPr>
        <w:ind w:firstLine="8"/>
        <w:spacing w:after="0" w:line="252"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15"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subject to the provisions for satisfaction and discharge in Article Four of the Indenture, shall alter or impair the obligation of the Company, which is absolute and unconditional, to pay the principal of and interest on this Note at the times, place and rate, and in the coin or currency, herein prescribed.</w:t>
      </w:r>
    </w:p>
    <w:p>
      <w:pPr>
        <w:spacing w:after="0" w:line="20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shall be permitted, by irrevocably depositing cash or U.S. Government Obligations, in amounts and maturities sufficient to pay and discharge at the Stated Maturity or Redemption Date, as the case may be, the entire indebtedness on all Outstanding Notes that have become due and payable or will become due and payable within one year (or are scheduled for redemption within one year), with the Trustee in trust, solely for the benefit of the Holders of all Outstanding Notes, to defease the Indenture with respect to such Notes (subject to specified exceptions), and upon such deposit and satisfaction of the other conditions set forth in the Indenture, the Company shall be deemed to have paid and discharged its entire indebtedness on the Notes.</w:t>
      </w:r>
    </w:p>
    <w:p>
      <w:pPr>
        <w:spacing w:after="0" w:line="21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Company shall also be permitted to discharge, at any time, its obligations in respect of the Notes (other than certain limited obligations, such as the obligation to transfer and exchange the Notes) by (1)(a) delivering all of the outstanding Notes to the Trustee to be cancelled or (b) depositing with the Trustee in trust funds or non-callable United States government or government-guaranteed obligations sufficient, without investment, to pay all remaining principal and interest on the Notes and (2) complying with certain other provisions of the Indenture, including delivering to the Trustee an opinion of counsel from a nationally recognized counsel or an IRS ruling stating that (A) the Company has received from, or there has been published by, the Internal Revenue Service a ruling or (B) since the date of the Indenture, there has been a change in the applicable federal income tax law, in the case of either (A) or (B) to the effect that the Holders of the Notes will not recognize income, gain or loss for federal income tax purposes as a result of such discharge and will be subject to federal income tax on the same amount, in the same manner and at the same times as would be the case if such deposit and discharge were not to occur.</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shall also be permitted to omit to comply with the restrictive covenants described in Sections 1007 and 801 of the Indenture, with respect to the Notes, and the omission shall not be an Event of Default, pursuant to the Company’s right to covenant defeasance. In order to exercise the Company’s right to covenant defeasance, the Company will be required to deposit with the Trustee, in trust funds or non-callable United States government or government-guaranteed obligations, funds sufficient, without investment, to pay all remaining principal and interest on the Notes. To effect a covenant defeasance with respect to the Notes, the Company shall be required to deliver to the Trustee an opinion of counsel to the effect that the holders of the Notes will not recognize gain or loss for federal income tax purposes as a result of the deposit and the covenant defeasance and will be subject to federal income tax on the same amount, in the same manner and at the same times as would be the case if such deposit and covenant defeasance were not to occur.</w:t>
      </w:r>
    </w:p>
    <w:p>
      <w:pPr>
        <w:spacing w:after="0" w:line="216"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Notes is registrable in the Security Register, upon surrender of a Note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Notes of like tenor, of authorized denominations and for the same aggregate principal amount, will be issued to the designated transferee or transferees.</w:t>
      </w:r>
    </w:p>
    <w:p>
      <w:pPr>
        <w:spacing w:after="0" w:line="215"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20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 of the State of New York (without regard to conflicts of laws principles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3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All undefined terms (whether or not capitalized) used in this Note which are defined in the Indenture shall have the meanings assigned to them in the Indenture.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7" w:name="page48"/>
    <w:bookmarkEnd w:id="47"/>
    <w:p>
      <w:pPr>
        <w:jc w:val="center"/>
        <w:ind w:right="-37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-127635</wp:posOffset>
            </wp:positionV>
            <wp:extent cx="593471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9347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3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618865"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-127635</wp:posOffset>
            </wp:positionV>
            <wp:extent cx="21780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appear(s) on the face of this Note)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*NOTICE: The signature must be guaranteed by an institution that is a member of one of the following recognized signature guarantee programs: (i) The Securities Transfer Agent Medallion Program (STAMP); (ii) The New York Stock Exchange Medallion Program (MNSP); (iii) The Stock Exchange Medallion Program (SEMP); or (iv) such other guarantee program acceptable to the Trustee.</w:t>
      </w:r>
    </w:p>
    <w:p>
      <w:pPr>
        <w:spacing w:after="0" w:line="3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21" w:right="6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t>SCHEDULE OF EXCHANGES OF INTERESTS IN THE GLOBAL NOTE</w:t>
      </w:r>
    </w:p>
    <w:p>
      <w:pPr>
        <w:spacing w:after="0" w:line="25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Amount of</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Authorized</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Decrease in</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Officer of</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Principal</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Trustee or</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Amount of this</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Date of Exchange</w:t>
            </w:r>
          </w:p>
        </w:tc>
        <w:tc>
          <w:tcPr>
            <w:tcW w:w="2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Global Note</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Custodian</w:t>
            </w:r>
          </w:p>
        </w:tc>
      </w:tr>
      <w:tr>
        <w:trPr>
          <w:trHeight w:val="598"/>
        </w:trPr>
        <w:tc>
          <w:tcPr>
            <w:tcW w:w="2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0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rPr>
              <w:t>11</w:t>
            </w:r>
          </w:p>
        </w:tc>
        <w:tc>
          <w:tcPr>
            <w:tcW w:w="25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98"/>
        </w:trPr>
        <w:tc>
          <w:tcPr>
            <w:tcW w:w="21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1" w:right="239" w:bottom="1440" w:gutter="0" w:footer="0" w:header="0"/>
        </w:sectPr>
      </w:pPr>
    </w:p>
    <w:bookmarkStart w:id="49" w:name="page50"/>
    <w:bookmarkEnd w:id="49"/>
    <w:p>
      <w:pPr>
        <w:ind w:left="104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4.6</w:t>
      </w:r>
    </w:p>
    <w:p>
      <w:pPr>
        <w:spacing w:after="0" w:line="258"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UNLESS THIS CERTIFICATE IS PRESENTED BY AN AUTHORIZED REPRESENTATIVE OF THE DEPOSITORY TRUST COMPANY, A NEW YORK CORPORATION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OCCIDENTAL PETROLEUM CORPORATION</w:t>
            </w:r>
          </w:p>
        </w:tc>
      </w:tr>
      <w:tr>
        <w:trPr>
          <w:trHeight w:val="459"/>
        </w:trPr>
        <w:tc>
          <w:tcPr>
            <w:tcW w:w="3100" w:type="dxa"/>
            <w:vAlign w:val="bottom"/>
          </w:tcPr>
          <w:p>
            <w:pPr>
              <w:spacing w:after="0"/>
              <w:rPr>
                <w:sz w:val="24"/>
                <w:szCs w:val="24"/>
                <w:color w:val="auto"/>
              </w:rPr>
            </w:pPr>
          </w:p>
        </w:tc>
        <w:tc>
          <w:tcPr>
            <w:tcW w:w="832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7.500% DEBENTURES DUE 2026</w:t>
            </w: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3100" w:type="dxa"/>
            <w:vAlign w:val="bottom"/>
          </w:tcPr>
          <w:p>
            <w:pPr>
              <w:spacing w:after="0"/>
              <w:rPr>
                <w:sz w:val="20"/>
                <w:szCs w:val="20"/>
                <w:color w:val="auto"/>
              </w:rPr>
            </w:pPr>
          </w:p>
        </w:tc>
        <w:tc>
          <w:tcPr>
            <w:tcW w:w="8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CUSIP: 674599 DN2</w:t>
            </w:r>
          </w:p>
        </w:tc>
        <w:tc>
          <w:tcPr>
            <w:tcW w:w="8320" w:type="dxa"/>
            <w:vAlign w:val="bottom"/>
          </w:tcPr>
          <w:p>
            <w:pPr>
              <w:spacing w:after="0"/>
              <w:rPr>
                <w:sz w:val="24"/>
                <w:szCs w:val="24"/>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ISIN: US674599DN25</w:t>
            </w:r>
          </w:p>
        </w:tc>
        <w:tc>
          <w:tcPr>
            <w:tcW w:w="8320" w:type="dxa"/>
            <w:vAlign w:val="bottom"/>
          </w:tcPr>
          <w:p>
            <w:pPr>
              <w:spacing w:after="0"/>
              <w:rPr>
                <w:sz w:val="20"/>
                <w:szCs w:val="20"/>
                <w:color w:val="auto"/>
              </w:rPr>
            </w:pP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October 15, 2026</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7.500% per annum</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April 15 and October 15, commencing October 15, 2019</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April 1 and October 1</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310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50" w:name="page51"/>
    <w:bookmarkEnd w:id="50"/>
    <w:p>
      <w:pPr>
        <w:ind w:firstLine="648"/>
        <w:spacing w:after="0" w:line="251" w:lineRule="auto"/>
        <w:rPr>
          <w:sz w:val="20"/>
          <w:szCs w:val="20"/>
          <w:color w:val="auto"/>
        </w:rPr>
      </w:pPr>
      <w:r>
        <w:rPr>
          <w:rFonts w:ascii="Times New Roman" w:cs="Times New Roman" w:eastAsia="Times New Roman" w:hAnsi="Times New Roman"/>
          <w:sz w:val="18"/>
          <w:szCs w:val="18"/>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and to pay interest thereon from April 15, 2019 or from the most recent Interest Payment Date to which interest has been paid or duly provided for, semi-annually in arrears on April 15 and October 15 in each year, commencing on October 15, 2019, at the rate per annum specified above, until the principal hereof is paid or made available for payment. Interest on this Debenture will be computed on the basis of a 360-day year comprised of twelve 30-day months. Interest payments for this Debenture will include interest accrued to but excluding each Interest Payment Date. The interest so payable, and punctually paid or duly provided for, on any Interest Payment Date will, as provided in the Indenture, be paid to the Person in whose name this Debenture (or one or more Predecessor Securities) is registered at the close of business on the Regular Record Date, which shall be the April 1 or October 1 (whether or not a Business Day), as the case may be, immediately preceding such Interest Payment Date. If any Interest Payment Date or Maturity with respect to this Debenture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Debenture (or one or more Predecessor Securities) is registered at the close of business on a Special Record Date for the payment of such Defaulted Interest to be fixed by the Trustee (as defined below), notice of which will be given to Holders of Debentures not less than 10 days prior to such Special Record Date, or (2) be paid at any time in any other lawful manner not inconsistent with the requirements of any securities exchange on which the Debentures may be listed, and upon such notice as may be required by such exchange, all as more fully provided in the Indenture. Payment of the principal of and interest on this Debenture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at the option of the Company, payment of interest due on any Interest Payment Date may be made by check mailed to the address of the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Debenture set forth below, which further provisions shall for all purposes have the same effect as if set forth at this place.</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or its duly appointed co-authenticating agent by manual signature, this Debenture shall not be entitled to any benefit under the Indenture or be valid or obligatory for any purpose.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OCCIDENTAL PETROLEUM CORPORATION has caused this Debenture to be signed by the signature of its Chairman of the Board, its President, a Vice President, its Treasurer or an Assistant Treasurer.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60"/>
          </w:cols>
          <w:pgMar w:left="240" w:top="121" w:right="999" w:bottom="1440" w:gutter="0" w:footer="0" w:header="0"/>
        </w:sectPr>
      </w:pPr>
    </w:p>
    <w:bookmarkStart w:id="52" w:name="page53"/>
    <w:bookmarkEnd w:id="52"/>
    <w:p>
      <w:pPr>
        <w:ind w:left="37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53" w:name="page54"/>
    <w:bookmarkEnd w:id="53"/>
    <w:p>
      <w:pPr>
        <w:ind w:firstLine="648"/>
        <w:spacing w:after="0" w:line="268" w:lineRule="auto"/>
        <w:rPr>
          <w:sz w:val="20"/>
          <w:szCs w:val="20"/>
          <w:color w:val="auto"/>
        </w:rPr>
      </w:pPr>
      <w:r>
        <w:rPr>
          <w:rFonts w:ascii="Times New Roman" w:cs="Times New Roman" w:eastAsia="Times New Roman" w:hAnsi="Times New Roman"/>
          <w:sz w:val="18"/>
          <w:szCs w:val="18"/>
          <w:color w:val="auto"/>
        </w:rPr>
        <w:t>This Debenture is one of a duly authorized issue of securities (herein called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of the Company, issued and to be issued pursuant to the Indenture (as defined below). This Debenture is one of a series designated by the Company as its 7.500% Debentures due 2026 (the </w:t>
      </w:r>
      <w:r>
        <w:rPr>
          <w:rFonts w:ascii="Times New Roman" w:cs="Times New Roman" w:eastAsia="Times New Roman" w:hAnsi="Times New Roman"/>
          <w:sz w:val="18"/>
          <w:szCs w:val="18"/>
          <w:b w:val="1"/>
          <w:bCs w:val="1"/>
          <w:color w:val="auto"/>
        </w:rPr>
        <w:t>“Debentures”</w:t>
      </w:r>
      <w:r>
        <w:rPr>
          <w:rFonts w:ascii="Times New Roman" w:cs="Times New Roman" w:eastAsia="Times New Roman" w:hAnsi="Times New Roman"/>
          <w:sz w:val="18"/>
          <w:szCs w:val="18"/>
          <w:color w:val="auto"/>
        </w:rPr>
        <w:t>), limited in initial aggregate principal amount to $[ ]. The Indenture does not limit the aggregate principal amount of the Securities.</w:t>
      </w:r>
    </w:p>
    <w:p>
      <w:pPr>
        <w:spacing w:after="0" w:line="19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The Company issued this Debenture pursuant to an Indenture, dated as of August 8, 2019 (herein called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which term, for the purpose of this Debenture,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Debentures and of the terms upon which the Debentures are, and are to be, authenticated and delivered.</w:t>
      </w:r>
    </w:p>
    <w:p>
      <w:pPr>
        <w:spacing w:after="0" w:line="21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Debentures are issuable in denominations of $1,000 and any amount in excess thereof which is an integral multiple of $1,000. As provided in the Indenture and subject to certain limitations therein set forth, the Debentures are exchangeable for a like aggregate principal amount of Debentures of like tenor of any authorized denomination, as requested by the Holder surrendering the same, upon surrender of the Debenture or Debentures to be exchanged at any office or agency described below where Debentures may be presented for registration of transfer.</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without notice to or the consent of the Holders of the Debentures, reopen the Debentures and issue additional Debentures.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Debentures are not redeemable prior to the Maturity Date.</w:t>
      </w:r>
    </w:p>
    <w:p>
      <w:pPr>
        <w:spacing w:after="0" w:line="25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the Debentures shall occur and be continuing, the principal of and accrued interest on the Debentures may be declared due and payable in the manner and with the effect provided in the Indenture.</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w:t>
      </w:r>
    </w:p>
    <w:p>
      <w:pPr>
        <w:spacing w:after="0" w:line="3" w:lineRule="exact"/>
        <w:rPr>
          <w:sz w:val="20"/>
          <w:szCs w:val="20"/>
          <w:color w:val="auto"/>
        </w:rPr>
      </w:pPr>
    </w:p>
    <w:p>
      <w:pPr>
        <w:ind w:right="40" w:firstLine="8"/>
        <w:spacing w:after="0" w:line="252" w:lineRule="auto"/>
        <w:tabs>
          <w:tab w:leader="none" w:pos="2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Debenture shall be conclusive and binding upon such Holder and upon all future Holders of this Debenture and of any Debenture issued upon the registration of transfer hereof or in exchange herefor or in lieu hereof, whether or not notation of such consent or waiver is made upon this Debenture.</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54" w:name="page55"/>
    <w:bookmarkEnd w:id="54"/>
    <w:p>
      <w:pPr>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Debenture, subject to the provisions for satisfaction and discharge in Article Four of the Indenture, shall alter or impair the obligation of the Company, which is absolute and unconditional, to pay the principal of and interest on this Debenture at the times, place and rate, and in the coin or currency, herein prescribed.</w:t>
      </w:r>
    </w:p>
    <w:p>
      <w:pPr>
        <w:spacing w:after="0" w:line="20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shall be permitted, by irrevocably depositing cash or U.S. Government Obligations, in amounts and maturities sufficient to pay and discharge at the Stated Maturity the entire indebtedness on all Outstanding Debentures that have become due and payable or will become due and payable within one year, with the Trustee in trust, solely for the benefit of the Holders of all Outstanding Debentures, to defease the Indenture with respect to such Debentures (subject to specified exceptions), and upon such deposit and satisfaction of the other conditions set forth in the Indenture, the Company shall be deemed to have paid and discharged its entire indebtedness on the Debentures.</w:t>
      </w:r>
    </w:p>
    <w:p>
      <w:pPr>
        <w:spacing w:after="0" w:line="21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shall also be permitted to discharge, at any time, its obligations in respect of the Debentures (other than certain limited obligations, such as the obligation to transfer and exchange the Debentures) by (1)(a) delivering all of the outstanding Debentures to the Trustee to be cancelled or (b) depositing with the Trustee in trust funds or non-callable United States government or government-guaranteed obligations sufficient, without investment, to pay all remaining principal and interest on the Debentures and (2) complying with certain other provisions of the Indenture.</w:t>
      </w:r>
    </w:p>
    <w:p>
      <w:pPr>
        <w:spacing w:after="0" w:line="20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Debentures is registrable in the Security Register, upon surrender of a Debenture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Debentures of like tenor, of authorized denominations and for the same aggregate principal amount, will be issued to the designated transferee or transferees.</w:t>
      </w:r>
    </w:p>
    <w:p>
      <w:pPr>
        <w:spacing w:after="0" w:line="215"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5" w:name="page56"/>
    <w:bookmarkEnd w:id="55"/>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Debenture for registration of transfer, the Company, the Trustee and any agent of the Company or the Trustee may treat the Person in whose name this Debenture is registered as the owner hereof for all purposes, whether or not this Debenture be overdue, and neither the Company, the Trustee nor any such agent shall be affected by notice to the contrary.</w:t>
      </w:r>
    </w:p>
    <w:p>
      <w:pPr>
        <w:spacing w:after="0" w:line="203"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This Debenture shall be governed by and construed in accordance with the law of the State of New York (without regard to conflicts of laws principles thereof).</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All undefined terms (whether or not capitalized) used in this Debenture which are defined in the Indenture shall have the meanings assigned to them in the Indenture.</w:t>
      </w:r>
    </w:p>
    <w:p>
      <w:pPr>
        <w:spacing w:after="0" w:line="3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56" w:name="page57"/>
    <w:bookmarkEnd w:id="56"/>
    <w:p>
      <w:pPr>
        <w:jc w:val="center"/>
        <w:ind w:right="-37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Debenture, fill in the form below:</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or (we) assign and transfer this Debenture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Debenture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-127635</wp:posOffset>
            </wp:positionV>
            <wp:extent cx="593471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59347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3618865"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-127635</wp:posOffset>
            </wp:positionV>
            <wp:extent cx="21780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appear(s) on the face of this Debenture)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*NOTICE: The signature must be guaranteed by an institution that is a member of one of the following recognized signature guarantee programs: (i) The Securities Transfer Agent Medallion Program (STAMP); (ii) The New York Stock Exchange Medallion Program (MNSP); (iii) The Stock Exchange Medallion Program (SEMP); or (iv) such other guarantee program acceptable to the Trustee.</w:t>
      </w:r>
    </w:p>
    <w:p>
      <w:pPr>
        <w:spacing w:after="0" w:line="3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21" w:right="6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color w:val="auto"/>
        </w:rPr>
        <w:t>SCHEDULE OF EXCHANGES OF INTERESTS IN THE GLOBAL NOTE</w:t>
      </w:r>
    </w:p>
    <w:p>
      <w:pPr>
        <w:spacing w:after="0" w:line="25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Amount of</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Authorized</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Decrease in</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Officer of</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Principal</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Trustee or</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Amount of this</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Date of Exchange</w:t>
            </w:r>
          </w:p>
        </w:tc>
        <w:tc>
          <w:tcPr>
            <w:tcW w:w="2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Global Note</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Custodian</w:t>
            </w:r>
          </w:p>
        </w:tc>
      </w:tr>
      <w:tr>
        <w:trPr>
          <w:trHeight w:val="598"/>
        </w:trPr>
        <w:tc>
          <w:tcPr>
            <w:tcW w:w="2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00" w:type="dxa"/>
            <w:vAlign w:val="bottom"/>
          </w:tcPr>
          <w:p>
            <w:pPr>
              <w:jc w:val="right"/>
              <w:ind w:right="813"/>
              <w:spacing w:after="0"/>
              <w:rPr>
                <w:sz w:val="20"/>
                <w:szCs w:val="20"/>
                <w:color w:val="auto"/>
              </w:rPr>
            </w:pPr>
            <w:r>
              <w:rPr>
                <w:rFonts w:ascii="Times New Roman" w:cs="Times New Roman" w:eastAsia="Times New Roman" w:hAnsi="Times New Roman"/>
                <w:sz w:val="14"/>
                <w:szCs w:val="14"/>
                <w:color w:val="auto"/>
              </w:rPr>
              <w:t>9</w:t>
            </w:r>
          </w:p>
        </w:tc>
        <w:tc>
          <w:tcPr>
            <w:tcW w:w="25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98"/>
        </w:trPr>
        <w:tc>
          <w:tcPr>
            <w:tcW w:w="21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1" w:right="239" w:bottom="1440" w:gutter="0" w:footer="0" w:header="0"/>
        </w:sectPr>
      </w:pPr>
    </w:p>
    <w:bookmarkStart w:id="58" w:name="page59"/>
    <w:bookmarkEnd w:id="58"/>
    <w:p>
      <w:pPr>
        <w:ind w:left="104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4.7</w:t>
      </w:r>
    </w:p>
    <w:p>
      <w:pPr>
        <w:spacing w:after="0" w:line="23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UNLESS THIS CERTIFICATE IS PRESENTED BY AN AUTHORIZED REPRESENTATIVE OF THE DEPOSITORY TRUST COMPANY, A NEW YORK CORPORATION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OCCIDENTAL PETROLEUM CORPORATION</w:t>
            </w:r>
          </w:p>
        </w:tc>
      </w:tr>
      <w:tr>
        <w:trPr>
          <w:trHeight w:val="459"/>
        </w:trPr>
        <w:tc>
          <w:tcPr>
            <w:tcW w:w="3100" w:type="dxa"/>
            <w:vAlign w:val="bottom"/>
          </w:tcPr>
          <w:p>
            <w:pPr>
              <w:spacing w:after="0"/>
              <w:rPr>
                <w:sz w:val="24"/>
                <w:szCs w:val="24"/>
                <w:color w:val="auto"/>
              </w:rPr>
            </w:pPr>
          </w:p>
        </w:tc>
        <w:tc>
          <w:tcPr>
            <w:tcW w:w="832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7.000% DEBENTURES DUE 2027</w:t>
            </w: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3100" w:type="dxa"/>
            <w:vAlign w:val="bottom"/>
          </w:tcPr>
          <w:p>
            <w:pPr>
              <w:spacing w:after="0"/>
              <w:rPr>
                <w:sz w:val="20"/>
                <w:szCs w:val="20"/>
                <w:color w:val="auto"/>
              </w:rPr>
            </w:pPr>
          </w:p>
        </w:tc>
        <w:tc>
          <w:tcPr>
            <w:tcW w:w="8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CUSIP: 674599 DP7</w:t>
            </w:r>
          </w:p>
        </w:tc>
        <w:tc>
          <w:tcPr>
            <w:tcW w:w="8320" w:type="dxa"/>
            <w:vAlign w:val="bottom"/>
          </w:tcPr>
          <w:p>
            <w:pPr>
              <w:spacing w:after="0"/>
              <w:rPr>
                <w:sz w:val="24"/>
                <w:szCs w:val="24"/>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ISIN: US674599DP72</w:t>
            </w:r>
          </w:p>
        </w:tc>
        <w:tc>
          <w:tcPr>
            <w:tcW w:w="8320" w:type="dxa"/>
            <w:vAlign w:val="bottom"/>
          </w:tcPr>
          <w:p>
            <w:pPr>
              <w:spacing w:after="0"/>
              <w:rPr>
                <w:sz w:val="20"/>
                <w:szCs w:val="20"/>
                <w:color w:val="auto"/>
              </w:rPr>
            </w:pP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November 15, 2027</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7.000% per annum</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May 15 and November 15, commencing November 15, 2019</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May 1 and November 1</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310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59" w:name="page60"/>
    <w:bookmarkEnd w:id="59"/>
    <w:p>
      <w:pPr>
        <w:ind w:firstLine="648"/>
        <w:spacing w:after="0" w:line="251" w:lineRule="auto"/>
        <w:rPr>
          <w:sz w:val="20"/>
          <w:szCs w:val="20"/>
          <w:color w:val="auto"/>
        </w:rPr>
      </w:pPr>
      <w:r>
        <w:rPr>
          <w:rFonts w:ascii="Times New Roman" w:cs="Times New Roman" w:eastAsia="Times New Roman" w:hAnsi="Times New Roman"/>
          <w:sz w:val="18"/>
          <w:szCs w:val="18"/>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and to pay interest thereon from May 15, 2019 or from the most recent Interest Payment Date to which interest has been paid or duly provided for, semi-annually in arrears on May 15 and November 15 in each year, commencing on November 15, 2019, at the rate per annum specified above, until the principal hereof is paid or made available for payment. Interest on this Debenture will be computed on the basis of a 360-day year comprised of twelve 30-day months. Interest payments for this Debenture will include interest accrued to but excluding each Interest Payment Date. The interest so payable, and punctually paid or duly provided for, on any Interest Payment Date will, as provided in the Indenture, be paid to the Person in whose name this Debenture (or one or more Predecessor Securities) is registered at the close of business on the Regular Record Date, which shall be the May 1 or November 1 (whether or not a Business Day), as the case may be, immediately preceding such Interest Payment Date. If any Interest Payment Date or Maturity with respect to this Debenture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Debenture (or one or more Predecessor Securities) is registered at the close of business on a Special Record Date for the payment of such Defaulted Interest to be fixed by the Trustee (as defined below), notice of which will be given to Holders of Debentures not less than 10 days prior to such Special Record Date, or (2) be paid at any time in any other lawful manner not inconsistent with the requirements of any securities exchange on which the Debentures may be listed, and upon such notice as may be required by such exchange, all as more fully provided in the Indenture. Payment of the principal of and interest on this Debenture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at the option of the Company, payment of interest due on any Interest Payment Date may be made by check mailed to the address of the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3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Debenture set forth below, which further provisions shall for all purposes have the same effect as if set forth at this place.</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or its duly appointed co-authenticating agent by manual signature, this Debenture shall not be entitled to any benefit under the Indenture or be valid or obligatory for any purpose.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OCCIDENTAL PETROLEUM CORPORATION has caused this Debenture to be signed by the signature of its Chairman of the Board, its President, a Vice President, its Treasurer or an Assistant Treasurer.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60"/>
          </w:cols>
          <w:pgMar w:left="240" w:top="121" w:right="999" w:bottom="1440" w:gutter="0" w:footer="0" w:header="0"/>
        </w:sectPr>
      </w:pPr>
    </w:p>
    <w:bookmarkStart w:id="61" w:name="page62"/>
    <w:bookmarkEnd w:id="61"/>
    <w:p>
      <w:pPr>
        <w:ind w:left="37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62" w:name="page63"/>
    <w:bookmarkEnd w:id="6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Debenture is one of a duly authorized issue of securities (herein called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of the Company, issued and to be issued pursuant to the Indenture (as defined below). This Debenture is one of a series designated by the Company as its 7.000% Debentures due 2027 (the “</w:t>
      </w:r>
      <w:r>
        <w:rPr>
          <w:rFonts w:ascii="Times New Roman" w:cs="Times New Roman" w:eastAsia="Times New Roman" w:hAnsi="Times New Roman"/>
          <w:sz w:val="18"/>
          <w:szCs w:val="18"/>
          <w:b w:val="1"/>
          <w:bCs w:val="1"/>
          <w:color w:val="auto"/>
        </w:rPr>
        <w:t>Debentures</w:t>
      </w:r>
      <w:r>
        <w:rPr>
          <w:rFonts w:ascii="Times New Roman" w:cs="Times New Roman" w:eastAsia="Times New Roman" w:hAnsi="Times New Roman"/>
          <w:sz w:val="18"/>
          <w:szCs w:val="18"/>
          <w:color w:val="auto"/>
        </w:rPr>
        <w:t>”), limited in initial aggregate principal amount to $[ ]. The Indenture does not limit the aggregate principal amount of the Securities.</w:t>
      </w:r>
    </w:p>
    <w:p>
      <w:pPr>
        <w:spacing w:after="0" w:line="19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The Company issued this Debenture pursuant to an Indenture, dated as of August 8, 2019 (herein called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which term, for the purpose of this Debenture,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Debentures and of the terms upon which the Debentures are, and are to be, authenticated and delivered.</w:t>
      </w:r>
    </w:p>
    <w:p>
      <w:pPr>
        <w:spacing w:after="0" w:line="21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Debentures are issuable in denominations of $1,000 and any amount in excess thereof which is an integral multiple of $1,000. As provided in the Indenture and subject to certain limitations therein set forth, the Debentures are exchangeable for a like aggregate principal amount of Debentures of like tenor of any authorized denomination, as requested by the Holder surrendering the same, upon surrender of the Debenture or Debentures to be exchanged at any office or agency described below where Debentures may be presented for registration of transfer.</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without notice to or the consent of the Holders of the Debentures, reopen the Debentures and issue additional Debentures.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Debentures are not redeemable prior to the Maturity Date.</w:t>
      </w:r>
    </w:p>
    <w:p>
      <w:pPr>
        <w:spacing w:after="0" w:line="25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the Debentures shall occur and be continuing, the principal of and accrued interest on the Debentures may be declared due and payable in the manner and with the effect provided in the Indenture.</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w:t>
      </w:r>
    </w:p>
    <w:p>
      <w:pPr>
        <w:spacing w:after="0" w:line="3" w:lineRule="exact"/>
        <w:rPr>
          <w:sz w:val="20"/>
          <w:szCs w:val="20"/>
          <w:color w:val="auto"/>
        </w:rPr>
      </w:pPr>
    </w:p>
    <w:p>
      <w:pPr>
        <w:ind w:right="40" w:firstLine="8"/>
        <w:spacing w:after="0" w:line="252"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Debenture shall be conclusive and binding upon such Holder and upon all future Holders of this Debenture and of any Debenture issued upon the registration of transfer hereof or in exchange herefor or in lieu hereof, whether or not notation of such consent or waiver is made upon this Debenture.</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63" w:name="page64"/>
    <w:bookmarkEnd w:id="63"/>
    <w:p>
      <w:pPr>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Debenture, subject to the provisions for satisfaction and discharge in Article Four of the Indenture, shall alter or impair the obligation of the Company, which is absolute and unconditional, to pay the principal of and interest on this Debenture at the times, place and rate, and in the coin or currency, herein prescribed.</w:t>
      </w:r>
    </w:p>
    <w:p>
      <w:pPr>
        <w:spacing w:after="0" w:line="20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shall be permitted, by irrevocably depositing cash or U.S. Government Obligations, in amounts and maturities sufficient to pay and discharge at the Stated Maturity the entire indebtedness on all Outstanding Debentures that have become due and payable or will become due and payable within one year, with the Trustee in trust, solely for the benefit of the Holders of all Outstanding Debentures, to defease the Indenture with respect to such Debentures (subject to specified exceptions), and upon such deposit and satisfaction of the other conditions set forth in the Indenture, the Company shall be deemed to have paid and discharged its entire indebtedness on the Debentures.</w:t>
      </w:r>
    </w:p>
    <w:p>
      <w:pPr>
        <w:spacing w:after="0" w:line="211"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shall also be permitted to discharge, at any time, its obligations in respect of the Debentures (other than certain limited obligations, such as the obligation to transfer and exchange the Debentures) by (1)(a) delivering all of the outstanding Debentures to the Trustee to be cancelled or (b) depositing with the Trustee in trust funds or non-callable United States government or government-guaranteed obligations sufficient, without investment, to pay all remaining principal and interest on the Debentures and (2) complying with certain other provisions of the Indenture.</w:t>
      </w:r>
    </w:p>
    <w:p>
      <w:pPr>
        <w:spacing w:after="0" w:line="20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Debentures is registrable in the Security Register, upon surrender of a Debenture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Debentures of like tenor, of authorized denominations and for the same aggregate principal amount, will be issued to the designated transferee or transferees.</w:t>
      </w:r>
    </w:p>
    <w:p>
      <w:pPr>
        <w:spacing w:after="0" w:line="215"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4" w:name="page65"/>
    <w:bookmarkEnd w:id="64"/>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Debenture for registration of transfer, the Company, the Trustee and any agent of the Company or the Trustee may treat the Person in whose name this Debenture is registered as the owner hereof for all purposes, whether or not this Debenture be overdue, and neither the Company, the Trustee nor any such agent shall be affected by notice to the contrary.</w:t>
      </w:r>
    </w:p>
    <w:p>
      <w:pPr>
        <w:spacing w:after="0" w:line="203"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This Debenture shall be governed by and construed in accordance with the law of the State of New York (without regard to conflicts of laws principles thereof).</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All undefined terms (whether or not capitalized) used in this Debenture which are defined in the Indenture shall have the meanings assigned to them in the Indenture.</w:t>
      </w:r>
    </w:p>
    <w:p>
      <w:pPr>
        <w:spacing w:after="0" w:line="3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65" w:name="page66"/>
    <w:bookmarkEnd w:id="65"/>
    <w:p>
      <w:pPr>
        <w:jc w:val="center"/>
        <w:ind w:right="-37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Debenture, fill in the form below:</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or (we) assign and transfer this Debenture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Debenture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-127635</wp:posOffset>
            </wp:positionV>
            <wp:extent cx="593471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59347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618865"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-127635</wp:posOffset>
            </wp:positionV>
            <wp:extent cx="21780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appear(s) on the face of this Debenture)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*NOTICE: The signature must be guaranteed by an institution that is a member of one of the following recognized signature guarantee programs: (i) The Securities Transfer Agent Medallion Program (STAMP); (ii) The New York Stock Exchange Medallion Program (MNSP); (iii) The Stock Exchange Medallion Program (SEMP); or (iv) such other guarantee program acceptable to the Trustee.</w:t>
      </w:r>
    </w:p>
    <w:p>
      <w:pPr>
        <w:spacing w:after="0" w:line="3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21" w:right="61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color w:val="auto"/>
        </w:rPr>
        <w:t>SCHEDULE OF EXCHANGES OF INTERESTS IN THE GLOBAL NOTE</w:t>
      </w:r>
    </w:p>
    <w:p>
      <w:pPr>
        <w:spacing w:after="0" w:line="25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Amount of</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Authorized</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Decrease in</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Officer of</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Principal</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Trustee or</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Amount of this</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Date of Exchange</w:t>
            </w:r>
          </w:p>
        </w:tc>
        <w:tc>
          <w:tcPr>
            <w:tcW w:w="2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Global Note</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Custodian</w:t>
            </w:r>
          </w:p>
        </w:tc>
      </w:tr>
      <w:tr>
        <w:trPr>
          <w:trHeight w:val="598"/>
        </w:trPr>
        <w:tc>
          <w:tcPr>
            <w:tcW w:w="2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00" w:type="dxa"/>
            <w:vAlign w:val="bottom"/>
          </w:tcPr>
          <w:p>
            <w:pPr>
              <w:jc w:val="right"/>
              <w:ind w:right="813"/>
              <w:spacing w:after="0"/>
              <w:rPr>
                <w:sz w:val="20"/>
                <w:szCs w:val="20"/>
                <w:color w:val="auto"/>
              </w:rPr>
            </w:pPr>
            <w:r>
              <w:rPr>
                <w:rFonts w:ascii="Times New Roman" w:cs="Times New Roman" w:eastAsia="Times New Roman" w:hAnsi="Times New Roman"/>
                <w:sz w:val="14"/>
                <w:szCs w:val="14"/>
                <w:color w:val="auto"/>
              </w:rPr>
              <w:t>9</w:t>
            </w:r>
          </w:p>
        </w:tc>
        <w:tc>
          <w:tcPr>
            <w:tcW w:w="25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98"/>
        </w:trPr>
        <w:tc>
          <w:tcPr>
            <w:tcW w:w="21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1" w:right="239" w:bottom="1440" w:gutter="0" w:footer="0" w:header="0"/>
        </w:sectPr>
      </w:pPr>
    </w:p>
    <w:bookmarkStart w:id="67" w:name="page68"/>
    <w:bookmarkEnd w:id="67"/>
    <w:p>
      <w:pPr>
        <w:ind w:left="104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4.8</w:t>
      </w:r>
    </w:p>
    <w:p>
      <w:pPr>
        <w:spacing w:after="0" w:line="23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83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OCCIDENTAL PETROLEUM CORPORATION</w:t>
            </w:r>
          </w:p>
        </w:tc>
      </w:tr>
      <w:tr>
        <w:trPr>
          <w:trHeight w:val="459"/>
        </w:trPr>
        <w:tc>
          <w:tcPr>
            <w:tcW w:w="3100" w:type="dxa"/>
            <w:vAlign w:val="bottom"/>
          </w:tcPr>
          <w:p>
            <w:pPr>
              <w:spacing w:after="0"/>
              <w:rPr>
                <w:sz w:val="24"/>
                <w:szCs w:val="24"/>
                <w:color w:val="auto"/>
              </w:rPr>
            </w:pPr>
          </w:p>
        </w:tc>
        <w:tc>
          <w:tcPr>
            <w:tcW w:w="832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7.125% DEBENTURES DUE 2027</w:t>
            </w: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3100" w:type="dxa"/>
            <w:vAlign w:val="bottom"/>
          </w:tcPr>
          <w:p>
            <w:pPr>
              <w:spacing w:after="0"/>
              <w:rPr>
                <w:sz w:val="20"/>
                <w:szCs w:val="20"/>
                <w:color w:val="auto"/>
              </w:rPr>
            </w:pPr>
          </w:p>
        </w:tc>
        <w:tc>
          <w:tcPr>
            <w:tcW w:w="8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CUSIP: 674599 DQ5</w:t>
            </w:r>
          </w:p>
        </w:tc>
        <w:tc>
          <w:tcPr>
            <w:tcW w:w="8320" w:type="dxa"/>
            <w:vAlign w:val="bottom"/>
          </w:tcPr>
          <w:p>
            <w:pPr>
              <w:spacing w:after="0"/>
              <w:rPr>
                <w:sz w:val="24"/>
                <w:szCs w:val="24"/>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ISIN: US674599DQ55</w:t>
            </w:r>
          </w:p>
        </w:tc>
        <w:tc>
          <w:tcPr>
            <w:tcW w:w="8320" w:type="dxa"/>
            <w:vAlign w:val="bottom"/>
          </w:tcPr>
          <w:p>
            <w:pPr>
              <w:spacing w:after="0"/>
              <w:rPr>
                <w:sz w:val="20"/>
                <w:szCs w:val="20"/>
                <w:color w:val="auto"/>
              </w:rPr>
            </w:pP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October 15, 2027</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7.125% per annum</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April 15 and October 15, commencing October 15, 2019</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April 1 and October 1</w:t>
            </w: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3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310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68" w:name="page69"/>
    <w:bookmarkEnd w:id="68"/>
    <w:p>
      <w:pPr>
        <w:ind w:firstLine="648"/>
        <w:spacing w:after="0" w:line="251" w:lineRule="auto"/>
        <w:rPr>
          <w:sz w:val="20"/>
          <w:szCs w:val="20"/>
          <w:color w:val="auto"/>
        </w:rPr>
      </w:pPr>
      <w:r>
        <w:rPr>
          <w:rFonts w:ascii="Times New Roman" w:cs="Times New Roman" w:eastAsia="Times New Roman" w:hAnsi="Times New Roman"/>
          <w:sz w:val="18"/>
          <w:szCs w:val="18"/>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(unless and to the extent earlier redeemed prior to such Maturity Date) and to pay interest thereon from April 15, 2019 or from the most recent Interest Payment Date to which interest has been paid or duly provided for, semi-annually in arrears on April 15 and October 15 in each year, commencing on October 15, 2019, at the rate per annum specified above, until the principal hereof is paid or made available for payment. Interest on this Debenture will be computed on the basis of a 360-day year comprised of twelve 30-day months. Interest payments for this Debenture will include interest accrued to but excluding each Interest Payment Date. The interest so payable, and punctually paid or duly provided for, on any Interest Payment Date will, as provided in the Indenture, be paid to the Person in whose name this Debenture (or one or more Predecessor Securities) is registered at the close of business on the Regular Record Date, which shall be the April 1 or October 1 (whether or not a Business Day), as the case may be, immediately preceding such Interest Payment Date. If any Interest Payment Date or Maturity with respect to this Debenture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Debenture (or one or more Predecessor Securities) is registered at the close of business on a Special Record Date for the payment of such Defaulted Interest to be fixed by the Trustee (as defined below), notice of which will be given to Holders of Debentures not less than 10 days prior to such Special Record Date, or (2) be paid at any time in any other lawful manner not inconsistent with the requirements of any securities exchange on which the Debentures may be listed, and upon such notice as may be required by such exchange, all as more fully provided in the Indenture. Payment of the principal of and interest on this Debenture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3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Debenture set forth below, which further provisions shall for all purposes have the same effect as if set forth at this place.</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or its duly appointed co-authenticating agent by manual signature, this Debenture shall not be entitled to any benefit under the Indenture or be valid or obligatory for any purpose.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69" w:name="page70"/>
    <w:bookmarkEnd w:id="69"/>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OCCIDENTAL PETROLEUM CORPORATION has caused this Debenture to be signed by the signature of its Chairman of the Board, its President, a Vice President, its Treasurer or an Assistant Treasurer.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60"/>
          </w:cols>
          <w:pgMar w:left="240" w:top="121" w:right="999" w:bottom="1440" w:gutter="0" w:footer="0" w:header="0"/>
        </w:sectPr>
      </w:pPr>
    </w:p>
    <w:bookmarkStart w:id="70" w:name="page71"/>
    <w:bookmarkEnd w:id="70"/>
    <w:p>
      <w:pPr>
        <w:ind w:left="3720"/>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is one of the Securities of the series designated therein referred to in the within- mentioned Indenture.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32588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71" w:name="page72"/>
    <w:bookmarkEnd w:id="71"/>
    <w:p>
      <w:pPr>
        <w:ind w:firstLine="648"/>
        <w:spacing w:after="0" w:line="268" w:lineRule="auto"/>
        <w:rPr>
          <w:sz w:val="20"/>
          <w:szCs w:val="20"/>
          <w:color w:val="auto"/>
        </w:rPr>
      </w:pPr>
      <w:r>
        <w:rPr>
          <w:rFonts w:ascii="Times New Roman" w:cs="Times New Roman" w:eastAsia="Times New Roman" w:hAnsi="Times New Roman"/>
          <w:sz w:val="18"/>
          <w:szCs w:val="18"/>
          <w:color w:val="auto"/>
        </w:rPr>
        <w:t>This Debenture is one of a duly authorized issue of securities (herein called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of the Company, issued and to be issued pursuant to the Indenture (as defined below). This Debenture is one of a series designated by the Company as its 7.125% Debentures due 2027 (the </w:t>
      </w:r>
      <w:r>
        <w:rPr>
          <w:rFonts w:ascii="Times New Roman" w:cs="Times New Roman" w:eastAsia="Times New Roman" w:hAnsi="Times New Roman"/>
          <w:sz w:val="18"/>
          <w:szCs w:val="18"/>
          <w:b w:val="1"/>
          <w:bCs w:val="1"/>
          <w:color w:val="auto"/>
        </w:rPr>
        <w:t>“Debentures”</w:t>
      </w:r>
      <w:r>
        <w:rPr>
          <w:rFonts w:ascii="Times New Roman" w:cs="Times New Roman" w:eastAsia="Times New Roman" w:hAnsi="Times New Roman"/>
          <w:sz w:val="18"/>
          <w:szCs w:val="18"/>
          <w:color w:val="auto"/>
        </w:rPr>
        <w:t>), limited in initial aggregate principal amount to $[ ]. The Indenture does not limit the aggregate principal amount of the Securities.</w:t>
      </w:r>
    </w:p>
    <w:p>
      <w:pPr>
        <w:spacing w:after="0" w:line="198"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The Company issued this Debenture pursuant to an Indenture, dated as of August 8, 2019 (herein called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which term, for the purpose of this Debenture,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Debentures and of the terms upon which the Debentures are, and are to be, authenticated and delivered.</w:t>
      </w:r>
    </w:p>
    <w:p>
      <w:pPr>
        <w:spacing w:after="0" w:line="21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Debentures are issuable in denominations of $1,000 and any amount in excess thereof which is an integral multiple of $1,000. As provided in the Indenture and subject to certain limitations therein set forth, the Debentures are exchangeable for a like aggregate principal amount of Debentures of like tenor of any authorized denomination, as requested by the Holder surrendering the same, upon surrender of the Debenture or Debentures to be exchanged at any office or agency described below where Debentures may be presented for registration of transfer.</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without notice to or the consent of the Holders of the Debentures, reopen the Debentures and issue additional Debentures.</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Debentures are redeemable, in whole at any time or in part from time to time prior to final maturity, at the option of the Company at a Redemption Price equal to the greater of (i) 100% of the principal amount of the Debentures to be redeemed and (ii) as determined by the Quotation Agent, the sum of the present values of the remaining scheduled payments of principal and interest on the Debentures to be redeemed through the final maturity (not including any portion of such payments of interest accrued to, but not including, the Redemption Date) discounted to the Redemption Date on a semi-annual basis (assuming a 360-day year comprised of twelve 30-day months) at the Treasury Rate (as defined herein) plus 10 basis points plus, in each case, accrued and unpaid interest on the principal amount of the Debentures being redeemed to, but not including, the Redemption Date. Notwithstanding the foregoing, installments of interest whose Stated Maturity is on or prior to the relevant Redemption Date shall be payable to the Holders of the Debentures, or one or more Predecessor Securities, of record at the close of business on the relevant Regular Record Dates according to their terms and the provisions of the Indenture.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rate per annum, as determined by the Quotation Agent equal to: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2" w:name="page73"/>
    <w:bookmarkEnd w:id="72"/>
    <w:p>
      <w:pPr>
        <w:jc w:val="both"/>
        <w:ind w:left="660" w:hanging="328"/>
        <w:spacing w:after="0" w:line="25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provided that if no maturity is within three months before or after the remaining term of the Debentures to be redeemed, yields for the two published maturities most closely corresponding to the Comparable Treasury Issue will be determined and the Treasury Rate will be interpolated or extrapolated from those yields on a straight-line basis rounding to the nearest month; or</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that Redemption Date.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Treasury Rate will be calculated at 5:00 p.m. (New York City time) on the third Business Day preceding the Redemption Date by the Quotation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30"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Issue</w:t>
      </w:r>
      <w:r>
        <w:rPr>
          <w:rFonts w:ascii="Times New Roman" w:cs="Times New Roman" w:eastAsia="Times New Roman" w:hAnsi="Times New Roman"/>
          <w:sz w:val="18"/>
          <w:szCs w:val="18"/>
          <w:color w:val="auto"/>
        </w:rPr>
        <w:t>” means, with respect to any Redemption Date, the United States Treasury security selected by the Quotation Agent that would be utilized, at the time of selection and in accordance with customary financial practice, in pricing new issues of corporate debt securities of comparable maturity to the remaining term of the Debentures.</w:t>
      </w:r>
    </w:p>
    <w:p>
      <w:pPr>
        <w:spacing w:after="0" w:line="198"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Treasury Price</w:t>
      </w:r>
      <w:r>
        <w:rPr>
          <w:rFonts w:ascii="Times New Roman" w:cs="Times New Roman" w:eastAsia="Times New Roman" w:hAnsi="Times New Roman"/>
          <w:sz w:val="18"/>
          <w:szCs w:val="18"/>
          <w:color w:val="auto"/>
        </w:rPr>
        <w:t>” means, with respect to any Redemption Date, (1) the average of the Reference Treasury Dealer Quotations for such Redemption Date, after excluding the highest and lowest Reference Treasury Dealer Quotations, or (2) if the Quotation Agent obtains fewer than three Reference Treasury Dealer Quotations, the average of all such Reference Treasury Dealer Quotations, such average in any case to be determined by the Quotation Agent, or (3) if only one Reference Treasury Dealer Quotation is received, such Reference Treasury Dealer Quotation.</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Quotation Agent</w:t>
      </w:r>
      <w:r>
        <w:rPr>
          <w:rFonts w:ascii="Times New Roman" w:cs="Times New Roman" w:eastAsia="Times New Roman" w:hAnsi="Times New Roman"/>
          <w:sz w:val="18"/>
          <w:szCs w:val="18"/>
          <w:color w:val="auto"/>
        </w:rPr>
        <w:t>” means, with respect to any Redemption Date, the Reference Treasury Dealer appointed by the Company.</w:t>
      </w:r>
    </w:p>
    <w:p>
      <w:pPr>
        <w:spacing w:after="0" w:line="252"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w:t>
      </w:r>
      <w:r>
        <w:rPr>
          <w:rFonts w:ascii="Times New Roman" w:cs="Times New Roman" w:eastAsia="Times New Roman" w:hAnsi="Times New Roman"/>
          <w:sz w:val="18"/>
          <w:szCs w:val="18"/>
          <w:color w:val="auto"/>
        </w:rPr>
        <w:t>” means, with respect to any Redemption Date, each of (1) BofA Securities, Inc. and Citigroup Global Markets Inc. (or their respective affiliates that are primary U.S. Government securities dealers) and their respective successors; provided, however, that if any of them shall cease to be a primary U.S. Government securities dealer in the United States of America (a “</w:t>
      </w:r>
      <w:r>
        <w:rPr>
          <w:rFonts w:ascii="Times New Roman" w:cs="Times New Roman" w:eastAsia="Times New Roman" w:hAnsi="Times New Roman"/>
          <w:sz w:val="18"/>
          <w:szCs w:val="18"/>
          <w:b w:val="1"/>
          <w:bCs w:val="1"/>
          <w:color w:val="auto"/>
        </w:rPr>
        <w:t>Primary Treasury Dealer</w:t>
      </w:r>
      <w:r>
        <w:rPr>
          <w:rFonts w:ascii="Times New Roman" w:cs="Times New Roman" w:eastAsia="Times New Roman" w:hAnsi="Times New Roman"/>
          <w:sz w:val="18"/>
          <w:szCs w:val="18"/>
          <w:color w:val="auto"/>
        </w:rPr>
        <w:t>”), the Company shall substitute for it another Primary Treasury Dealer; and (2) any other Primary Treasury Dealer or Dealers selected by the Company.</w:t>
      </w:r>
    </w:p>
    <w:p>
      <w:pPr>
        <w:spacing w:after="0" w:line="204" w:lineRule="exact"/>
        <w:rPr>
          <w:sz w:val="20"/>
          <w:szCs w:val="20"/>
          <w:color w:val="auto"/>
        </w:rPr>
      </w:pPr>
    </w:p>
    <w:p>
      <w:pPr>
        <w:ind w:right="30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in The City of New York preceding such Redemption Date.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sent at least 10 days but not more than 60 days before the Redemption Date to each Holder of the Debentures to be redeemed, all as more fully provided in the Indenture. Unless the Company defaults in payment of the Redemption Price (or any accrued and unpaid interest on the Debentures or portions thereof to be redeemed), on and after the Redemption Date interest will cease to accrue on the Debentures or portions thereof called for redemption. If less than all of the Debentures are to be redeemed, the Debentures (or portions thereof) to be redeemed shall be selected, in the case of Global Notes, in accordance with the policies and procedures of the depository or, in the case of Definitive Notes, by the Trustee by such method as the Trustee shall deem fair and appropriate, all as more fully provided in the Indenture.</w:t>
      </w:r>
    </w:p>
    <w:p>
      <w:pPr>
        <w:spacing w:after="0" w:line="21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All notices of redemption shall state the Redemption Date, the Redemption Price (or, if not then ascertainable, the manner of calculation thereof), if fewer than all the Outstanding Debentures are to be redeemed, the identification (and, in the case of partial redemption, the principal amounts) of the particular Debentures to be redeemed, that on the Redemption Date the Redemption Price will become due and payable upon each Debenture, or portion thereof, to be redeemed, together with accrued and unpaid interest thereon, that interest on each Debenture, or portion thereof, called for redemption will cease to accrue on the Redemption Date and the place or places where Debentures may be surrendered for redemption.</w:t>
      </w:r>
    </w:p>
    <w:p>
      <w:pPr>
        <w:spacing w:after="0" w:line="21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redemption of this Debenture in part only, a new Debenture or Debentures of like tenor in an aggregate principal amount equal to and in exchange for the unredeemed portion of the principal amount hereof will be issued in authorized denominations in the name of the Holder hereof upon surrender hereof.</w:t>
      </w:r>
    </w:p>
    <w:p>
      <w:pPr>
        <w:spacing w:after="0" w:line="20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all purposes of this Debenture and the Indenture, unless the context otherwise requires, all provisions relating to the redemption by the Company of this Debenture shall relate, in the case that this Debenture is redeemed, or to be redeemed, by the Company only in part, to that portion of the principal amount of this Debenture that has been, or is to be, redeemed.</w:t>
      </w:r>
    </w:p>
    <w:p>
      <w:pPr>
        <w:spacing w:after="0" w:line="20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If an Event of Default with respect to the Debentures shall occur and be continuing, the principal of and accrued interest on the Debentures may be declared due and payable in the manner and with the effect provided in the Indenture.</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w:t>
      </w:r>
    </w:p>
    <w:p>
      <w:pPr>
        <w:spacing w:after="0" w:line="3" w:lineRule="exact"/>
        <w:rPr>
          <w:sz w:val="20"/>
          <w:szCs w:val="20"/>
          <w:color w:val="auto"/>
        </w:rPr>
      </w:pPr>
    </w:p>
    <w:p>
      <w:pPr>
        <w:ind w:firstLine="8"/>
        <w:spacing w:after="0" w:line="252"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Debenture shall be conclusive and binding upon such Holder and upon all future Holders of this Debenture and of any Debenture issued upon the registration of transfer hereof or in exchange herefor or in lieu hereof, whether or not notation of such consent or waiver is made upon this Debenture.</w:t>
      </w: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4" w:name="page75"/>
    <w:bookmarkEnd w:id="74"/>
    <w:p>
      <w:pPr>
        <w:ind w:firstLine="648"/>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Debenture, subject to the provisions for satisfaction and discharge in Article Four of the Indenture, shall alter or impair the obligation of the Company, which is absolute and unconditional, to pay the principal of and interest on this Debenture at the times, place and rate, and in the coin or currency, herein prescribed.</w:t>
      </w:r>
    </w:p>
    <w:p>
      <w:pPr>
        <w:spacing w:after="0" w:line="20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shall be permitted, by irrevocably depositing cash or U.S. Government Obligations, in amounts and maturities sufficient to pay and discharge at the Stated Maturity or Redemption Date, as the case may be, the entire indebtedness on all Outstanding Debentures that have become due and payable or will become due and payable within one year (or are scheduled for redemption within one year), with the Trustee in trust, solely for the benefit of the Holders of all Outstanding Debentures, to defease the Indenture with respect to such Debentures (subject to specified exceptions), and upon such deposit and satisfaction of the other conditions set forth in the Indenture, the Company shall be deemed to have paid and discharged its entire indebtedness on the Debentures.</w:t>
      </w:r>
    </w:p>
    <w:p>
      <w:pPr>
        <w:spacing w:after="0" w:line="21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 shall also be permitted to discharge, at any time, its obligations in respect of the Debentures (other than certain limited obligations, such as the obligation to transfer and exchange the Debentures) by (1)(a) delivering all of the outstanding Debentures to the Trustee to be cancelled or (b) depositing with the Trustee in trust funds or non-callable United States government or government-guaranteed obligations sufficient, without investment, to pay all remaining principal and interest on the Debentures and (2) complying with certain other provisions of the Indenture.</w:t>
      </w:r>
    </w:p>
    <w:p>
      <w:pPr>
        <w:spacing w:after="0" w:line="20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Debentures is registrable in the Security Register, upon surrender of a Debenture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Debentures of like tenor, of authorized denominations and for the same aggregate principal amount, will be issued to the designated transferee or transferees.</w:t>
      </w:r>
    </w:p>
    <w:p>
      <w:pPr>
        <w:spacing w:after="0" w:line="215"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5" w:name="page76"/>
    <w:bookmarkEnd w:id="75"/>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Debenture for registration of transfer, the Company, the Trustee and any agent of the Company or the Trustee may treat the Person in whose name this Debenture is registered as the owner hereof for all purposes, whether or not this Debenture be overdue, and neither the Company, the Trustee nor any such agent shall be affected by notice to the contrary.</w:t>
      </w:r>
    </w:p>
    <w:p>
      <w:pPr>
        <w:spacing w:after="0" w:line="203"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This Debenture shall be governed by and construed in accordance with the law of the State of New York (without regard to conflicts of laws principles thereof).</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All undefined terms (whether or not capitalized) used in this Debenture which are defined in the Indenture shall have the meanings assigned to them in the Indenture.</w:t>
      </w:r>
    </w:p>
    <w:p>
      <w:pPr>
        <w:spacing w:after="0" w:line="3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76" w:name="page77"/>
    <w:bookmarkEnd w:id="76"/>
    <w:p>
      <w:pPr>
        <w:jc w:val="center"/>
        <w:ind w:right="-37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Debenture, fill in the form below:</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or (we) assign and transfer this Debenture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Debenture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1316990</wp:posOffset>
            </wp:positionH>
            <wp:positionV relativeFrom="paragraph">
              <wp:posOffset>-127635</wp:posOffset>
            </wp:positionV>
            <wp:extent cx="593471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59347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3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618865"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-127635</wp:posOffset>
            </wp:positionV>
            <wp:extent cx="217805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appear(s) on the face of this Debenture)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*NOTICE: The signature must be guaranteed by an institution that is a member of one of the following recognized signature guarantee programs: (i) The Securities Transfer Agent Medallion Program (STAMP); (ii) The New York Stock Exchange Medallion Program (MNSP); (iii) The Stock Exchange Medallion Program (SEMP); or (iv) such other guarantee program acceptable to the Trustee.</w:t>
      </w:r>
    </w:p>
    <w:p>
      <w:pPr>
        <w:spacing w:after="0" w:line="3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121" w:right="6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t>SCHEDULE OF EXCHANGES OF INTERESTS IN THE GLOBAL NOTE</w:t>
      </w:r>
    </w:p>
    <w:p>
      <w:pPr>
        <w:spacing w:after="0" w:line="25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Amount of</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Authorized</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Decrease in</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Officer of</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Principal</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Trustee or</w:t>
            </w:r>
          </w:p>
        </w:tc>
      </w:tr>
      <w:tr>
        <w:trPr>
          <w:trHeight w:val="216"/>
        </w:trPr>
        <w:tc>
          <w:tcPr>
            <w:tcW w:w="21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Amount of this</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2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Date of Exchange</w:t>
            </w:r>
          </w:p>
        </w:tc>
        <w:tc>
          <w:tcPr>
            <w:tcW w:w="2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Global Note</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2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Custodian</w:t>
            </w:r>
          </w:p>
        </w:tc>
      </w:tr>
      <w:tr>
        <w:trPr>
          <w:trHeight w:val="598"/>
        </w:trPr>
        <w:tc>
          <w:tcPr>
            <w:tcW w:w="21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0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rPr>
              <w:t>11</w:t>
            </w:r>
          </w:p>
        </w:tc>
        <w:tc>
          <w:tcPr>
            <w:tcW w:w="252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98"/>
        </w:trPr>
        <w:tc>
          <w:tcPr>
            <w:tcW w:w="21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1" w:right="239" w:bottom="1440" w:gutter="0" w:footer="0" w:header="0"/>
        </w:sectPr>
      </w:pPr>
    </w:p>
    <w:bookmarkStart w:id="78" w:name="page79"/>
    <w:bookmarkEnd w:id="78"/>
    <w:p>
      <w:pPr>
        <w:ind w:left="104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4.9</w:t>
      </w:r>
    </w:p>
    <w:p>
      <w:pPr>
        <w:spacing w:after="0" w:line="24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00" w:type="dxa"/>
            <w:vAlign w:val="bottom"/>
          </w:tcPr>
          <w:p>
            <w:pPr>
              <w:spacing w:after="0"/>
              <w:rPr>
                <w:sz w:val="24"/>
                <w:szCs w:val="24"/>
                <w:color w:val="auto"/>
              </w:rPr>
            </w:pPr>
          </w:p>
        </w:tc>
        <w:tc>
          <w:tcPr>
            <w:tcW w:w="85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OCCIDENTAL PETROLEUM CORPORATION</w:t>
            </w:r>
          </w:p>
        </w:tc>
      </w:tr>
      <w:tr>
        <w:trPr>
          <w:trHeight w:val="486"/>
        </w:trPr>
        <w:tc>
          <w:tcPr>
            <w:tcW w:w="2900" w:type="dxa"/>
            <w:vAlign w:val="bottom"/>
          </w:tcPr>
          <w:p>
            <w:pPr>
              <w:spacing w:after="0"/>
              <w:rPr>
                <w:sz w:val="24"/>
                <w:szCs w:val="24"/>
                <w:color w:val="auto"/>
              </w:rPr>
            </w:pPr>
          </w:p>
        </w:tc>
        <w:tc>
          <w:tcPr>
            <w:tcW w:w="8520" w:type="dxa"/>
            <w:vAlign w:val="bottom"/>
          </w:tcPr>
          <w:p>
            <w:pPr>
              <w:ind w:left="1200"/>
              <w:spacing w:after="0"/>
              <w:rPr>
                <w:sz w:val="20"/>
                <w:szCs w:val="20"/>
                <w:color w:val="auto"/>
              </w:rPr>
            </w:pPr>
            <w:r>
              <w:rPr>
                <w:rFonts w:ascii="Times New Roman" w:cs="Times New Roman" w:eastAsia="Times New Roman" w:hAnsi="Times New Roman"/>
                <w:sz w:val="22"/>
                <w:szCs w:val="22"/>
                <w:b w:val="1"/>
                <w:bCs w:val="1"/>
                <w:color w:val="auto"/>
              </w:rPr>
              <w:t>7.150% DEBENTURES DUE 2028</w:t>
            </w: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59"/>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CUSIP: 674599 DR3</w:t>
            </w:r>
          </w:p>
        </w:tc>
        <w:tc>
          <w:tcPr>
            <w:tcW w:w="852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ISIN: US674599DR39</w:t>
            </w:r>
          </w:p>
        </w:tc>
        <w:tc>
          <w:tcPr>
            <w:tcW w:w="8520" w:type="dxa"/>
            <w:vAlign w:val="bottom"/>
          </w:tcPr>
          <w:p>
            <w:pPr>
              <w:spacing w:after="0"/>
              <w:rPr>
                <w:sz w:val="24"/>
                <w:szCs w:val="24"/>
                <w:color w:val="auto"/>
              </w:rPr>
            </w:pP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May 15, 2028</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7.150% per annum</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May 15 and November 15, commencing November 15,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April 30 and October 31</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29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79" w:name="page80"/>
    <w:bookmarkEnd w:id="79"/>
    <w:p>
      <w:pPr>
        <w:ind w:firstLine="648"/>
        <w:spacing w:after="0" w:line="242" w:lineRule="auto"/>
        <w:rPr>
          <w:sz w:val="20"/>
          <w:szCs w:val="20"/>
          <w:color w:val="auto"/>
        </w:rPr>
      </w:pPr>
      <w:r>
        <w:rPr>
          <w:rFonts w:ascii="Times New Roman" w:cs="Times New Roman" w:eastAsia="Times New Roman" w:hAnsi="Times New Roman"/>
          <w:sz w:val="21"/>
          <w:szCs w:val="21"/>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(unless and to the extent earlier redeemed prior to such Maturity Date) and to pay interest thereon from May 15, 2019 or from the most recent Interest Payment Date to which interest has been paid or duly provided for, semi-annually in arrears on May 15 and November 15 in each year, commencing on November 15, 2019, at the rate per annum specified above, until the principal hereof is paid or made available for payment. Interest on this Debenture will be computed on the basis of a 360-day year comprised of twelve 30-day months. Interest payments for this Debenture will include interest accrued to but excluding each Interest Payment Date. The interest so payable, and punctually paid or duly provided for, on any Interest Payment Date will, as provided in the Indenture, be paid to the Person in whose name this Debenture (or one or more Predecessor Securities) is registered at the close of business on the Regular Record Date, which shall be the April 30 or October 31 (whether or not a Business Day), as the case may be, immediately preceding such Interest Payment Date. If any Interest Payment Date or Maturity with respect to this Debenture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Debenture (or one or more Predecessor Securities) is registered at the close of business on a Special Record Date for the payment of such Defaulted Interest to be fixed by the Trustee (as defined below), notice of which will be given to Holders of Debentures not less than 10 days prior to such Special Record Date, or (2) be paid at any time in any other lawful manner not inconsistent with the requirements of any securities exchange on which the Debentures may be listed, and upon such notice as may be required by such exchange, all as more fully provided in the Indenture. Payment of the principal of and interest on this Debenture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00" w:lineRule="exact"/>
        <w:rPr>
          <w:sz w:val="20"/>
          <w:szCs w:val="20"/>
          <w:color w:val="auto"/>
        </w:rPr>
      </w:pPr>
    </w:p>
    <w:p>
      <w:pPr>
        <w:spacing w:after="0" w:line="2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Debenture set forth below, which further provisions shall for all purposes have the same effect as if set forth at this place.</w:t>
      </w:r>
    </w:p>
    <w:p>
      <w:pPr>
        <w:spacing w:after="0" w:line="18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or its duly appointed co-authenticating agent by manual signature, this Debenture shall not be entitled to any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80" w:name="page81"/>
    <w:bookmarkEnd w:id="80"/>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OCCIDENTAL PETROLEUM CORPORATION has caused this Debenture to be signed by the signature of its Chairman of the Board, its President, a Vice President, its Treasurer or an Assistant Treasurer.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sectPr>
      </w:pPr>
    </w:p>
    <w:bookmarkStart w:id="81" w:name="page82"/>
    <w:bookmarkEnd w:id="81"/>
    <w:p>
      <w:pPr>
        <w:ind w:left="3320"/>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 mentioned Indenture.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82" w:name="page83"/>
    <w:bookmarkEnd w:id="82"/>
    <w:p>
      <w:pPr>
        <w:ind w:firstLine="648"/>
        <w:spacing w:after="0" w:line="241" w:lineRule="auto"/>
        <w:rPr>
          <w:sz w:val="20"/>
          <w:szCs w:val="20"/>
          <w:color w:val="auto"/>
        </w:rPr>
      </w:pPr>
      <w:r>
        <w:rPr>
          <w:rFonts w:ascii="Times New Roman" w:cs="Times New Roman" w:eastAsia="Times New Roman" w:hAnsi="Times New Roman"/>
          <w:sz w:val="22"/>
          <w:szCs w:val="22"/>
          <w:color w:val="auto"/>
        </w:rPr>
        <w:t>This Debenture is one of a duly authorized issue of securities (herein called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xml:space="preserve">”) of the Company, issued and to be issued pursuant to the Indenture (as defined below). This Debenture is one of a series designated by the Company as its 7.150% Debentures due 2028 (the </w:t>
      </w:r>
      <w:r>
        <w:rPr>
          <w:rFonts w:ascii="Times New Roman" w:cs="Times New Roman" w:eastAsia="Times New Roman" w:hAnsi="Times New Roman"/>
          <w:sz w:val="22"/>
          <w:szCs w:val="22"/>
          <w:b w:val="1"/>
          <w:bCs w:val="1"/>
          <w:color w:val="auto"/>
        </w:rPr>
        <w:t>“Debentures”</w:t>
      </w:r>
      <w:r>
        <w:rPr>
          <w:rFonts w:ascii="Times New Roman" w:cs="Times New Roman" w:eastAsia="Times New Roman" w:hAnsi="Times New Roman"/>
          <w:sz w:val="22"/>
          <w:szCs w:val="22"/>
          <w:color w:val="auto"/>
        </w:rPr>
        <w:t>), limited in initial aggregate principal amount to $[ ]. The Indenture does not limit the aggregate principal amount of the Securities.</w:t>
      </w:r>
    </w:p>
    <w:p>
      <w:pPr>
        <w:spacing w:after="0" w:line="200"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22"/>
          <w:szCs w:val="22"/>
          <w:color w:val="auto"/>
        </w:rPr>
        <w:t>The Company issued this Debenture pursuant to an Indenture, dated as of August 8, 2019 (herein called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which term, for the purpose of this Debenture,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Debentures and of the terms upon which the Debentures are, and are to be, authenticated and delivered.</w:t>
      </w:r>
    </w:p>
    <w:p>
      <w:pPr>
        <w:spacing w:after="0" w:line="207"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The Debentures are issuable in denominations of $1,000 and any amount in excess thereof which is an integral multiple of $1,000. As provided in the Indenture and subject to certain limitations therein set forth, the Debentures are exchangeable for a like aggregate principal amount of Debentures of like tenor of any authorized denomination, as requested by the Holder surrendering the same, upon surrender of the Debenture or Debentures to be exchanged at any office or agency described below where Debentures may be presented for registration of transfer.</w:t>
      </w:r>
    </w:p>
    <w:p>
      <w:pPr>
        <w:spacing w:after="0" w:line="204" w:lineRule="exact"/>
        <w:rPr>
          <w:sz w:val="20"/>
          <w:szCs w:val="20"/>
          <w:color w:val="auto"/>
        </w:rPr>
      </w:pPr>
    </w:p>
    <w:p>
      <w:pPr>
        <w:ind w:right="720" w:firstLine="648"/>
        <w:spacing w:after="0" w:line="258" w:lineRule="auto"/>
        <w:rPr>
          <w:sz w:val="20"/>
          <w:szCs w:val="20"/>
          <w:color w:val="auto"/>
        </w:rPr>
      </w:pPr>
      <w:r>
        <w:rPr>
          <w:rFonts w:ascii="Times New Roman" w:cs="Times New Roman" w:eastAsia="Times New Roman" w:hAnsi="Times New Roman"/>
          <w:sz w:val="22"/>
          <w:szCs w:val="22"/>
          <w:color w:val="auto"/>
        </w:rPr>
        <w:t>The Company may, from time to time, without notice to or the consent of the Holders of the Debentures, reopen the Debentures and issue additional Debentures.</w:t>
      </w:r>
    </w:p>
    <w:p>
      <w:pPr>
        <w:spacing w:after="0" w:line="18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Debentures are redeemable, in whole at any time or in part from time to time prior to final maturity, at the option of the Company at a Redemption Price equal to the greater of (i) 100% of the principal amount of the Debentures to be redeemed and (ii) as determined by the Quotation Agent, the sum of the present values of the remaining scheduled payments of principal and interest on the Debentures to be redeemed through the final maturity (not including any portion of such payments of interest accrued to, but not including, the Redemption Date) discounted to the Redemption Date on a semi-annual basis (assuming a 360-day year comprised of twelve 30-day months) at the Treasury Rate (as defined herein) plus 25 basis points plus, in each case, accrued and unpaid interest on the principal amount of the Debentures being redeemed to, but not including, the Redemption Date. Notwithstanding the foregoing, installments of interest whose Stated Maturity is on or prior to the relevant Redemption Date shall be payable to the Holders of the Debentures, or one or more Predecessor Securities, of record at the close of business on the relevant Regular Record Dates according to their terms and the provisions of the Indenture.</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83" w:name="page84"/>
    <w:bookmarkEnd w:id="83"/>
    <w:p>
      <w:pPr>
        <w:ind w:right="20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Rate</w:t>
      </w:r>
      <w:r>
        <w:rPr>
          <w:rFonts w:ascii="Times New Roman" w:cs="Times New Roman" w:eastAsia="Times New Roman" w:hAnsi="Times New Roman"/>
          <w:sz w:val="22"/>
          <w:szCs w:val="22"/>
          <w:color w:val="auto"/>
        </w:rPr>
        <w:t>” means, with respect to any Redemption Date, the rate per annum, as determined by the Quotation Agent equal to:</w:t>
      </w:r>
    </w:p>
    <w:p>
      <w:pPr>
        <w:spacing w:after="0" w:line="191" w:lineRule="exact"/>
        <w:rPr>
          <w:sz w:val="20"/>
          <w:szCs w:val="20"/>
          <w:color w:val="auto"/>
        </w:rPr>
      </w:pPr>
    </w:p>
    <w:p>
      <w:pPr>
        <w:jc w:val="both"/>
        <w:ind w:left="660" w:hanging="328"/>
        <w:spacing w:after="0" w:line="255"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provided that if no maturity is within three months before or after the remaining term of the Debentures to be redeemed, yields for the two published maturities most closely corresponding to the Comparable Treasury Issue will be determined and the Treasury Rate will be interpolated or extrapolated from those yields on a straight-line basis rounding to the nearest month; or</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that Redemption Date.</w:t>
      </w:r>
    </w:p>
    <w:p>
      <w:pPr>
        <w:spacing w:after="0" w:line="194" w:lineRule="exact"/>
        <w:rPr>
          <w:sz w:val="20"/>
          <w:szCs w:val="20"/>
          <w:color w:val="auto"/>
        </w:rPr>
      </w:pPr>
    </w:p>
    <w:p>
      <w:pPr>
        <w:ind w:right="1040" w:firstLine="648"/>
        <w:spacing w:after="0" w:line="258" w:lineRule="auto"/>
        <w:rPr>
          <w:sz w:val="20"/>
          <w:szCs w:val="20"/>
          <w:color w:val="auto"/>
        </w:rPr>
      </w:pPr>
      <w:r>
        <w:rPr>
          <w:rFonts w:ascii="Times New Roman" w:cs="Times New Roman" w:eastAsia="Times New Roman" w:hAnsi="Times New Roman"/>
          <w:sz w:val="22"/>
          <w:szCs w:val="22"/>
          <w:color w:val="auto"/>
        </w:rPr>
        <w:t>The Treasury Rate will be calculated at 5:00 p.m. (New York City time) on the third Business Day preceding the Redemption Date by the Quotation Agent.</w:t>
      </w:r>
    </w:p>
    <w:p>
      <w:pPr>
        <w:spacing w:after="0" w:line="181"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Issue</w:t>
      </w:r>
      <w:r>
        <w:rPr>
          <w:rFonts w:ascii="Times New Roman" w:cs="Times New Roman" w:eastAsia="Times New Roman" w:hAnsi="Times New Roman"/>
          <w:sz w:val="22"/>
          <w:szCs w:val="22"/>
          <w:color w:val="auto"/>
        </w:rPr>
        <w:t>” means, with respect to any Redemption Date, the United States Treasury security selected by the Quotation Agent that would be utilized, at the time of selection and in accordance with customary financial practice, in pricing new issues of corporate debt securities of comparable maturity to the remaining term of the Debentures.</w:t>
      </w:r>
    </w:p>
    <w:p>
      <w:pPr>
        <w:spacing w:after="0" w:line="194"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Price</w:t>
      </w:r>
      <w:r>
        <w:rPr>
          <w:rFonts w:ascii="Times New Roman" w:cs="Times New Roman" w:eastAsia="Times New Roman" w:hAnsi="Times New Roman"/>
          <w:sz w:val="22"/>
          <w:szCs w:val="22"/>
          <w:color w:val="auto"/>
        </w:rPr>
        <w:t>” means, with respect to any Redemption Date, (1) the average of the Reference Treasury Dealer Quotations for such Redemption Date, after excluding the highest and lowest Reference Treasury Dealer Quotations, or (2) if the Quotation Agent obtains fewer than three Reference Treasury Dealer Quotations, the average of all such Reference Treasury Dealer Quotations, such average in any case to be determined by the Quotation Agent, or (3) if only one Reference Treasury Dealer Quotation is received, such Reference Treasury Dealer Quotation.</w:t>
      </w:r>
    </w:p>
    <w:p>
      <w:pPr>
        <w:spacing w:after="0" w:line="204" w:lineRule="exact"/>
        <w:rPr>
          <w:sz w:val="20"/>
          <w:szCs w:val="20"/>
          <w:color w:val="auto"/>
        </w:rPr>
      </w:pPr>
    </w:p>
    <w:p>
      <w:pPr>
        <w:ind w:right="8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Quotation Agent</w:t>
      </w:r>
      <w:r>
        <w:rPr>
          <w:rFonts w:ascii="Times New Roman" w:cs="Times New Roman" w:eastAsia="Times New Roman" w:hAnsi="Times New Roman"/>
          <w:sz w:val="22"/>
          <w:szCs w:val="22"/>
          <w:color w:val="auto"/>
        </w:rPr>
        <w:t>” means, with respect to any Redemption Date, the Reference Treasury Dealer appointed by the Company.</w:t>
      </w:r>
    </w:p>
    <w:p>
      <w:pPr>
        <w:spacing w:after="0" w:line="17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Treasury Dealer</w:t>
      </w:r>
      <w:r>
        <w:rPr>
          <w:rFonts w:ascii="Times New Roman" w:cs="Times New Roman" w:eastAsia="Times New Roman" w:hAnsi="Times New Roman"/>
          <w:sz w:val="22"/>
          <w:szCs w:val="22"/>
          <w:color w:val="auto"/>
        </w:rPr>
        <w:t>” means, with respect to any Redemption Date, each of (1) BofA Securities, Inc. and Citigroup Global Markets Inc. (or their respective affiliates that are primary U.S. Government securities dealers) and their respective successors; provided, however, that if any of them shall cease to be a primary U.S. Government securities dealer in the United States of America (a “</w:t>
      </w:r>
      <w:r>
        <w:rPr>
          <w:rFonts w:ascii="Times New Roman" w:cs="Times New Roman" w:eastAsia="Times New Roman" w:hAnsi="Times New Roman"/>
          <w:sz w:val="22"/>
          <w:szCs w:val="22"/>
          <w:b w:val="1"/>
          <w:bCs w:val="1"/>
          <w:color w:val="auto"/>
        </w:rPr>
        <w:t>Primary Treasury Dealer</w:t>
      </w:r>
      <w:r>
        <w:rPr>
          <w:rFonts w:ascii="Times New Roman" w:cs="Times New Roman" w:eastAsia="Times New Roman" w:hAnsi="Times New Roman"/>
          <w:sz w:val="22"/>
          <w:szCs w:val="22"/>
          <w:color w:val="auto"/>
        </w:rPr>
        <w:t>”), the Company shall substitute for it another Primary Treasury Dealer; and (2) any other Primary Treasury Dealer or Dealers selected by the Company.</w:t>
      </w:r>
    </w:p>
    <w:p>
      <w:pPr>
        <w:spacing w:after="0" w:line="20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Reference Treasury Dealer Quotations</w:t>
      </w:r>
      <w:r>
        <w:rPr>
          <w:rFonts w:ascii="Times New Roman" w:cs="Times New Roman" w:eastAsia="Times New Roman" w:hAnsi="Times New Roman"/>
          <w:sz w:val="21"/>
          <w:szCs w:val="21"/>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in The City of New York preceding such Redemption Date.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4" w:name="page85"/>
    <w:bookmarkEnd w:id="84"/>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Notice of any redemption will be sent at least 10 days but not more than 60 days before the Redemption Date to each Holder of the Debentures to be redeemed, all as more fully provided in the Indenture. Unless the Company defaults in payment of the Redemption Price (or any accrued and unpaid interest on the Debentures or portions thereof to be redeemed), on and after the Redemption Date interest will cease to accrue on the Debentures or portions thereof called for redemption. If less than all of the Debentures are to be redeemed, the Debentures (or portions thereof) to be redeemed shall be selected, in the case of Global Notes, in accordance with the policies and procedures of the depository or, in the case of Definitive Notes, by the Trustee by such method as the Trustee shall deem fair and appropriate, all as more fully provided in the Indenture.</w:t>
      </w:r>
    </w:p>
    <w:p>
      <w:pPr>
        <w:spacing w:after="0" w:line="204"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22"/>
          <w:szCs w:val="22"/>
          <w:color w:val="auto"/>
        </w:rPr>
        <w:t>All notices of redemption shall state the Redemption Date, the Redemption Price (or, if not then ascertainable, the manner of calculation thereof), if fewer than all the Outstanding Debentures are to be redeemed, the identification (and, in the case of partial redemption, the principal amounts) of the particular Debentures to be redeemed, that on the Redemption Date the Redemption Price will become due and payable upon each Debenture, or portion thereof, to be redeemed, together with accrued and unpaid interest thereon, that interest on each Debenture, or portion thereof, called for redemption will cease to accrue on the Redemption Date and the place or places where Debentures may be surrendered for redemption.</w:t>
      </w:r>
    </w:p>
    <w:p>
      <w:pPr>
        <w:spacing w:after="0" w:line="209"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In the event of redemption of this Debenture in part only, a new Debenture or Debentures of like tenor in an aggregate principal amount equal to and in exchange for the unredeemed portion of the principal amount hereof will be issued in authorized denominations in the name of the Holder hereof upon surrender hereof.</w:t>
      </w:r>
    </w:p>
    <w:p>
      <w:pPr>
        <w:spacing w:after="0" w:line="201"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auto"/>
        </w:rPr>
        <w:t>For all purposes of this Debenture and the Indenture, unless the context otherwise requires, all provisions relating to the redemption by the Company of this Debenture shall relate, in the case that this Debenture is redeemed, or to be redeemed, by the Company only in part, to that portion of the principal amount of this Debenture that has been, or is to be, redeemed.</w:t>
      </w:r>
    </w:p>
    <w:p>
      <w:pPr>
        <w:spacing w:after="0" w:line="20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If an Event of Default with respect to the Debentures shall occur and be continuing, the principal of and accrued interest on the Debentures may be declared due and payable in the manner and with the effect provided in the Indenture.</w:t>
      </w:r>
    </w:p>
    <w:p>
      <w:pPr>
        <w:spacing w:after="0" w:line="185"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 (ii) 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Debenture shall be conclusive and binding upon such Holder and upon all future Holders of this Debenture and of any Debenture issued upon the registration of transfer hereof or in exchange herefor or in lieu hereof, whether or not notation of such consent or waiver is made upon this Debenture.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85" w:name="page86"/>
    <w:bookmarkEnd w:id="85"/>
    <w:p>
      <w:pPr>
        <w:ind w:right="60" w:firstLine="648"/>
        <w:spacing w:after="0" w:line="262" w:lineRule="auto"/>
        <w:rPr>
          <w:sz w:val="20"/>
          <w:szCs w:val="20"/>
          <w:color w:val="auto"/>
        </w:rPr>
      </w:pPr>
      <w:r>
        <w:rPr>
          <w:rFonts w:ascii="Times New Roman" w:cs="Times New Roman" w:eastAsia="Times New Roman" w:hAnsi="Times New Roman"/>
          <w:sz w:val="21"/>
          <w:szCs w:val="21"/>
          <w:color w:val="auto"/>
        </w:rPr>
        <w:t>No reference herein to the Indenture and no provision of this Debenture, subject to the provisions for satisfaction and discharge in Article Four of the Indenture, shall alter or impair the obligation of the Company, which is absolute and unconditional, to pay the principal of and interest on this Debenture at the times, place and rate, and in the coin or currency, herein prescribed.</w:t>
      </w:r>
    </w:p>
    <w:p>
      <w:pPr>
        <w:spacing w:after="0" w:line="182"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The Company shall be permitted, by irrevocably depositing cash or U.S. Government Obligations, in amounts and maturities sufficient to pay and discharge at the Stated Maturity or Redemption Date, as the case may be, the entire indebtedness on all Outstanding Debentures that have become due and payable or will become due and payable within one year (or are scheduled for redemption within one year), with the Trustee in trust, solely for the benefit of the Holders of all Outstanding Debentures, to defease the Indenture with respect to such Debentures (subject to specified exceptions), and upon such deposit and satisfaction of the other conditions set forth in the Indenture, the Company shall be deemed to have paid and discharged its entire indebtedness on the Debentures.</w:t>
      </w:r>
    </w:p>
    <w:p>
      <w:pPr>
        <w:spacing w:after="0" w:line="211"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The Company shall also be permitted to discharge, at any time, its obligations in respect of the Debentures (other than certain limited obligations, such as the obligation to transfer and exchange the Debentures) by (1)(a) delivering all of the outstanding Debentures to the Trustee to be cancelled or (b) depositing with the Trustee in trust funds or non-callable United States government or government-guaranteed obligations sufficient, without investment, to pay all remaining principal and interest on the Debentures and (2) complying with certain other provisions of the Indenture.</w:t>
      </w:r>
    </w:p>
    <w:p>
      <w:pPr>
        <w:spacing w:after="0" w:line="20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therein set forth, the transfer of Debentures is registrable in the Security Register, upon surrender of a Debenture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Debentures of like tenor, of authorized denominations and for the same aggregate principal amount, will be issued to the designated transferee or transferees.</w:t>
      </w:r>
    </w:p>
    <w:p>
      <w:pPr>
        <w:spacing w:after="0" w:line="211"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1"/>
          <w:szCs w:val="21"/>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6" w:name="page87"/>
    <w:bookmarkEnd w:id="86"/>
    <w:p>
      <w:pPr>
        <w:ind w:right="160" w:firstLine="648"/>
        <w:spacing w:after="0"/>
        <w:rPr>
          <w:sz w:val="20"/>
          <w:szCs w:val="20"/>
          <w:color w:val="auto"/>
        </w:rPr>
      </w:pPr>
      <w:r>
        <w:rPr>
          <w:rFonts w:ascii="Times New Roman" w:cs="Times New Roman" w:eastAsia="Times New Roman" w:hAnsi="Times New Roman"/>
          <w:sz w:val="22"/>
          <w:szCs w:val="22"/>
          <w:color w:val="auto"/>
        </w:rPr>
        <w:t>Prior to due presentment of this Debenture for registration of transfer, the Company, the Trustee and any agent of the Company or the Trustee may treat the Person in whose name this Debenture is registered as the owner hereof for all purposes, whether or not this Debenture be overdue, and neither the Company, the Trustee nor any such agent shall be affected by notice to the contrary.</w:t>
      </w:r>
    </w:p>
    <w:p>
      <w:pPr>
        <w:spacing w:after="0" w:line="20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This Debenture shall be governed by and construed in accordance with the law of the State of New York (without regard to conflicts of laws principles thereof).</w:t>
      </w:r>
    </w:p>
    <w:p>
      <w:pPr>
        <w:spacing w:after="0" w:line="185"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All undefined terms (whether or not capitalized) used in this Debenture which are defined in the Indenture shall have the meanings assigned to them in the Indenture.</w:t>
      </w:r>
    </w:p>
    <w:p>
      <w:pPr>
        <w:spacing w:after="0" w:line="3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2" w:right="339" w:bottom="1440" w:gutter="0" w:footer="0" w:header="0"/>
        </w:sectPr>
      </w:pPr>
    </w:p>
    <w:bookmarkStart w:id="87" w:name="page88"/>
    <w:bookmarkEnd w:id="87"/>
    <w:p>
      <w:pPr>
        <w:ind w:left="468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assign this Debenture, fill in the form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or (we) assign and transfer this Debenture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Debenture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-127635</wp:posOffset>
            </wp:positionV>
            <wp:extent cx="579755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53873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311277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appear(s) on the face of this Debenture)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The signature must be guaranteed by an institution that is a member of one of the following recognized signature</w:t>
      </w:r>
    </w:p>
    <w:p>
      <w:pPr>
        <w:spacing w:after="0" w:line="26" w:lineRule="exact"/>
        <w:rPr>
          <w:sz w:val="20"/>
          <w:szCs w:val="20"/>
          <w:color w:val="auto"/>
        </w:rPr>
      </w:pPr>
    </w:p>
    <w:p>
      <w:pPr>
        <w:jc w:val="both"/>
        <w:ind w:right="220"/>
        <w:spacing w:after="0" w:line="235" w:lineRule="auto"/>
        <w:rPr>
          <w:sz w:val="20"/>
          <w:szCs w:val="20"/>
          <w:color w:val="auto"/>
        </w:rPr>
      </w:pPr>
      <w:r>
        <w:rPr>
          <w:rFonts w:ascii="Times New Roman" w:cs="Times New Roman" w:eastAsia="Times New Roman" w:hAnsi="Times New Roman"/>
          <w:sz w:val="22"/>
          <w:szCs w:val="22"/>
          <w:color w:val="auto"/>
        </w:rPr>
        <w:t>guarantee programs: (i) The Securities Transfer Agent Medallion Program (STAMP); (ii) The New York Stock Exchange Medallion Program (MNSP); (iii) The Stock Exchange Medallion Program (SEMP); or (iv) such other guarantee program acceptable to the Trustee.</w:t>
      </w:r>
    </w:p>
    <w:p>
      <w:pPr>
        <w:spacing w:after="0" w:line="3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12" w:right="87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83"/>
        </w:trPr>
        <w:tc>
          <w:tcPr>
            <w:tcW w:w="1980" w:type="dxa"/>
            <w:vAlign w:val="bottom"/>
          </w:tcPr>
          <w:p>
            <w:pPr>
              <w:spacing w:after="0"/>
              <w:rPr>
                <w:sz w:val="24"/>
                <w:szCs w:val="24"/>
                <w:color w:val="auto"/>
              </w:rPr>
            </w:pPr>
          </w:p>
        </w:tc>
        <w:tc>
          <w:tcPr>
            <w:tcW w:w="744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8"/>
              </w:rPr>
              <w:t>SCHEDULE OF EXCHANGES OF INTERESTS IN THE GLOBAL NOTE</w:t>
            </w:r>
          </w:p>
        </w:tc>
        <w:tc>
          <w:tcPr>
            <w:tcW w:w="2000" w:type="dxa"/>
            <w:vAlign w:val="bottom"/>
          </w:tcPr>
          <w:p>
            <w:pPr>
              <w:spacing w:after="0"/>
              <w:rPr>
                <w:sz w:val="24"/>
                <w:szCs w:val="24"/>
                <w:color w:val="auto"/>
              </w:rPr>
            </w:pPr>
          </w:p>
        </w:tc>
      </w:tr>
      <w:tr>
        <w:trPr>
          <w:trHeight w:val="447"/>
        </w:trPr>
        <w:tc>
          <w:tcPr>
            <w:tcW w:w="644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The initial outstanding principal amount of this Global Note is $</w:t>
            </w:r>
          </w:p>
        </w:tc>
        <w:tc>
          <w:tcPr>
            <w:tcW w:w="498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w w:val="99"/>
              </w:rPr>
              <w:t>. The following exchanges of an interest in this Global</w:t>
            </w:r>
          </w:p>
        </w:tc>
      </w:tr>
      <w:tr>
        <w:trPr>
          <w:trHeight w:val="243"/>
        </w:trPr>
        <w:tc>
          <w:tcPr>
            <w:tcW w:w="11420" w:type="dxa"/>
            <w:vAlign w:val="bottom"/>
            <w:gridSpan w:val="5"/>
          </w:tcPr>
          <w:p>
            <w:pPr>
              <w:spacing w:after="0" w:line="243" w:lineRule="exact"/>
              <w:rPr>
                <w:sz w:val="20"/>
                <w:szCs w:val="20"/>
                <w:color w:val="auto"/>
              </w:rPr>
            </w:pPr>
            <w:r>
              <w:rPr>
                <w:rFonts w:ascii="Times New Roman" w:cs="Times New Roman" w:eastAsia="Times New Roman" w:hAnsi="Times New Roman"/>
                <w:sz w:val="22"/>
                <w:szCs w:val="22"/>
                <w:color w:val="auto"/>
              </w:rPr>
              <w:t>Note for an interest in another Global Note or for a Definitive Note, or exchanges of an interest in another Global Note or</w:t>
            </w:r>
          </w:p>
        </w:tc>
      </w:tr>
      <w:tr>
        <w:trPr>
          <w:trHeight w:val="283"/>
        </w:trPr>
        <w:tc>
          <w:tcPr>
            <w:tcW w:w="64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Definitive Notes for an interest in this Global Note, have been made:</w:t>
            </w:r>
          </w:p>
        </w:tc>
        <w:tc>
          <w:tcPr>
            <w:tcW w:w="29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29"/>
        </w:trPr>
        <w:tc>
          <w:tcPr>
            <w:tcW w:w="1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1980" w:type="dxa"/>
            <w:vAlign w:val="bottom"/>
          </w:tcPr>
          <w:p>
            <w:pPr>
              <w:spacing w:after="0"/>
              <w:rPr>
                <w:sz w:val="18"/>
                <w:szCs w:val="18"/>
                <w:color w:val="auto"/>
              </w:rPr>
            </w:pPr>
          </w:p>
        </w:tc>
        <w:tc>
          <w:tcPr>
            <w:tcW w:w="2260" w:type="dxa"/>
            <w:vAlign w:val="bottom"/>
          </w:tcPr>
          <w:p>
            <w:pPr>
              <w:jc w:val="center"/>
              <w:ind w:right="27"/>
              <w:spacing w:after="0"/>
              <w:rPr>
                <w:sz w:val="20"/>
                <w:szCs w:val="20"/>
                <w:color w:val="auto"/>
              </w:rPr>
            </w:pPr>
            <w:r>
              <w:rPr>
                <w:rFonts w:ascii="Times New Roman" w:cs="Times New Roman" w:eastAsia="Times New Roman" w:hAnsi="Times New Roman"/>
                <w:sz w:val="18"/>
                <w:szCs w:val="18"/>
                <w:color w:val="auto"/>
                <w:w w:val="99"/>
              </w:rPr>
              <w:t>Amount of</w:t>
            </w:r>
          </w:p>
        </w:tc>
        <w:tc>
          <w:tcPr>
            <w:tcW w:w="220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w w:val="99"/>
              </w:rPr>
              <w:t>Amount of</w:t>
            </w:r>
          </w:p>
        </w:tc>
        <w:tc>
          <w:tcPr>
            <w:tcW w:w="2980" w:type="dxa"/>
            <w:vAlign w:val="bottom"/>
          </w:tcPr>
          <w:p>
            <w:pPr>
              <w:jc w:val="center"/>
              <w:ind w:right="87"/>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0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Authorized</w:t>
            </w:r>
          </w:p>
        </w:tc>
      </w:tr>
      <w:tr>
        <w:trPr>
          <w:trHeight w:val="216"/>
        </w:trPr>
        <w:tc>
          <w:tcPr>
            <w:tcW w:w="1980" w:type="dxa"/>
            <w:vAlign w:val="bottom"/>
          </w:tcPr>
          <w:p>
            <w:pPr>
              <w:spacing w:after="0"/>
              <w:rPr>
                <w:sz w:val="18"/>
                <w:szCs w:val="18"/>
                <w:color w:val="auto"/>
              </w:rPr>
            </w:pPr>
          </w:p>
        </w:tc>
        <w:tc>
          <w:tcPr>
            <w:tcW w:w="2260" w:type="dxa"/>
            <w:vAlign w:val="bottom"/>
          </w:tcPr>
          <w:p>
            <w:pPr>
              <w:jc w:val="center"/>
              <w:ind w:right="7"/>
              <w:spacing w:after="0"/>
              <w:rPr>
                <w:sz w:val="20"/>
                <w:szCs w:val="20"/>
                <w:color w:val="auto"/>
              </w:rPr>
            </w:pPr>
            <w:r>
              <w:rPr>
                <w:rFonts w:ascii="Times New Roman" w:cs="Times New Roman" w:eastAsia="Times New Roman" w:hAnsi="Times New Roman"/>
                <w:sz w:val="18"/>
                <w:szCs w:val="18"/>
                <w:color w:val="auto"/>
                <w:w w:val="99"/>
              </w:rPr>
              <w:t>Decrease in</w:t>
            </w:r>
          </w:p>
        </w:tc>
        <w:tc>
          <w:tcPr>
            <w:tcW w:w="220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w w:val="99"/>
              </w:rPr>
              <w:t>Increase in</w:t>
            </w:r>
          </w:p>
        </w:tc>
        <w:tc>
          <w:tcPr>
            <w:tcW w:w="2980" w:type="dxa"/>
            <w:vAlign w:val="bottom"/>
          </w:tcPr>
          <w:p>
            <w:pPr>
              <w:jc w:val="center"/>
              <w:ind w:right="107"/>
              <w:spacing w:after="0"/>
              <w:rPr>
                <w:sz w:val="20"/>
                <w:szCs w:val="20"/>
                <w:color w:val="auto"/>
              </w:rPr>
            </w:pPr>
            <w:r>
              <w:rPr>
                <w:rFonts w:ascii="Times New Roman" w:cs="Times New Roman" w:eastAsia="Times New Roman" w:hAnsi="Times New Roman"/>
                <w:sz w:val="18"/>
                <w:szCs w:val="18"/>
                <w:color w:val="auto"/>
                <w:w w:val="98"/>
              </w:rPr>
              <w:t>of this Global</w:t>
            </w:r>
          </w:p>
        </w:tc>
        <w:tc>
          <w:tcPr>
            <w:tcW w:w="20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Officer of</w:t>
            </w:r>
          </w:p>
        </w:tc>
      </w:tr>
      <w:tr>
        <w:trPr>
          <w:trHeight w:val="216"/>
        </w:trPr>
        <w:tc>
          <w:tcPr>
            <w:tcW w:w="1980" w:type="dxa"/>
            <w:vAlign w:val="bottom"/>
          </w:tcPr>
          <w:p>
            <w:pPr>
              <w:spacing w:after="0"/>
              <w:rPr>
                <w:sz w:val="18"/>
                <w:szCs w:val="18"/>
                <w:color w:val="auto"/>
              </w:rPr>
            </w:pPr>
          </w:p>
        </w:tc>
        <w:tc>
          <w:tcPr>
            <w:tcW w:w="2260" w:type="dxa"/>
            <w:vAlign w:val="bottom"/>
          </w:tcPr>
          <w:p>
            <w:pPr>
              <w:jc w:val="center"/>
              <w:ind w:right="27"/>
              <w:spacing w:after="0"/>
              <w:rPr>
                <w:sz w:val="20"/>
                <w:szCs w:val="20"/>
                <w:color w:val="auto"/>
              </w:rPr>
            </w:pPr>
            <w:r>
              <w:rPr>
                <w:rFonts w:ascii="Times New Roman" w:cs="Times New Roman" w:eastAsia="Times New Roman" w:hAnsi="Times New Roman"/>
                <w:sz w:val="18"/>
                <w:szCs w:val="18"/>
                <w:color w:val="auto"/>
              </w:rPr>
              <w:t>Principal</w:t>
            </w:r>
          </w:p>
        </w:tc>
        <w:tc>
          <w:tcPr>
            <w:tcW w:w="220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8"/>
              </w:rPr>
              <w:t>Principal</w:t>
            </w:r>
          </w:p>
        </w:tc>
        <w:tc>
          <w:tcPr>
            <w:tcW w:w="2980" w:type="dxa"/>
            <w:vAlign w:val="bottom"/>
          </w:tcPr>
          <w:p>
            <w:pPr>
              <w:jc w:val="center"/>
              <w:ind w:right="107"/>
              <w:spacing w:after="0"/>
              <w:rPr>
                <w:sz w:val="20"/>
                <w:szCs w:val="20"/>
                <w:color w:val="auto"/>
              </w:rPr>
            </w:pPr>
            <w:r>
              <w:rPr>
                <w:rFonts w:ascii="Times New Roman" w:cs="Times New Roman" w:eastAsia="Times New Roman" w:hAnsi="Times New Roman"/>
                <w:sz w:val="18"/>
                <w:szCs w:val="18"/>
                <w:color w:val="auto"/>
              </w:rPr>
              <w:t>Note Following</w:t>
            </w:r>
          </w:p>
        </w:tc>
        <w:tc>
          <w:tcPr>
            <w:tcW w:w="20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Trustee or</w:t>
            </w:r>
          </w:p>
        </w:tc>
      </w:tr>
      <w:tr>
        <w:trPr>
          <w:trHeight w:val="216"/>
        </w:trPr>
        <w:tc>
          <w:tcPr>
            <w:tcW w:w="1980" w:type="dxa"/>
            <w:vAlign w:val="bottom"/>
          </w:tcPr>
          <w:p>
            <w:pPr>
              <w:spacing w:after="0"/>
              <w:rPr>
                <w:sz w:val="18"/>
                <w:szCs w:val="18"/>
                <w:color w:val="auto"/>
              </w:rPr>
            </w:pPr>
          </w:p>
        </w:tc>
        <w:tc>
          <w:tcPr>
            <w:tcW w:w="2260" w:type="dxa"/>
            <w:vAlign w:val="bottom"/>
          </w:tcPr>
          <w:p>
            <w:pPr>
              <w:jc w:val="center"/>
              <w:ind w:right="27"/>
              <w:spacing w:after="0"/>
              <w:rPr>
                <w:sz w:val="20"/>
                <w:szCs w:val="20"/>
                <w:color w:val="auto"/>
              </w:rPr>
            </w:pPr>
            <w:r>
              <w:rPr>
                <w:rFonts w:ascii="Times New Roman" w:cs="Times New Roman" w:eastAsia="Times New Roman" w:hAnsi="Times New Roman"/>
                <w:sz w:val="18"/>
                <w:szCs w:val="18"/>
                <w:color w:val="auto"/>
              </w:rPr>
              <w:t>Amount of this</w:t>
            </w:r>
          </w:p>
        </w:tc>
        <w:tc>
          <w:tcPr>
            <w:tcW w:w="2200" w:type="dxa"/>
            <w:vAlign w:val="bottom"/>
          </w:tcPr>
          <w:p>
            <w:pPr>
              <w:jc w:val="center"/>
              <w:ind w:left="113"/>
              <w:spacing w:after="0"/>
              <w:rPr>
                <w:sz w:val="20"/>
                <w:szCs w:val="20"/>
                <w:color w:val="auto"/>
              </w:rPr>
            </w:pPr>
            <w:r>
              <w:rPr>
                <w:rFonts w:ascii="Times New Roman" w:cs="Times New Roman" w:eastAsia="Times New Roman" w:hAnsi="Times New Roman"/>
                <w:sz w:val="18"/>
                <w:szCs w:val="18"/>
                <w:color w:val="auto"/>
                <w:w w:val="99"/>
              </w:rPr>
              <w:t>Amount of this</w:t>
            </w:r>
          </w:p>
        </w:tc>
        <w:tc>
          <w:tcPr>
            <w:tcW w:w="2980" w:type="dxa"/>
            <w:vAlign w:val="bottom"/>
          </w:tcPr>
          <w:p>
            <w:pPr>
              <w:jc w:val="center"/>
              <w:ind w:right="107"/>
              <w:spacing w:after="0"/>
              <w:rPr>
                <w:sz w:val="20"/>
                <w:szCs w:val="20"/>
                <w:color w:val="auto"/>
              </w:rPr>
            </w:pPr>
            <w:r>
              <w:rPr>
                <w:rFonts w:ascii="Times New Roman" w:cs="Times New Roman" w:eastAsia="Times New Roman" w:hAnsi="Times New Roman"/>
                <w:sz w:val="18"/>
                <w:szCs w:val="18"/>
                <w:color w:val="auto"/>
                <w:w w:val="99"/>
              </w:rPr>
              <w:t>Such Decrease</w:t>
            </w:r>
          </w:p>
        </w:tc>
        <w:tc>
          <w:tcPr>
            <w:tcW w:w="20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19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Date of Exchange</w:t>
            </w:r>
          </w:p>
        </w:tc>
        <w:tc>
          <w:tcPr>
            <w:tcW w:w="226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8"/>
                <w:szCs w:val="18"/>
                <w:color w:val="auto"/>
                <w:w w:val="99"/>
              </w:rPr>
              <w:t>Global Note</w:t>
            </w:r>
          </w:p>
        </w:tc>
        <w:tc>
          <w:tcPr>
            <w:tcW w:w="2200" w:type="dxa"/>
            <w:vAlign w:val="bottom"/>
            <w:tcBorders>
              <w:bottom w:val="single" w:sz="8" w:color="auto"/>
            </w:tcBorders>
          </w:tcPr>
          <w:p>
            <w:pPr>
              <w:jc w:val="center"/>
              <w:ind w:left="113"/>
              <w:spacing w:after="0"/>
              <w:rPr>
                <w:sz w:val="20"/>
                <w:szCs w:val="20"/>
                <w:color w:val="auto"/>
              </w:rPr>
            </w:pPr>
            <w:r>
              <w:rPr>
                <w:rFonts w:ascii="Times New Roman" w:cs="Times New Roman" w:eastAsia="Times New Roman" w:hAnsi="Times New Roman"/>
                <w:sz w:val="18"/>
                <w:szCs w:val="18"/>
                <w:color w:val="auto"/>
                <w:w w:val="99"/>
              </w:rPr>
              <w:t>Global Note</w:t>
            </w:r>
          </w:p>
        </w:tc>
        <w:tc>
          <w:tcPr>
            <w:tcW w:w="298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8"/>
                <w:szCs w:val="18"/>
                <w:color w:val="auto"/>
              </w:rPr>
              <w:t>(or Increase)</w:t>
            </w:r>
          </w:p>
        </w:tc>
        <w:tc>
          <w:tcPr>
            <w:tcW w:w="20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8"/>
              </w:rPr>
              <w:t>Custodian</w:t>
            </w:r>
          </w:p>
        </w:tc>
      </w:tr>
      <w:tr>
        <w:trPr>
          <w:trHeight w:val="598"/>
        </w:trPr>
        <w:tc>
          <w:tcPr>
            <w:tcW w:w="1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0" w:type="dxa"/>
            <w:vAlign w:val="bottom"/>
          </w:tcPr>
          <w:p>
            <w:pPr>
              <w:jc w:val="right"/>
              <w:ind w:right="573"/>
              <w:spacing w:after="0"/>
              <w:rPr>
                <w:sz w:val="20"/>
                <w:szCs w:val="20"/>
                <w:color w:val="auto"/>
              </w:rPr>
            </w:pPr>
            <w:r>
              <w:rPr>
                <w:rFonts w:ascii="Times New Roman" w:cs="Times New Roman" w:eastAsia="Times New Roman" w:hAnsi="Times New Roman"/>
                <w:sz w:val="14"/>
                <w:szCs w:val="14"/>
                <w:color w:val="auto"/>
              </w:rPr>
              <w:t>11</w:t>
            </w:r>
          </w:p>
        </w:tc>
        <w:tc>
          <w:tcPr>
            <w:tcW w:w="29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98"/>
        </w:trPr>
        <w:tc>
          <w:tcPr>
            <w:tcW w:w="198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1" w:right="239" w:bottom="1440" w:gutter="0" w:footer="0" w:header="0"/>
        </w:sectPr>
      </w:pPr>
    </w:p>
    <w:bookmarkStart w:id="89" w:name="page90"/>
    <w:bookmarkEnd w:id="89"/>
    <w:p>
      <w:pPr>
        <w:ind w:left="103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4.10</w:t>
      </w:r>
    </w:p>
    <w:p>
      <w:pPr>
        <w:spacing w:after="0" w:line="24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A NEW YORK CORPORATION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00" w:type="dxa"/>
            <w:vAlign w:val="bottom"/>
          </w:tcPr>
          <w:p>
            <w:pPr>
              <w:spacing w:after="0"/>
              <w:rPr>
                <w:sz w:val="24"/>
                <w:szCs w:val="24"/>
                <w:color w:val="auto"/>
              </w:rPr>
            </w:pPr>
          </w:p>
        </w:tc>
        <w:tc>
          <w:tcPr>
            <w:tcW w:w="85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OCCIDENTAL PETROLEUM CORPORATION</w:t>
            </w:r>
          </w:p>
        </w:tc>
      </w:tr>
      <w:tr>
        <w:trPr>
          <w:trHeight w:val="486"/>
        </w:trPr>
        <w:tc>
          <w:tcPr>
            <w:tcW w:w="2900" w:type="dxa"/>
            <w:vAlign w:val="bottom"/>
          </w:tcPr>
          <w:p>
            <w:pPr>
              <w:spacing w:after="0"/>
              <w:rPr>
                <w:sz w:val="24"/>
                <w:szCs w:val="24"/>
                <w:color w:val="auto"/>
              </w:rPr>
            </w:pPr>
          </w:p>
        </w:tc>
        <w:tc>
          <w:tcPr>
            <w:tcW w:w="8520" w:type="dxa"/>
            <w:vAlign w:val="bottom"/>
          </w:tcPr>
          <w:p>
            <w:pPr>
              <w:ind w:left="1200"/>
              <w:spacing w:after="0"/>
              <w:rPr>
                <w:sz w:val="20"/>
                <w:szCs w:val="20"/>
                <w:color w:val="auto"/>
              </w:rPr>
            </w:pPr>
            <w:r>
              <w:rPr>
                <w:rFonts w:ascii="Times New Roman" w:cs="Times New Roman" w:eastAsia="Times New Roman" w:hAnsi="Times New Roman"/>
                <w:sz w:val="22"/>
                <w:szCs w:val="22"/>
                <w:b w:val="1"/>
                <w:bCs w:val="1"/>
                <w:color w:val="auto"/>
              </w:rPr>
              <w:t>6.625% DEBENTURES DUE 2028</w:t>
            </w: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59"/>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CUSIP: 674599 DS1</w:t>
            </w:r>
          </w:p>
        </w:tc>
        <w:tc>
          <w:tcPr>
            <w:tcW w:w="852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ISIN: US674599DS12</w:t>
            </w:r>
          </w:p>
        </w:tc>
        <w:tc>
          <w:tcPr>
            <w:tcW w:w="8520" w:type="dxa"/>
            <w:vAlign w:val="bottom"/>
          </w:tcPr>
          <w:p>
            <w:pPr>
              <w:spacing w:after="0"/>
              <w:rPr>
                <w:sz w:val="24"/>
                <w:szCs w:val="24"/>
                <w:color w:val="auto"/>
              </w:rPr>
            </w:pP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January 15, 2028</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6.625% per annum</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January 15 and July 15, commencing January 15, 2020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January 1 and July 1</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29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90" w:name="page91"/>
    <w:bookmarkEnd w:id="90"/>
    <w:p>
      <w:pPr>
        <w:ind w:firstLine="648"/>
        <w:spacing w:after="0" w:line="243" w:lineRule="auto"/>
        <w:rPr>
          <w:sz w:val="20"/>
          <w:szCs w:val="20"/>
          <w:color w:val="auto"/>
        </w:rPr>
      </w:pPr>
      <w:r>
        <w:rPr>
          <w:rFonts w:ascii="Times New Roman" w:cs="Times New Roman" w:eastAsia="Times New Roman" w:hAnsi="Times New Roman"/>
          <w:sz w:val="21"/>
          <w:szCs w:val="21"/>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and to pay interest thereon from July 15, 2019 or from the most recent Interest Payment Date to which interest has been paid or duly provided for, semi-annually in arrears on January 15 and July 15 in each year, commencing on January 15, 2020, at the rate per annum specified above, until the principal hereof is paid or made available for payment. Interest on this Debenture will be computed on the basis of a 360-day year comprised of twelve 30-day months. Interest payments for this Debenture will include interest accrued to but excluding each Interest Payment Date. The interest so payable, and punctually paid or duly provided for, on any Interest Payment Date will, as provided in the Indenture, be paid to the Person in whose name this Debenture (or one or more Predecessor Securities) is registered at the close of business on the Regular Record Date, which shall be the January 1 or July 1 (whether or not a Business Day), as the case may be, immediately preceding such Interest Payment Date. If any Interest Payment Date or Maturity with respect to this Debenture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Debenture (or one or more Predecessor Securities) is registered at the close of business on a Special Record Date for the payment of such Defaulted Interest to be fixed by the Trustee (as defined below), notice of which will be given to Holders of Debentures not less than 10 days prior to such Special Record Date, or (2) be paid at any time in any other lawful manner not inconsistent with the requirements of any securities exchange on which the Debentures may be listed, and upon such notice as may be required by such exchange, all as more fully provided in the Indenture. Payment of the principal of and interest on this Debenture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0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Debenture set forth below, which further provisions shall for all purposes have the same effect as if set forth at this place.</w:t>
      </w:r>
    </w:p>
    <w:p>
      <w:pPr>
        <w:spacing w:after="0" w:line="18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or its duly appointed co-authenticating agent by manual signature, this Debenture shall not be entitled to any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91" w:name="page92"/>
    <w:bookmarkEnd w:id="91"/>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OCCIDENTAL PETROLEUM CORPORATION has caused this Debenture to be signed by the signature of its Chairman of the Board, its President, a Vice President, its Treasurer or an Assistant Treasurer.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92" w:name="page93"/>
    <w:bookmarkEnd w:id="92"/>
    <w:p>
      <w:pPr>
        <w:ind w:left="3320"/>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 mentioned Indenture.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93" w:name="page94"/>
    <w:bookmarkEnd w:id="93"/>
    <w:p>
      <w:pPr>
        <w:ind w:right="20" w:firstLine="648"/>
        <w:spacing w:after="0" w:line="241" w:lineRule="auto"/>
        <w:rPr>
          <w:sz w:val="20"/>
          <w:szCs w:val="20"/>
          <w:color w:val="auto"/>
        </w:rPr>
      </w:pPr>
      <w:r>
        <w:rPr>
          <w:rFonts w:ascii="Times New Roman" w:cs="Times New Roman" w:eastAsia="Times New Roman" w:hAnsi="Times New Roman"/>
          <w:sz w:val="22"/>
          <w:szCs w:val="22"/>
          <w:color w:val="auto"/>
        </w:rPr>
        <w:t>This Debenture is one of a duly authorized issue of securities (herein called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xml:space="preserve">”) of the Company, issued and to be issued pursuant to the Indenture (as defined below). This Debenture is one of a series designated by the Company as its 6.625% Debentures due 2028 (the </w:t>
      </w:r>
      <w:r>
        <w:rPr>
          <w:rFonts w:ascii="Times New Roman" w:cs="Times New Roman" w:eastAsia="Times New Roman" w:hAnsi="Times New Roman"/>
          <w:sz w:val="22"/>
          <w:szCs w:val="22"/>
          <w:b w:val="1"/>
          <w:bCs w:val="1"/>
          <w:color w:val="auto"/>
        </w:rPr>
        <w:t>“Debentures”</w:t>
      </w:r>
      <w:r>
        <w:rPr>
          <w:rFonts w:ascii="Times New Roman" w:cs="Times New Roman" w:eastAsia="Times New Roman" w:hAnsi="Times New Roman"/>
          <w:sz w:val="22"/>
          <w:szCs w:val="22"/>
          <w:color w:val="auto"/>
        </w:rPr>
        <w:t>), limited in initial aggregate principal amount to $[ ]. The Indenture does not limit the aggregate principal amount of the Securities.</w:t>
      </w:r>
    </w:p>
    <w:p>
      <w:pPr>
        <w:spacing w:after="0" w:line="200"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22"/>
          <w:szCs w:val="22"/>
          <w:color w:val="auto"/>
        </w:rPr>
        <w:t>The Company issued this Debenture pursuant to an Indenture, dated as of August 8, 2019 (herein called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which term, for the purpose of this Debenture,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Debentures and of the terms upon which the Debentures are, and are to be, authenticated and delivered.</w:t>
      </w:r>
    </w:p>
    <w:p>
      <w:pPr>
        <w:spacing w:after="0" w:line="207"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The Debentures are issuable in denominations of $1,000 and any amount in excess thereof which is an integral multiple of $1,000. As provided in the Indenture and subject to certain limitations therein set forth, the Debentures are exchangeable for a like aggregate principal amount of Debentures of like tenor of any authorized denomination, as requested by the Holder surrendering the same, upon surrender of the Debenture or Debentures to be exchanged at any office or agency described below where Debentures may be presented for registration of transfer.</w:t>
      </w:r>
    </w:p>
    <w:p>
      <w:pPr>
        <w:spacing w:after="0" w:line="204" w:lineRule="exact"/>
        <w:rPr>
          <w:sz w:val="20"/>
          <w:szCs w:val="20"/>
          <w:color w:val="auto"/>
        </w:rPr>
      </w:pPr>
    </w:p>
    <w:p>
      <w:pPr>
        <w:ind w:right="740" w:firstLine="648"/>
        <w:spacing w:after="0" w:line="258" w:lineRule="auto"/>
        <w:rPr>
          <w:sz w:val="20"/>
          <w:szCs w:val="20"/>
          <w:color w:val="auto"/>
        </w:rPr>
      </w:pPr>
      <w:r>
        <w:rPr>
          <w:rFonts w:ascii="Times New Roman" w:cs="Times New Roman" w:eastAsia="Times New Roman" w:hAnsi="Times New Roman"/>
          <w:sz w:val="22"/>
          <w:szCs w:val="22"/>
          <w:color w:val="auto"/>
        </w:rPr>
        <w:t>The Company may, from time to time, without notice to or the consent of the Holders of the Debentures, reopen the Debentures and issue additional Debentures.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Debentures are not redeemable prior to the Maturity Date.</w:t>
      </w:r>
    </w:p>
    <w:p>
      <w:pPr>
        <w:spacing w:after="0" w:line="23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If an Event of Default with respect to the Debentures shall occur and be continuing, the principal of and accrued interest on the Debentures may be declared due and payable in the manner and with the effect provided in the Indenture.</w:t>
      </w:r>
    </w:p>
    <w:p>
      <w:pPr>
        <w:spacing w:after="0" w:line="185"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 (ii) 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Debenture shall be conclusive and binding upon such Holder and upon all future Holders of this Debenture and of any Debenture issued upon the registration of transfer hereof or in exchange herefor or in lieu hereof, whether or not notation of such consent or waiver is made upon this Debenture.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94" w:name="page95"/>
    <w:bookmarkEnd w:id="94"/>
    <w:p>
      <w:pPr>
        <w:ind w:right="60" w:firstLine="648"/>
        <w:spacing w:after="0" w:line="262" w:lineRule="auto"/>
        <w:rPr>
          <w:sz w:val="20"/>
          <w:szCs w:val="20"/>
          <w:color w:val="auto"/>
        </w:rPr>
      </w:pPr>
      <w:r>
        <w:rPr>
          <w:rFonts w:ascii="Times New Roman" w:cs="Times New Roman" w:eastAsia="Times New Roman" w:hAnsi="Times New Roman"/>
          <w:sz w:val="21"/>
          <w:szCs w:val="21"/>
          <w:color w:val="auto"/>
        </w:rPr>
        <w:t>No reference herein to the Indenture and no provision of this Debenture, subject to the provisions for satisfaction and discharge in Article Four of the Indenture, shall alter or impair the obligation of the Company, which is absolute and unconditional, to pay the principal of and interest on this Debenture at the times, place and rate, and in the coin or currency, herein prescribed.</w:t>
      </w:r>
    </w:p>
    <w:p>
      <w:pPr>
        <w:spacing w:after="0" w:line="182"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The Company shall be permitted, by irrevocably depositing cash or U.S. Government Obligations, in amounts and maturities sufficient to pay and discharge at the Stated Maturity the entire indebtedness on all Outstanding Debentures that have become due and payable or will become due and payable within one year, with the Trustee in trust, solely for the benefit of the Holders of all Outstanding Debentures, to defease the Indenture with respect to such Debentures (subject to specified exceptions), and upon such deposit and satisfaction of the other conditions set forth in the Indenture, the Company shall be deemed to have paid and discharged its entire indebtedness on the Debentures.</w:t>
      </w:r>
    </w:p>
    <w:p>
      <w:pPr>
        <w:spacing w:after="0" w:line="209"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The Company shall also be permitted to discharge, at any time, its obligations in respect of the Debentures (other than certain limited obligations, such as the obligation to transfer and exchange the Debentures) by (1)(a) delivering all of the outstanding Debentures to the Trustee to be cancelled or (b) depositing with the Trustee in trust funds or non-callable United States government or government-guaranteed obligations sufficient, without investment, to pay all remaining principal and interest on the Debentures and (2) complying with certain other provisions of the Indenture.</w:t>
      </w:r>
    </w:p>
    <w:p>
      <w:pPr>
        <w:spacing w:after="0" w:line="20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therein set forth, the transfer of Debentures is registrable in the Security Register, upon surrender of a Debenture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Debentures of like tenor, of authorized denominations and for the same aggregate principal amount, will be issued to the designated transferee or transferees.</w:t>
      </w:r>
    </w:p>
    <w:p>
      <w:pPr>
        <w:spacing w:after="0" w:line="211"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1"/>
          <w:szCs w:val="21"/>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95" w:name="page96"/>
    <w:bookmarkEnd w:id="95"/>
    <w:p>
      <w:pPr>
        <w:ind w:right="160" w:firstLine="648"/>
        <w:spacing w:after="0"/>
        <w:rPr>
          <w:sz w:val="20"/>
          <w:szCs w:val="20"/>
          <w:color w:val="auto"/>
        </w:rPr>
      </w:pPr>
      <w:r>
        <w:rPr>
          <w:rFonts w:ascii="Times New Roman" w:cs="Times New Roman" w:eastAsia="Times New Roman" w:hAnsi="Times New Roman"/>
          <w:sz w:val="22"/>
          <w:szCs w:val="22"/>
          <w:color w:val="auto"/>
        </w:rPr>
        <w:t>Prior to due presentment of this Debenture for registration of transfer, the Company, the Trustee and any agent of the Company or the Trustee may treat the Person in whose name this Debenture is registered as the owner hereof for all purposes, whether or not this Debenture be overdue, and neither the Company, the Trustee nor any such agent shall be affected by notice to the contrary.</w:t>
      </w:r>
    </w:p>
    <w:p>
      <w:pPr>
        <w:spacing w:after="0" w:line="20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This Debenture shall be governed by and construed in accordance with the law of the State of New York (without regard to conflicts of laws principles thereof).</w:t>
      </w:r>
    </w:p>
    <w:p>
      <w:pPr>
        <w:spacing w:after="0" w:line="185"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All undefined terms (whether or not capitalized) used in this Debenture which are defined in the Indenture shall have the meanings assigned to them in the Indenture.</w:t>
      </w:r>
    </w:p>
    <w:p>
      <w:pPr>
        <w:spacing w:after="0" w:line="3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sectPr>
      </w:pPr>
    </w:p>
    <w:bookmarkStart w:id="96" w:name="page97"/>
    <w:bookmarkEnd w:id="96"/>
    <w:p>
      <w:pPr>
        <w:ind w:left="468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assign this Debenture, fill in the form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or (we) assign and transfer this Debenture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Debenture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-127635</wp:posOffset>
            </wp:positionV>
            <wp:extent cx="579755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53873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311277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appear(s) on the face of this Debenture)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The signature must be guaranteed by an institution that is a member of one of the following recognized signature</w:t>
      </w:r>
    </w:p>
    <w:p>
      <w:pPr>
        <w:spacing w:after="0" w:line="26" w:lineRule="exact"/>
        <w:rPr>
          <w:sz w:val="20"/>
          <w:szCs w:val="20"/>
          <w:color w:val="auto"/>
        </w:rPr>
      </w:pPr>
    </w:p>
    <w:p>
      <w:pPr>
        <w:jc w:val="both"/>
        <w:ind w:right="220"/>
        <w:spacing w:after="0" w:line="235" w:lineRule="auto"/>
        <w:rPr>
          <w:sz w:val="20"/>
          <w:szCs w:val="20"/>
          <w:color w:val="auto"/>
        </w:rPr>
      </w:pPr>
      <w:r>
        <w:rPr>
          <w:rFonts w:ascii="Times New Roman" w:cs="Times New Roman" w:eastAsia="Times New Roman" w:hAnsi="Times New Roman"/>
          <w:sz w:val="22"/>
          <w:szCs w:val="22"/>
          <w:color w:val="auto"/>
        </w:rPr>
        <w:t>guarantee programs: (i) The Securities Transfer Agent Medallion Program (STAMP); (ii) The New York Stock Exchange Medallion Program (MNSP); (iii) The Stock Exchange Medallion Program (SEMP); or (iv) such other guarantee program acceptable to the Trustee.</w:t>
      </w:r>
    </w:p>
    <w:p>
      <w:pPr>
        <w:spacing w:after="0" w:line="38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11" w:right="87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p>
    <w:p>
      <w:pPr>
        <w:spacing w:after="0" w:line="234"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 of</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Authorized</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Decrease in</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Officer of</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Principal</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Trustee or</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Amount of this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2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Date of Exchange</w:t>
            </w:r>
          </w:p>
        </w:tc>
        <w:tc>
          <w:tcPr>
            <w:tcW w:w="2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Global Note</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Custodian</w:t>
            </w:r>
          </w:p>
        </w:tc>
      </w:tr>
      <w:tr>
        <w:trPr>
          <w:trHeight w:val="598"/>
        </w:trPr>
        <w:tc>
          <w:tcPr>
            <w:tcW w:w="2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6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rPr>
              <w:t>9</w:t>
            </w:r>
          </w:p>
        </w:tc>
        <w:tc>
          <w:tcPr>
            <w:tcW w:w="25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98"/>
        </w:trPr>
        <w:tc>
          <w:tcPr>
            <w:tcW w:w="20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1" w:right="239" w:bottom="1440" w:gutter="0" w:footer="0" w:header="0"/>
        </w:sectPr>
      </w:pPr>
    </w:p>
    <w:bookmarkStart w:id="98" w:name="page99"/>
    <w:bookmarkEnd w:id="98"/>
    <w:p>
      <w:pPr>
        <w:ind w:left="103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4.11</w:t>
      </w:r>
    </w:p>
    <w:p>
      <w:pPr>
        <w:spacing w:after="0" w:line="24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A NEW YORK CORPORATION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00" w:type="dxa"/>
            <w:vAlign w:val="bottom"/>
          </w:tcPr>
          <w:p>
            <w:pPr>
              <w:spacing w:after="0"/>
              <w:rPr>
                <w:sz w:val="24"/>
                <w:szCs w:val="24"/>
                <w:color w:val="auto"/>
              </w:rPr>
            </w:pPr>
          </w:p>
        </w:tc>
        <w:tc>
          <w:tcPr>
            <w:tcW w:w="85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OCCIDENTAL PETROLEUM CORPORATION</w:t>
            </w:r>
          </w:p>
        </w:tc>
      </w:tr>
      <w:tr>
        <w:trPr>
          <w:trHeight w:val="486"/>
        </w:trPr>
        <w:tc>
          <w:tcPr>
            <w:tcW w:w="2900" w:type="dxa"/>
            <w:vAlign w:val="bottom"/>
          </w:tcPr>
          <w:p>
            <w:pPr>
              <w:spacing w:after="0"/>
              <w:rPr>
                <w:sz w:val="24"/>
                <w:szCs w:val="24"/>
                <w:color w:val="auto"/>
              </w:rPr>
            </w:pPr>
          </w:p>
        </w:tc>
        <w:tc>
          <w:tcPr>
            <w:tcW w:w="8520" w:type="dxa"/>
            <w:vAlign w:val="bottom"/>
          </w:tcPr>
          <w:p>
            <w:pPr>
              <w:ind w:left="1200"/>
              <w:spacing w:after="0"/>
              <w:rPr>
                <w:sz w:val="20"/>
                <w:szCs w:val="20"/>
                <w:color w:val="auto"/>
              </w:rPr>
            </w:pPr>
            <w:r>
              <w:rPr>
                <w:rFonts w:ascii="Times New Roman" w:cs="Times New Roman" w:eastAsia="Times New Roman" w:hAnsi="Times New Roman"/>
                <w:sz w:val="22"/>
                <w:szCs w:val="22"/>
                <w:b w:val="1"/>
                <w:bCs w:val="1"/>
                <w:color w:val="auto"/>
              </w:rPr>
              <w:t>7.200% DEBENTURES DUE 2029</w:t>
            </w: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59"/>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CUSIP: 674599 DT9</w:t>
            </w:r>
          </w:p>
        </w:tc>
        <w:tc>
          <w:tcPr>
            <w:tcW w:w="852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ISIN: US674599DT94</w:t>
            </w:r>
          </w:p>
        </w:tc>
        <w:tc>
          <w:tcPr>
            <w:tcW w:w="8520" w:type="dxa"/>
            <w:vAlign w:val="bottom"/>
          </w:tcPr>
          <w:p>
            <w:pPr>
              <w:spacing w:after="0"/>
              <w:rPr>
                <w:sz w:val="24"/>
                <w:szCs w:val="24"/>
                <w:color w:val="auto"/>
              </w:rPr>
            </w:pP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15, 2029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7.200% per annum</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15 and September 15, commencing March 15, 2020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1 and September 1</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29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99" w:name="page100"/>
    <w:bookmarkEnd w:id="99"/>
    <w:p>
      <w:pPr>
        <w:ind w:firstLine="648"/>
        <w:spacing w:after="0" w:line="243" w:lineRule="auto"/>
        <w:rPr>
          <w:sz w:val="20"/>
          <w:szCs w:val="20"/>
          <w:color w:val="auto"/>
        </w:rPr>
      </w:pPr>
      <w:r>
        <w:rPr>
          <w:rFonts w:ascii="Times New Roman" w:cs="Times New Roman" w:eastAsia="Times New Roman" w:hAnsi="Times New Roman"/>
          <w:sz w:val="21"/>
          <w:szCs w:val="21"/>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and to pay interest thereon from September 15, 2019 or from the most recent Interest Payment Date to which interest has been paid or duly provided for, semi-annually in arrears on March 15 and September 15 in each year, commencing on March 15, 2020, at the rate per annum specified above, until the principal hereof is paid or made available for payment. Interest on this Debenture will be computed on the basis of a 360-day year comprised of twelve 30-day months. Interest payments for this Debenture will include interest accrued to but excluding each Interest Payment Date. The interest so payable, and punctually paid or duly provided for, on any Interest Payment Date will, as provided in the Indenture, be paid to the Person in whose name this Debenture (or one or more Predecessor Securities) is registered at the close of business on the Regular Record Date, which shall be the March 1 or September 1 (whether or not a Business Day), as the case may be, immediately preceding such Interest Payment Date. If any Interest Payment Date or Maturity with respect to this Debenture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Debenture (or one or more Predecessor Securities) is registered at the close of business on a Special Record Date for the payment of such Defaulted Interest to be fixed by the Trustee (as defined below), notice of which will be given to Holders of Debentures not less than 10 days prior to such Special Record Date, or (2) be paid at any time in any other lawful manner not inconsistent with the requirements of any securities exchange on which the Debentures may be listed, and upon such notice as may be required by such exchange, all as more fully provided in the Indenture. Payment of the principal of and interest on this Debenture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0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Debenture set forth below, which further provisions shall for all purposes have the same effect as if set forth at this place.</w:t>
      </w:r>
    </w:p>
    <w:p>
      <w:pPr>
        <w:spacing w:after="0" w:line="18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or its duly appointed co-authenticating agent by manual signature, this Debenture shall not be entitled to any benefit under the Indenture or be valid or obligatory for any purpose.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00" w:name="page101"/>
    <w:bookmarkEnd w:id="100"/>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OCCIDENTAL PETROLEUM CORPORATION has caused this Debenture to be signed by the signature of its Chairman of the Board, its President, a Vice President, its Treasurer or an Assistant Treasurer.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sectPr>
      </w:pPr>
    </w:p>
    <w:bookmarkStart w:id="101" w:name="page102"/>
    <w:bookmarkEnd w:id="101"/>
    <w:p>
      <w:pPr>
        <w:ind w:left="3320"/>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 mentioned Indenture.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102" w:name="page103"/>
    <w:bookmarkEnd w:id="102"/>
    <w:p>
      <w:pPr>
        <w:ind w:right="20" w:firstLine="648"/>
        <w:spacing w:after="0" w:line="241" w:lineRule="auto"/>
        <w:rPr>
          <w:sz w:val="20"/>
          <w:szCs w:val="20"/>
          <w:color w:val="auto"/>
        </w:rPr>
      </w:pPr>
      <w:r>
        <w:rPr>
          <w:rFonts w:ascii="Times New Roman" w:cs="Times New Roman" w:eastAsia="Times New Roman" w:hAnsi="Times New Roman"/>
          <w:sz w:val="22"/>
          <w:szCs w:val="22"/>
          <w:color w:val="auto"/>
        </w:rPr>
        <w:t>This Debenture is one of a duly authorized issue of securities (herein called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xml:space="preserve">”) of the Company, issued and to be issued pursuant to the Indenture (as defined below). This Debenture is one of a series designated by the Company as its 7.200% Debentures due 2029 (the </w:t>
      </w:r>
      <w:r>
        <w:rPr>
          <w:rFonts w:ascii="Times New Roman" w:cs="Times New Roman" w:eastAsia="Times New Roman" w:hAnsi="Times New Roman"/>
          <w:sz w:val="22"/>
          <w:szCs w:val="22"/>
          <w:b w:val="1"/>
          <w:bCs w:val="1"/>
          <w:color w:val="auto"/>
        </w:rPr>
        <w:t>“Debentures”</w:t>
      </w:r>
      <w:r>
        <w:rPr>
          <w:rFonts w:ascii="Times New Roman" w:cs="Times New Roman" w:eastAsia="Times New Roman" w:hAnsi="Times New Roman"/>
          <w:sz w:val="22"/>
          <w:szCs w:val="22"/>
          <w:color w:val="auto"/>
        </w:rPr>
        <w:t>), limited in initial aggregate principal amount to $[ ]. The Indenture does not limit the aggregate principal amount of the Securities.</w:t>
      </w:r>
    </w:p>
    <w:p>
      <w:pPr>
        <w:spacing w:after="0" w:line="200"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22"/>
          <w:szCs w:val="22"/>
          <w:color w:val="auto"/>
        </w:rPr>
        <w:t>The Company issued this Debenture pursuant to an Indenture, dated as of August 8, 2019 (herein called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which term, for the purpose of this Debenture,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Debentures and of the terms upon which the Debentures are, and are to be, authenticated and delivered.</w:t>
      </w:r>
    </w:p>
    <w:p>
      <w:pPr>
        <w:spacing w:after="0" w:line="207"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The Debentures are issuable in denominations of $1,000 and any amount in excess thereof which is an integral multiple of $1,000. As provided in the Indenture and subject to certain limitations therein set forth, the Debentures are exchangeable for a like aggregate principal amount of Debentures of like tenor of any authorized denomination, as requested by the Holder surrendering the same, upon surrender of the Debenture or Debentures to be exchanged at any office or agency described below where Debentures may be presented for registration of transfer.</w:t>
      </w:r>
    </w:p>
    <w:p>
      <w:pPr>
        <w:spacing w:after="0" w:line="204" w:lineRule="exact"/>
        <w:rPr>
          <w:sz w:val="20"/>
          <w:szCs w:val="20"/>
          <w:color w:val="auto"/>
        </w:rPr>
      </w:pPr>
    </w:p>
    <w:p>
      <w:pPr>
        <w:ind w:right="740" w:firstLine="648"/>
        <w:spacing w:after="0" w:line="258" w:lineRule="auto"/>
        <w:rPr>
          <w:sz w:val="20"/>
          <w:szCs w:val="20"/>
          <w:color w:val="auto"/>
        </w:rPr>
      </w:pPr>
      <w:r>
        <w:rPr>
          <w:rFonts w:ascii="Times New Roman" w:cs="Times New Roman" w:eastAsia="Times New Roman" w:hAnsi="Times New Roman"/>
          <w:sz w:val="22"/>
          <w:szCs w:val="22"/>
          <w:color w:val="auto"/>
        </w:rPr>
        <w:t>The Company may, from time to time, without notice to or the consent of the Holders of the Debentures, reopen the Debentures and issue additional Debentures.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Debentures are not redeemable prior to the Maturity Date.</w:t>
      </w:r>
    </w:p>
    <w:p>
      <w:pPr>
        <w:spacing w:after="0" w:line="23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If an Event of Default with respect to the Debentures shall occur and be continuing, the principal of and accrued interest on the Debentures may be declared due and payable in the manner and with the effect provided in the Indenture.</w:t>
      </w:r>
    </w:p>
    <w:p>
      <w:pPr>
        <w:spacing w:after="0" w:line="185"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 (ii) 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Debenture shall be conclusive and binding upon such Holder and upon all future Holders of this Debenture and of any Debenture issued upon the registration of transfer hereof or in exchange herefor or in lieu hereof, whether or not notation of such consent or waiver is made upon this Debenture.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03" w:name="page104"/>
    <w:bookmarkEnd w:id="103"/>
    <w:p>
      <w:pPr>
        <w:ind w:right="60" w:firstLine="648"/>
        <w:spacing w:after="0" w:line="262" w:lineRule="auto"/>
        <w:rPr>
          <w:sz w:val="20"/>
          <w:szCs w:val="20"/>
          <w:color w:val="auto"/>
        </w:rPr>
      </w:pPr>
      <w:r>
        <w:rPr>
          <w:rFonts w:ascii="Times New Roman" w:cs="Times New Roman" w:eastAsia="Times New Roman" w:hAnsi="Times New Roman"/>
          <w:sz w:val="21"/>
          <w:szCs w:val="21"/>
          <w:color w:val="auto"/>
        </w:rPr>
        <w:t>No reference herein to the Indenture and no provision of this Debenture, subject to the provisions for satisfaction and discharge in Article Four of the Indenture, shall alter or impair the obligation of the Company, which is absolute and unconditional, to pay the principal of and interest on this Debenture at the times, place and rate, and in the coin or currency, herein prescribed.</w:t>
      </w:r>
    </w:p>
    <w:p>
      <w:pPr>
        <w:spacing w:after="0" w:line="182"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The Company shall be permitted, by irrevocably depositing cash or U.S. Government Obligations, in amounts and maturities sufficient to pay and discharge at the Stated Maturity the entire indebtedness on all Outstanding Debentures that have become due and payable or will become due and payable within one year, with the Trustee in trust, solely for the benefit of the Holders of all Outstanding Debentures, to defease the Indenture with respect to such Debentures (subject to specified exceptions), and upon such deposit and satisfaction of the other conditions set forth in the Indenture, the Company shall be deemed to have paid and discharged its entire indebtedness on the Debentures.</w:t>
      </w:r>
    </w:p>
    <w:p>
      <w:pPr>
        <w:spacing w:after="0" w:line="209"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The Company shall also be permitted to discharge, at any time, its obligations in respect of the Debentures (other than certain limited obligations, such as the obligation to transfer and exchange the Debentures) by (1)(a) delivering all of the outstanding Debentures to the Trustee to be cancelled or (b) depositing with the Trustee in trust funds or non-callable United States government or government-guaranteed obligations sufficient, without investment, to pay all remaining principal and interest on the Debentures and (2) complying with certain other provisions of the Indenture.</w:t>
      </w:r>
    </w:p>
    <w:p>
      <w:pPr>
        <w:spacing w:after="0" w:line="204"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therein set forth, the transfer of Debentures is registrable in the Security Register, upon surrender of a Debenture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Debentures of like tenor, of authorized denominations and for the same aggregate principal amount, will be issued to the designated transferee or transferees.</w:t>
      </w:r>
    </w:p>
    <w:p>
      <w:pPr>
        <w:spacing w:after="0" w:line="211"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1"/>
          <w:szCs w:val="21"/>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04" w:name="page105"/>
    <w:bookmarkEnd w:id="104"/>
    <w:p>
      <w:pPr>
        <w:ind w:right="160" w:firstLine="648"/>
        <w:spacing w:after="0"/>
        <w:rPr>
          <w:sz w:val="20"/>
          <w:szCs w:val="20"/>
          <w:color w:val="auto"/>
        </w:rPr>
      </w:pPr>
      <w:r>
        <w:rPr>
          <w:rFonts w:ascii="Times New Roman" w:cs="Times New Roman" w:eastAsia="Times New Roman" w:hAnsi="Times New Roman"/>
          <w:sz w:val="22"/>
          <w:szCs w:val="22"/>
          <w:color w:val="auto"/>
        </w:rPr>
        <w:t>Prior to due presentment of this Debenture for registration of transfer, the Company, the Trustee and any agent of the Company or the Trustee may treat the Person in whose name this Debenture is registered as the owner hereof for all purposes, whether or not this Debenture be overdue, and neither the Company, the Trustee nor any such agent shall be affected by notice to the contrary.</w:t>
      </w:r>
    </w:p>
    <w:p>
      <w:pPr>
        <w:spacing w:after="0" w:line="20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This Debenture shall be governed by and construed in accordance with the law of the State of New York (without regard to conflicts of laws principles thereof).</w:t>
      </w:r>
    </w:p>
    <w:p>
      <w:pPr>
        <w:spacing w:after="0" w:line="185"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All undefined terms (whether or not capitalized) used in this Debenture which are defined in the Indenture shall have the meanings assigned to them in the Indenture.</w:t>
      </w:r>
    </w:p>
    <w:p>
      <w:pPr>
        <w:spacing w:after="0" w:line="3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sectPr>
      </w:pPr>
    </w:p>
    <w:bookmarkStart w:id="105" w:name="page106"/>
    <w:bookmarkEnd w:id="105"/>
    <w:p>
      <w:pPr>
        <w:ind w:left="468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assign this Debenture, fill in the form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or (we) assign and transfer this Debenture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Debenture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-127635</wp:posOffset>
            </wp:positionV>
            <wp:extent cx="579755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53873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311277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appear(s) on the face of this Debenture)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The signature must be guaranteed by an institution that is a member of one of the following recognized signature</w:t>
      </w:r>
    </w:p>
    <w:p>
      <w:pPr>
        <w:spacing w:after="0" w:line="26" w:lineRule="exact"/>
        <w:rPr>
          <w:sz w:val="20"/>
          <w:szCs w:val="20"/>
          <w:color w:val="auto"/>
        </w:rPr>
      </w:pPr>
    </w:p>
    <w:p>
      <w:pPr>
        <w:jc w:val="both"/>
        <w:ind w:right="220"/>
        <w:spacing w:after="0" w:line="235" w:lineRule="auto"/>
        <w:rPr>
          <w:sz w:val="20"/>
          <w:szCs w:val="20"/>
          <w:color w:val="auto"/>
        </w:rPr>
      </w:pPr>
      <w:r>
        <w:rPr>
          <w:rFonts w:ascii="Times New Roman" w:cs="Times New Roman" w:eastAsia="Times New Roman" w:hAnsi="Times New Roman"/>
          <w:sz w:val="22"/>
          <w:szCs w:val="22"/>
          <w:color w:val="auto"/>
        </w:rPr>
        <w:t>guarantee programs: (i) The Securities Transfer Agent Medallion Program (STAMP); (ii) The New York Stock Exchange Medallion Program (MNSP); (iii) The Stock Exchange Medallion Program (SEMP); or (iv) such other guarantee program acceptable to the Trustee.</w:t>
      </w:r>
    </w:p>
    <w:p>
      <w:pPr>
        <w:spacing w:after="0" w:line="38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11" w:right="87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p>
    <w:p>
      <w:pPr>
        <w:spacing w:after="0" w:line="234"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 of</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Authorized</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Decrease in</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Officer of</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Principal</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Trustee or</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Amount of this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2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Date of Exchange</w:t>
            </w:r>
          </w:p>
        </w:tc>
        <w:tc>
          <w:tcPr>
            <w:tcW w:w="2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Global Note</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Custodian</w:t>
            </w:r>
          </w:p>
        </w:tc>
      </w:tr>
      <w:tr>
        <w:trPr>
          <w:trHeight w:val="598"/>
        </w:trPr>
        <w:tc>
          <w:tcPr>
            <w:tcW w:w="2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60" w:type="dxa"/>
            <w:vAlign w:val="bottom"/>
          </w:tcPr>
          <w:p>
            <w:pPr>
              <w:jc w:val="right"/>
              <w:ind w:right="773"/>
              <w:spacing w:after="0"/>
              <w:rPr>
                <w:sz w:val="20"/>
                <w:szCs w:val="20"/>
                <w:color w:val="auto"/>
              </w:rPr>
            </w:pPr>
            <w:r>
              <w:rPr>
                <w:rFonts w:ascii="Times New Roman" w:cs="Times New Roman" w:eastAsia="Times New Roman" w:hAnsi="Times New Roman"/>
                <w:sz w:val="14"/>
                <w:szCs w:val="14"/>
                <w:color w:val="auto"/>
              </w:rPr>
              <w:t>9</w:t>
            </w:r>
          </w:p>
        </w:tc>
        <w:tc>
          <w:tcPr>
            <w:tcW w:w="25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98"/>
        </w:trPr>
        <w:tc>
          <w:tcPr>
            <w:tcW w:w="20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2" w:right="239" w:bottom="1440" w:gutter="0" w:footer="0" w:header="0"/>
        </w:sectPr>
      </w:pPr>
    </w:p>
    <w:bookmarkStart w:id="107" w:name="page108"/>
    <w:bookmarkEnd w:id="107"/>
    <w:p>
      <w:pPr>
        <w:ind w:left="103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4.12</w:t>
      </w:r>
    </w:p>
    <w:p>
      <w:pPr>
        <w:spacing w:after="0" w:line="24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00" w:type="dxa"/>
            <w:vAlign w:val="bottom"/>
          </w:tcPr>
          <w:p>
            <w:pPr>
              <w:spacing w:after="0"/>
              <w:rPr>
                <w:sz w:val="24"/>
                <w:szCs w:val="24"/>
                <w:color w:val="auto"/>
              </w:rPr>
            </w:pPr>
          </w:p>
        </w:tc>
        <w:tc>
          <w:tcPr>
            <w:tcW w:w="85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OCCIDENTAL PETROLEUM CORPORATION</w:t>
            </w:r>
          </w:p>
        </w:tc>
      </w:tr>
      <w:tr>
        <w:trPr>
          <w:trHeight w:val="486"/>
        </w:trPr>
        <w:tc>
          <w:tcPr>
            <w:tcW w:w="2900" w:type="dxa"/>
            <w:vAlign w:val="bottom"/>
          </w:tcPr>
          <w:p>
            <w:pPr>
              <w:spacing w:after="0"/>
              <w:rPr>
                <w:sz w:val="24"/>
                <w:szCs w:val="24"/>
                <w:color w:val="auto"/>
              </w:rPr>
            </w:pPr>
          </w:p>
        </w:tc>
        <w:tc>
          <w:tcPr>
            <w:tcW w:w="8520" w:type="dxa"/>
            <w:vAlign w:val="bottom"/>
          </w:tcPr>
          <w:p>
            <w:pPr>
              <w:ind w:left="1200"/>
              <w:spacing w:after="0"/>
              <w:rPr>
                <w:sz w:val="20"/>
                <w:szCs w:val="20"/>
                <w:color w:val="auto"/>
              </w:rPr>
            </w:pPr>
            <w:r>
              <w:rPr>
                <w:rFonts w:ascii="Times New Roman" w:cs="Times New Roman" w:eastAsia="Times New Roman" w:hAnsi="Times New Roman"/>
                <w:sz w:val="22"/>
                <w:szCs w:val="22"/>
                <w:b w:val="1"/>
                <w:bCs w:val="1"/>
                <w:color w:val="auto"/>
              </w:rPr>
              <w:t>7.950% DEBENTURES DUE 2029</w:t>
            </w: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59"/>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CUSIP: 674599 DU6</w:t>
            </w:r>
          </w:p>
        </w:tc>
        <w:tc>
          <w:tcPr>
            <w:tcW w:w="852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ISIN: US674599DU67</w:t>
            </w:r>
          </w:p>
        </w:tc>
        <w:tc>
          <w:tcPr>
            <w:tcW w:w="8520" w:type="dxa"/>
            <w:vAlign w:val="bottom"/>
          </w:tcPr>
          <w:p>
            <w:pPr>
              <w:spacing w:after="0"/>
              <w:rPr>
                <w:sz w:val="24"/>
                <w:szCs w:val="24"/>
                <w:color w:val="auto"/>
              </w:rPr>
            </w:pP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April 15, 2029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7.950% per annum</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April 15 and October 15, commencing October 15,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April 1 and October 1</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29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08" w:name="page109"/>
    <w:bookmarkEnd w:id="108"/>
    <w:p>
      <w:pPr>
        <w:ind w:firstLine="648"/>
        <w:spacing w:after="0" w:line="242" w:lineRule="auto"/>
        <w:rPr>
          <w:sz w:val="20"/>
          <w:szCs w:val="20"/>
          <w:color w:val="auto"/>
        </w:rPr>
      </w:pPr>
      <w:r>
        <w:rPr>
          <w:rFonts w:ascii="Times New Roman" w:cs="Times New Roman" w:eastAsia="Times New Roman" w:hAnsi="Times New Roman"/>
          <w:sz w:val="21"/>
          <w:szCs w:val="21"/>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(unless and to the extent earlier redeemed prior to such Maturity Date) and to pay interest thereon from April 15, 2019 or from the most recent Interest Payment Date to which interest has been paid or duly provided for, semi-annually in arrears on April 15 and October 15 in each year, commencing on October 15, 2019, at the rate per annum specified above, until the principal hereof is paid or made available for payment. Interest on this Debenture will be computed on the basis of a 360-day year comprised of twelve 30-day months. Interest payments for this Debenture will include interest accrued to but excluding each Interest Payment Date. The interest so payable, and punctually paid or duly provided for, on any Interest Payment Date will, as provided in the Indenture, be paid to the Person in whose name this Debenture (or one or more Predecessor Securities) is registered at the close of business on the Regular Record Date, which shall be the April 1 or October 1 (whether or not a Business Day), as the case may be, immediately preceding such Interest Payment Date. If any Interest Payment Date or Maturity with respect to this Debenture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Debenture (or one or more Predecessor Securities) is registered at the close of business on a Special Record Date for the payment of such Defaulted Interest to be fixed by the Trustee (as defined below), notice of which will be given to Holders of Debentures not less than 10 days prior to such Special Record Date, or (2) be paid at any time in any other lawful manner not inconsistent with the requirements of any securities exchange on which the Debentures may be listed, and upon such notice as may be required by such exchange, all as more fully provided in the Indenture. Payment of the principal of and interest on this Debenture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00" w:lineRule="exact"/>
        <w:rPr>
          <w:sz w:val="20"/>
          <w:szCs w:val="20"/>
          <w:color w:val="auto"/>
        </w:rPr>
      </w:pPr>
    </w:p>
    <w:p>
      <w:pPr>
        <w:spacing w:after="0" w:line="2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Debenture set forth below, which further provisions shall for all purposes have the same effect as if set forth at this place.</w:t>
      </w:r>
    </w:p>
    <w:p>
      <w:pPr>
        <w:spacing w:after="0" w:line="18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or its duly appointed co-authenticating agent by manual signature, this Debenture shall not be entitled to any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109" w:name="page110"/>
    <w:bookmarkEnd w:id="109"/>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OCCIDENTAL PETROLEUM CORPORATION has caused this Debenture to be signed by the signature of its Chairman of the Board, its President, a Vice President, its Treasurer or an Assistant Treasurer.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sectPr>
      </w:pPr>
    </w:p>
    <w:bookmarkStart w:id="110" w:name="page111"/>
    <w:bookmarkEnd w:id="110"/>
    <w:p>
      <w:pPr>
        <w:ind w:left="3320"/>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 mentioned Indenture.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111" w:name="page112"/>
    <w:bookmarkEnd w:id="111"/>
    <w:p>
      <w:pPr>
        <w:ind w:firstLine="648"/>
        <w:spacing w:after="0" w:line="241" w:lineRule="auto"/>
        <w:rPr>
          <w:sz w:val="20"/>
          <w:szCs w:val="20"/>
          <w:color w:val="auto"/>
        </w:rPr>
      </w:pPr>
      <w:r>
        <w:rPr>
          <w:rFonts w:ascii="Times New Roman" w:cs="Times New Roman" w:eastAsia="Times New Roman" w:hAnsi="Times New Roman"/>
          <w:sz w:val="22"/>
          <w:szCs w:val="22"/>
          <w:color w:val="auto"/>
        </w:rPr>
        <w:t>This Debenture is one of a duly authorized issue of securities (herein called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xml:space="preserve">”) of the Company, issued and to be issued pursuant to the Indenture (as defined below). This Debenture is one of a series designated by the Company as its 7.950% Debentures due 2029 (the </w:t>
      </w:r>
      <w:r>
        <w:rPr>
          <w:rFonts w:ascii="Times New Roman" w:cs="Times New Roman" w:eastAsia="Times New Roman" w:hAnsi="Times New Roman"/>
          <w:sz w:val="22"/>
          <w:szCs w:val="22"/>
          <w:b w:val="1"/>
          <w:bCs w:val="1"/>
          <w:color w:val="auto"/>
        </w:rPr>
        <w:t>“Debentures”</w:t>
      </w:r>
      <w:r>
        <w:rPr>
          <w:rFonts w:ascii="Times New Roman" w:cs="Times New Roman" w:eastAsia="Times New Roman" w:hAnsi="Times New Roman"/>
          <w:sz w:val="22"/>
          <w:szCs w:val="22"/>
          <w:color w:val="auto"/>
        </w:rPr>
        <w:t>), limited in initial aggregate principal amount to $[ ]. The Indenture does not limit the aggregate principal amount of the Securities.</w:t>
      </w:r>
    </w:p>
    <w:p>
      <w:pPr>
        <w:spacing w:after="0" w:line="200"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22"/>
          <w:szCs w:val="22"/>
          <w:color w:val="auto"/>
        </w:rPr>
        <w:t>The Company issued this Debenture pursuant to an Indenture, dated as of August 8, 2019 (herein called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which term, for the purpose of this Debenture,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Debentures and of the terms upon which the Debentures are, and are to be, authenticated and delivered.</w:t>
      </w:r>
    </w:p>
    <w:p>
      <w:pPr>
        <w:spacing w:after="0" w:line="207"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The Debentures are issuable in denominations of $1,000 and any amount in excess thereof which is an integral multiple of $1,000. As provided in the Indenture and subject to certain limitations therein set forth, the Debentures are exchangeable for a like aggregate principal amount of Debentures of like tenor of any authorized denomination, as requested by the Holder surrendering the same, upon surrender of the Debenture or Debentures to be exchanged at any office or agency described below where Debentures may be presented for registration of transfer.</w:t>
      </w:r>
    </w:p>
    <w:p>
      <w:pPr>
        <w:spacing w:after="0" w:line="204" w:lineRule="exact"/>
        <w:rPr>
          <w:sz w:val="20"/>
          <w:szCs w:val="20"/>
          <w:color w:val="auto"/>
        </w:rPr>
      </w:pPr>
    </w:p>
    <w:p>
      <w:pPr>
        <w:ind w:right="720" w:firstLine="648"/>
        <w:spacing w:after="0" w:line="258" w:lineRule="auto"/>
        <w:rPr>
          <w:sz w:val="20"/>
          <w:szCs w:val="20"/>
          <w:color w:val="auto"/>
        </w:rPr>
      </w:pPr>
      <w:r>
        <w:rPr>
          <w:rFonts w:ascii="Times New Roman" w:cs="Times New Roman" w:eastAsia="Times New Roman" w:hAnsi="Times New Roman"/>
          <w:sz w:val="22"/>
          <w:szCs w:val="22"/>
          <w:color w:val="auto"/>
        </w:rPr>
        <w:t>The Company may, from time to time, without notice to or the consent of the Holders of the Debentures, reopen the Debentures and issue additional Debentures.</w:t>
      </w:r>
    </w:p>
    <w:p>
      <w:pPr>
        <w:spacing w:after="0" w:line="18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Debentures are redeemable, in whole at any time or in part from time to time prior to final maturity, at the option of the Company at a Redemption Price equal to the greater of (i) 100% of the principal amount of the Debentures to be redeemed and (ii) as determined by the Quotation Agent, the sum of the present values of the remaining scheduled payments of principal and interest on the Debentures to be redeemed through the final maturity (not including any portion of such payments of interest accrued to, but not including, the Redemption Date) discounted to the Redemption Date on a semi-annual basis (assuming a 360-day year comprised of twelve 30-day months) at the Treasury Rate (as defined herein) plus 40 basis points plus, in each case, accrued and unpaid interest on the principal amount of the Debentures being redeemed to, but not including, the Redemption Date. Notwithstanding the foregoing, installments of interest whose Stated Maturity is on or prior to the relevant Redemption Date shall be payable to the Holders of the Debentures, or one or more Predecessor Securities, of record at the close of business on the relevant Regular Record Dates according to their terms and the provisions of the Indenture.</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112" w:name="page113"/>
    <w:bookmarkEnd w:id="112"/>
    <w:p>
      <w:pPr>
        <w:ind w:right="20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Rate</w:t>
      </w:r>
      <w:r>
        <w:rPr>
          <w:rFonts w:ascii="Times New Roman" w:cs="Times New Roman" w:eastAsia="Times New Roman" w:hAnsi="Times New Roman"/>
          <w:sz w:val="22"/>
          <w:szCs w:val="22"/>
          <w:color w:val="auto"/>
        </w:rPr>
        <w:t>” means, with respect to any Redemption Date, the rate per annum, as determined by the Quotation Agent equal to:</w:t>
      </w:r>
    </w:p>
    <w:p>
      <w:pPr>
        <w:spacing w:after="0" w:line="191" w:lineRule="exact"/>
        <w:rPr>
          <w:sz w:val="20"/>
          <w:szCs w:val="20"/>
          <w:color w:val="auto"/>
        </w:rPr>
      </w:pPr>
    </w:p>
    <w:p>
      <w:pPr>
        <w:jc w:val="both"/>
        <w:ind w:left="660" w:hanging="328"/>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provided that if no maturity is within three months before or after the remaining term of the Debentures to be redeemed, yields for the two published maturities most closely corresponding to the Comparable Treasury Issue will be determined and the Treasury Rate will be interpolated or extrapolated from those yields on a straight-line basis rounding to the nearest month; or</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that Redemption Date.</w:t>
      </w:r>
    </w:p>
    <w:p>
      <w:pPr>
        <w:spacing w:after="0" w:line="194" w:lineRule="exact"/>
        <w:rPr>
          <w:sz w:val="20"/>
          <w:szCs w:val="20"/>
          <w:color w:val="auto"/>
        </w:rPr>
      </w:pPr>
    </w:p>
    <w:p>
      <w:pPr>
        <w:ind w:right="1040" w:firstLine="648"/>
        <w:spacing w:after="0" w:line="258" w:lineRule="auto"/>
        <w:rPr>
          <w:sz w:val="20"/>
          <w:szCs w:val="20"/>
          <w:color w:val="auto"/>
        </w:rPr>
      </w:pPr>
      <w:r>
        <w:rPr>
          <w:rFonts w:ascii="Times New Roman" w:cs="Times New Roman" w:eastAsia="Times New Roman" w:hAnsi="Times New Roman"/>
          <w:sz w:val="22"/>
          <w:szCs w:val="22"/>
          <w:color w:val="auto"/>
        </w:rPr>
        <w:t>The Treasury Rate will be calculated at 5:00 p.m. (New York City time) on the third Business Day preceding the Redemption Date by the Quotation Agent.</w:t>
      </w:r>
    </w:p>
    <w:p>
      <w:pPr>
        <w:spacing w:after="0" w:line="181"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Issue</w:t>
      </w:r>
      <w:r>
        <w:rPr>
          <w:rFonts w:ascii="Times New Roman" w:cs="Times New Roman" w:eastAsia="Times New Roman" w:hAnsi="Times New Roman"/>
          <w:sz w:val="22"/>
          <w:szCs w:val="22"/>
          <w:color w:val="auto"/>
        </w:rPr>
        <w:t>” means, with respect to any Redemption Date, the United States Treasury security selected by the Quotation Agent that would be utilized, at the time of selection and in accordance with customary financial practice, in pricing new issues of corporate debt securities of comparable maturity to the remaining term of the Debentures.</w:t>
      </w:r>
    </w:p>
    <w:p>
      <w:pPr>
        <w:spacing w:after="0" w:line="194"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Price</w:t>
      </w:r>
      <w:r>
        <w:rPr>
          <w:rFonts w:ascii="Times New Roman" w:cs="Times New Roman" w:eastAsia="Times New Roman" w:hAnsi="Times New Roman"/>
          <w:sz w:val="22"/>
          <w:szCs w:val="22"/>
          <w:color w:val="auto"/>
        </w:rPr>
        <w:t>” means, with respect to any Redemption Date, (1) the average of the Reference Treasury Dealer Quotations for such Redemption Date, after excluding the highest and lowest Reference Treasury Dealer Quotations, or (2) if the Quotation Agent obtains fewer than three Reference Treasury Dealer Quotations, the average of all such Reference Treasury Dealer Quotations, such average in any case to be determined by the Quotation Agent, or (3) if only one Reference Treasury Dealer Quotation is received, such Reference Treasury Dealer Quotation.</w:t>
      </w:r>
    </w:p>
    <w:p>
      <w:pPr>
        <w:spacing w:after="0" w:line="204" w:lineRule="exact"/>
        <w:rPr>
          <w:sz w:val="20"/>
          <w:szCs w:val="20"/>
          <w:color w:val="auto"/>
        </w:rPr>
      </w:pPr>
    </w:p>
    <w:p>
      <w:pPr>
        <w:ind w:right="8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Quotation Agent</w:t>
      </w:r>
      <w:r>
        <w:rPr>
          <w:rFonts w:ascii="Times New Roman" w:cs="Times New Roman" w:eastAsia="Times New Roman" w:hAnsi="Times New Roman"/>
          <w:sz w:val="22"/>
          <w:szCs w:val="22"/>
          <w:color w:val="auto"/>
        </w:rPr>
        <w:t>” means, with respect to any Redemption Date, the Reference Treasury Dealer appointed by the Company.</w:t>
      </w:r>
    </w:p>
    <w:p>
      <w:pPr>
        <w:spacing w:after="0" w:line="17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Treasury Dealer</w:t>
      </w:r>
      <w:r>
        <w:rPr>
          <w:rFonts w:ascii="Times New Roman" w:cs="Times New Roman" w:eastAsia="Times New Roman" w:hAnsi="Times New Roman"/>
          <w:sz w:val="22"/>
          <w:szCs w:val="22"/>
          <w:color w:val="auto"/>
        </w:rPr>
        <w:t>” means, with respect to any Redemption Date, each of (1) BofA Securities, Inc. and Citigroup Global Markets Inc. (or their respective affiliates that are primary U.S. Government securities dealers) and their respective successors; provided, however, that if any of them shall cease to be a primary U.S. Government securities dealer in the United States of America (a “</w:t>
      </w:r>
      <w:r>
        <w:rPr>
          <w:rFonts w:ascii="Times New Roman" w:cs="Times New Roman" w:eastAsia="Times New Roman" w:hAnsi="Times New Roman"/>
          <w:sz w:val="22"/>
          <w:szCs w:val="22"/>
          <w:b w:val="1"/>
          <w:bCs w:val="1"/>
          <w:color w:val="auto"/>
        </w:rPr>
        <w:t>Primary Treasury Dealer</w:t>
      </w:r>
      <w:r>
        <w:rPr>
          <w:rFonts w:ascii="Times New Roman" w:cs="Times New Roman" w:eastAsia="Times New Roman" w:hAnsi="Times New Roman"/>
          <w:sz w:val="22"/>
          <w:szCs w:val="22"/>
          <w:color w:val="auto"/>
        </w:rPr>
        <w:t>”), the Company shall substitute for it another Primary Treasury Dealer; and (2) any other Primary Treasury Dealer or Dealers selected by the Company.</w:t>
      </w:r>
    </w:p>
    <w:p>
      <w:pPr>
        <w:spacing w:after="0" w:line="20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Reference Treasury Dealer Quotations</w:t>
      </w:r>
      <w:r>
        <w:rPr>
          <w:rFonts w:ascii="Times New Roman" w:cs="Times New Roman" w:eastAsia="Times New Roman" w:hAnsi="Times New Roman"/>
          <w:sz w:val="21"/>
          <w:szCs w:val="21"/>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in The City of New York preceding such Redemption Date.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3" w:name="page114"/>
    <w:bookmarkEnd w:id="113"/>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Notice of any redemption will be sent at least 10 days but not more than 60 days before the Redemption Date to each Holder of the Debentures to be redeemed, all as more fully provided in the Indenture. Unless the Company defaults in payment of the Redemption Price (or any accrued and unpaid interest on the Debentures or portions thereof to be redeemed), on and after the Redemption Date interest will cease to accrue on the Debentures or portions thereof called for redemption. If less than all of the Debentures are to be redeemed, the Debentures (or portions thereof) to be redeemed shall be selected, in the case of Global Notes, in accordance with the policies and procedures of the depository or, in the case of Definitive Notes, by the Trustee by such method as the Trustee shall deem fair and appropriate, all as more fully provided in the Indenture.</w:t>
      </w:r>
    </w:p>
    <w:p>
      <w:pPr>
        <w:spacing w:after="0" w:line="204" w:lineRule="exact"/>
        <w:rPr>
          <w:sz w:val="20"/>
          <w:szCs w:val="20"/>
          <w:color w:val="auto"/>
        </w:rPr>
      </w:pPr>
    </w:p>
    <w:p>
      <w:pPr>
        <w:ind w:right="200" w:firstLine="648"/>
        <w:spacing w:after="0" w:line="236" w:lineRule="auto"/>
        <w:rPr>
          <w:sz w:val="20"/>
          <w:szCs w:val="20"/>
          <w:color w:val="auto"/>
        </w:rPr>
      </w:pPr>
      <w:r>
        <w:rPr>
          <w:rFonts w:ascii="Times New Roman" w:cs="Times New Roman" w:eastAsia="Times New Roman" w:hAnsi="Times New Roman"/>
          <w:sz w:val="22"/>
          <w:szCs w:val="22"/>
          <w:color w:val="auto"/>
        </w:rPr>
        <w:t>All notices of redemption shall state the Redemption Date, the Redemption Price (or, if not then ascertainable, the manner of calculation thereof), if fewer than all the Outstanding Debentures are to be redeemed, the identification (and, in the case of partial redemption, the principal amounts) of the particular Debentures to be redeemed, that on the Redemption Date the Redemption Price will become due and payable upon each Debenture, or portion thereof, to be redeemed, together with accrued and unpaid interest thereon, that interest on each Debenture, or portion thereof, called for redemption will cease to accrue on the Redemption Date and the place or places where Debentures may be surrendered for redemption.</w:t>
      </w:r>
    </w:p>
    <w:p>
      <w:pPr>
        <w:spacing w:after="0" w:line="209"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In the event of redemption of this Debenture in part only, a new Debenture or Debentures of like tenor in an aggregate principal amount equal to and in exchange for the unredeemed portion of the principal amount hereof will be issued in authorized denominations in the name of the Holder hereof upon surrender hereof.</w:t>
      </w:r>
    </w:p>
    <w:p>
      <w:pPr>
        <w:spacing w:after="0" w:line="201"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auto"/>
        </w:rPr>
        <w:t>For all purposes of this Debenture and the Indenture, unless the context otherwise requires, all provisions relating to the redemption by the Company of this Debenture shall relate, in the case that this Debenture is redeemed, or to be redeemed, by the Company only in part, to that portion of the principal amount of this Debenture that has been, or is to be, redeemed.</w:t>
      </w:r>
    </w:p>
    <w:p>
      <w:pPr>
        <w:spacing w:after="0" w:line="20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22"/>
          <w:szCs w:val="22"/>
          <w:color w:val="auto"/>
        </w:rPr>
        <w:t>If an Event of Default with respect to the Debentures shall occur and be continuing, the principal of and accrued interest on the Debentures may be declared due and payable in the manner and with the effect provided in the Indenture.</w:t>
      </w:r>
    </w:p>
    <w:p>
      <w:pPr>
        <w:spacing w:after="0" w:line="185"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 (ii) 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Debenture shall be conclusive and binding upon such Holder and upon all future Holders of this Debenture and of any Debenture issued upon the registration of transfer hereof or in exchange herefor or in lieu hereof, whether or not notation of such consent or waiver is made upon this Debenture.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114" w:name="page115"/>
    <w:bookmarkEnd w:id="114"/>
    <w:p>
      <w:pPr>
        <w:ind w:right="60" w:firstLine="648"/>
        <w:spacing w:after="0" w:line="262" w:lineRule="auto"/>
        <w:rPr>
          <w:sz w:val="20"/>
          <w:szCs w:val="20"/>
          <w:color w:val="auto"/>
        </w:rPr>
      </w:pPr>
      <w:r>
        <w:rPr>
          <w:rFonts w:ascii="Times New Roman" w:cs="Times New Roman" w:eastAsia="Times New Roman" w:hAnsi="Times New Roman"/>
          <w:sz w:val="21"/>
          <w:szCs w:val="21"/>
          <w:color w:val="auto"/>
        </w:rPr>
        <w:t>No reference herein to the Indenture and no provision of this Debenture, subject to the provisions for satisfaction and discharge in Article Four of the Indenture, shall alter or impair the obligation of the Company, which is absolute and unconditional, to pay the principal of and interest on this Debenture at the times, place and rate, and in the coin or currency, herein prescribed.</w:t>
      </w:r>
    </w:p>
    <w:p>
      <w:pPr>
        <w:spacing w:after="0" w:line="182"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The Company shall be permitted, by irrevocably depositing cash or U.S. Government Obligations, in amounts and maturities sufficient to pay and discharge at the Stated Maturity or Redemption Date, as the case may be, the entire indebtedness on all Outstanding Debentures that have become due and payable or will become due and payable within one year (or are scheduled for redemption within one year), with the Trustee in trust, solely for the benefit of the Holders of all Outstanding Debentures, to defease the Indenture with respect to such Debentures (subject to specified exceptions), and upon such deposit and satisfaction of the other conditions set forth in the Indenture, the Company shall be deemed to have paid and discharged its entire indebtedness on the Debentures.</w:t>
      </w:r>
    </w:p>
    <w:p>
      <w:pPr>
        <w:spacing w:after="0" w:line="211"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21"/>
          <w:szCs w:val="21"/>
          <w:color w:val="auto"/>
        </w:rPr>
        <w:t>The Company shall also be permitted to discharge, at any time, its obligations in respect of the Debentures (other than certain limited obligations, such as the obligation to transfer and exchange the Debentures) by (1)(a) delivering all of the outstanding Debentures to the Trustee to be cancelled or (b) depositing with the Trustee in trust funds or non-callable United States government or government-guaranteed obligations sufficient, without investment, to pay all remaining principal and interest on the Debentures and (2) complying with certain other provisions of the Indenture, including delivering to the Trustee an opinion of counsel from a nationally recognized counsel or an IRS ruling stating that (A) the Company has received from, or there has been published by, the Internal Revenue Service a ruling or (B) since the date of the Indenture, there has been a change in the applicable federal income tax law, in the case of either (A) or (B) to the effect that the Holders of the Debentures will not recognize income, gain or loss for federal income tax purposes as a result of such discharge and will be subject to federal income tax on the same amount, in the same manner and at the same times as would be the case if such deposit and discharge were not to occur.</w:t>
      </w:r>
    </w:p>
    <w:p>
      <w:pPr>
        <w:spacing w:after="0" w:line="199"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therein set forth, the transfer of Debentures is registrable in the Security Register, upon surrender of a Debenture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Debentures of like tenor, of authorized denominations and for the same aggregate principal amount, will be issued to the designated transferee or transferees.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5" w:name="page116"/>
    <w:bookmarkEnd w:id="115"/>
    <w:p>
      <w:pPr>
        <w:ind w:firstLine="648"/>
        <w:spacing w:after="0" w:line="262" w:lineRule="auto"/>
        <w:rPr>
          <w:sz w:val="20"/>
          <w:szCs w:val="20"/>
          <w:color w:val="auto"/>
        </w:rPr>
      </w:pPr>
      <w:r>
        <w:rPr>
          <w:rFonts w:ascii="Times New Roman" w:cs="Times New Roman" w:eastAsia="Times New Roman" w:hAnsi="Times New Roman"/>
          <w:sz w:val="21"/>
          <w:szCs w:val="21"/>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182" w:lineRule="exact"/>
        <w:rPr>
          <w:sz w:val="20"/>
          <w:szCs w:val="20"/>
          <w:color w:val="auto"/>
        </w:rPr>
      </w:pPr>
    </w:p>
    <w:p>
      <w:pPr>
        <w:ind w:right="240" w:firstLine="648"/>
        <w:spacing w:after="0" w:line="239" w:lineRule="auto"/>
        <w:rPr>
          <w:sz w:val="20"/>
          <w:szCs w:val="20"/>
          <w:color w:val="auto"/>
        </w:rPr>
      </w:pPr>
      <w:r>
        <w:rPr>
          <w:rFonts w:ascii="Times New Roman" w:cs="Times New Roman" w:eastAsia="Times New Roman" w:hAnsi="Times New Roman"/>
          <w:sz w:val="22"/>
          <w:szCs w:val="22"/>
          <w:color w:val="auto"/>
        </w:rPr>
        <w:t>Prior to due presentment of this Debenture for registration of transfer, the Company, the Trustee and any agent of the Company or the Trustee may treat the Person in whose name this Debenture is registered as the owner hereof for all purposes, whether or not this Debenture be overdue, and neither the Company, the Trustee nor any such agent shall be affected by notice to the contrary.</w:t>
      </w:r>
    </w:p>
    <w:p>
      <w:pPr>
        <w:spacing w:after="0" w:line="20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This Debenture shall be governed by and construed in accordance with the law of the State of New York (without regard to conflicts of laws principles thereof).</w:t>
      </w:r>
    </w:p>
    <w:p>
      <w:pPr>
        <w:spacing w:after="0" w:line="185"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All undefined terms (whether or not capitalized) used in this Debenture which are defined in the Indenture shall have the meanings assigned to them in the Indenture.</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16" w:name="page117"/>
    <w:bookmarkEnd w:id="116"/>
    <w:p>
      <w:pPr>
        <w:ind w:left="468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assign this Debenture, fill in the form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or (we) assign and transfer this Debenture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Debenture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-127635</wp:posOffset>
            </wp:positionV>
            <wp:extent cx="579755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53873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311277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appear(s) on the face of this Debenture)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The signature must be guaranteed by an institution that is a member of one of the following recognized signature</w:t>
      </w:r>
    </w:p>
    <w:p>
      <w:pPr>
        <w:spacing w:after="0" w:line="26" w:lineRule="exact"/>
        <w:rPr>
          <w:sz w:val="20"/>
          <w:szCs w:val="20"/>
          <w:color w:val="auto"/>
        </w:rPr>
      </w:pPr>
    </w:p>
    <w:p>
      <w:pPr>
        <w:jc w:val="both"/>
        <w:ind w:right="220"/>
        <w:spacing w:after="0" w:line="235" w:lineRule="auto"/>
        <w:rPr>
          <w:sz w:val="20"/>
          <w:szCs w:val="20"/>
          <w:color w:val="auto"/>
        </w:rPr>
      </w:pPr>
      <w:r>
        <w:rPr>
          <w:rFonts w:ascii="Times New Roman" w:cs="Times New Roman" w:eastAsia="Times New Roman" w:hAnsi="Times New Roman"/>
          <w:sz w:val="22"/>
          <w:szCs w:val="22"/>
          <w:color w:val="auto"/>
        </w:rPr>
        <w:t>guarantee programs: (i) The Securities Transfer Agent Medallion Program (STAMP); (ii) The New York Stock Exchange Medallion Program (MNSP); (iii) The Stock Exchange Medallion Program (SEMP); or (iv) such other guarantee program acceptable to the Trustee.</w:t>
      </w:r>
    </w:p>
    <w:p>
      <w:pPr>
        <w:spacing w:after="0" w:line="3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11" w:right="87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p>
    <w:p>
      <w:pPr>
        <w:spacing w:after="0" w:line="234"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 of</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Authorized</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Decrease in</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Officer of</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Principal</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Trustee or</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Amount of this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2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Date of Exchange</w:t>
            </w:r>
          </w:p>
        </w:tc>
        <w:tc>
          <w:tcPr>
            <w:tcW w:w="2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Global Note</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Custodian</w:t>
            </w:r>
          </w:p>
        </w:tc>
      </w:tr>
      <w:tr>
        <w:trPr>
          <w:trHeight w:val="598"/>
        </w:trPr>
        <w:tc>
          <w:tcPr>
            <w:tcW w:w="2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60" w:type="dxa"/>
            <w:vAlign w:val="bottom"/>
          </w:tcPr>
          <w:p>
            <w:pPr>
              <w:jc w:val="right"/>
              <w:ind w:right="733"/>
              <w:spacing w:after="0"/>
              <w:rPr>
                <w:sz w:val="20"/>
                <w:szCs w:val="20"/>
                <w:color w:val="auto"/>
              </w:rPr>
            </w:pPr>
            <w:r>
              <w:rPr>
                <w:rFonts w:ascii="Times New Roman" w:cs="Times New Roman" w:eastAsia="Times New Roman" w:hAnsi="Times New Roman"/>
                <w:sz w:val="14"/>
                <w:szCs w:val="14"/>
                <w:color w:val="auto"/>
              </w:rPr>
              <w:t>11</w:t>
            </w:r>
          </w:p>
        </w:tc>
        <w:tc>
          <w:tcPr>
            <w:tcW w:w="25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98"/>
        </w:trPr>
        <w:tc>
          <w:tcPr>
            <w:tcW w:w="20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1" w:right="239" w:bottom="1440" w:gutter="0" w:footer="0" w:header="0"/>
        </w:sectPr>
      </w:pPr>
    </w:p>
    <w:bookmarkStart w:id="118" w:name="page119"/>
    <w:bookmarkEnd w:id="118"/>
    <w:p>
      <w:pPr>
        <w:ind w:left="103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4.13</w:t>
      </w:r>
    </w:p>
    <w:p>
      <w:pPr>
        <w:spacing w:after="0" w:line="24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A NEW YORK CORPORATION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00" w:type="dxa"/>
            <w:vAlign w:val="bottom"/>
          </w:tcPr>
          <w:p>
            <w:pPr>
              <w:spacing w:after="0"/>
              <w:rPr>
                <w:sz w:val="24"/>
                <w:szCs w:val="24"/>
                <w:color w:val="auto"/>
              </w:rPr>
            </w:pPr>
          </w:p>
        </w:tc>
        <w:tc>
          <w:tcPr>
            <w:tcW w:w="85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OCCIDENTAL PETROLEUM CORPORATION</w:t>
            </w:r>
          </w:p>
        </w:tc>
      </w:tr>
      <w:tr>
        <w:trPr>
          <w:trHeight w:val="486"/>
        </w:trPr>
        <w:tc>
          <w:tcPr>
            <w:tcW w:w="2900" w:type="dxa"/>
            <w:vAlign w:val="bottom"/>
          </w:tcPr>
          <w:p>
            <w:pPr>
              <w:spacing w:after="0"/>
              <w:rPr>
                <w:sz w:val="24"/>
                <w:szCs w:val="24"/>
                <w:color w:val="auto"/>
              </w:rPr>
            </w:pPr>
          </w:p>
        </w:tc>
        <w:tc>
          <w:tcPr>
            <w:tcW w:w="8520" w:type="dxa"/>
            <w:vAlign w:val="bottom"/>
          </w:tcPr>
          <w:p>
            <w:pPr>
              <w:ind w:left="1140"/>
              <w:spacing w:after="0"/>
              <w:rPr>
                <w:sz w:val="20"/>
                <w:szCs w:val="20"/>
                <w:color w:val="auto"/>
              </w:rPr>
            </w:pPr>
            <w:r>
              <w:rPr>
                <w:rFonts w:ascii="Times New Roman" w:cs="Times New Roman" w:eastAsia="Times New Roman" w:hAnsi="Times New Roman"/>
                <w:sz w:val="22"/>
                <w:szCs w:val="22"/>
                <w:b w:val="1"/>
                <w:bCs w:val="1"/>
                <w:color w:val="auto"/>
              </w:rPr>
              <w:t>7.500% SENIOR NOTES DUE 2031</w:t>
            </w: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59"/>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CUSIP: 674599 DD4</w:t>
            </w:r>
          </w:p>
        </w:tc>
        <w:tc>
          <w:tcPr>
            <w:tcW w:w="852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ISIN: US674599DD43</w:t>
            </w:r>
          </w:p>
        </w:tc>
        <w:tc>
          <w:tcPr>
            <w:tcW w:w="8520" w:type="dxa"/>
            <w:vAlign w:val="bottom"/>
          </w:tcPr>
          <w:p>
            <w:pPr>
              <w:spacing w:after="0"/>
              <w:rPr>
                <w:sz w:val="24"/>
                <w:szCs w:val="24"/>
                <w:color w:val="auto"/>
              </w:rPr>
            </w:pP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May 1, 2031</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7.500% per annum</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May 1 and November 1, commencing November 1,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April 15 and October 15</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29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19" w:name="page120"/>
    <w:bookmarkEnd w:id="119"/>
    <w:p>
      <w:pPr>
        <w:ind w:right="20" w:firstLine="648"/>
        <w:spacing w:after="0" w:line="244" w:lineRule="auto"/>
        <w:rPr>
          <w:sz w:val="20"/>
          <w:szCs w:val="20"/>
          <w:color w:val="auto"/>
        </w:rPr>
      </w:pPr>
      <w:r>
        <w:rPr>
          <w:rFonts w:ascii="Times New Roman" w:cs="Times New Roman" w:eastAsia="Times New Roman" w:hAnsi="Times New Roman"/>
          <w:sz w:val="21"/>
          <w:szCs w:val="21"/>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(unless and to the extent earlier redeemed prior to such Maturity Date) and to pay interest thereon from May 1, 2019 or from the most recent Interest Payment Date to which interest has been paid or duly provided for, semi-annually in arrears on May 1 and November 1 in each year, commencing on November 1, 2019, at the rate per annum specified above, until the principal hereof is paid or made available for payment. Interest on this Note will be computed on the basis of a</w:t>
      </w:r>
    </w:p>
    <w:p>
      <w:pPr>
        <w:spacing w:after="0" w:line="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 xml:space="preserve">360-day year comprised of twelve 30-day months. Interest payments for this Note will include interest accrued to but excluding each Interest Payment Date. The interest so payable, and punctually paid or duly provided for, on any Interest Payment Date will, as provided in the Indenture, be paid to the Person in whose name this Note (or one or more Predecessor Securities) is registered at the close of business on the Regular Record Date, which shall be the April 15 or October 15 (whether or not a Business Day), as the case may be, immediately preceding such Interest Payment Date. If any Interest Payment Date or Maturity with respect to this Note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Note (or one or more Predecessor Securities) is registered at the close of business on a Special Record Date for the payment of such Defaulted Interest to be fixed by the Trustee (as defined below), notice of which will be given to Holders of Notes not less than 10 days prior to such Special Record Date, or (2) be paid at any time in any other lawful manner not inconsistent with the requirements of any securities exchange on which the Notes may be listed, and upon such notice as may be required by such exchange, all as more fully provided in the Indenture. Payment of the principal of and interest on this Note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Note set forth below, which further provisions shall for all purposes have the same effect as if set forth at this place.</w:t>
      </w:r>
    </w:p>
    <w:p>
      <w:pPr>
        <w:spacing w:after="0" w:line="18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or its duly appointed co-authenticating agent by manual signature, this Note shall not be entitled to any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0" w:name="page121"/>
    <w:bookmarkEnd w:id="120"/>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OCCIDENTAL PETROLEUM CORPORATION has caused this Note to be signed by the signature of its Chairman of the Board, its President, a Vice President, its Treasurer or an Assistant Treasurer.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60"/>
          </w:cols>
          <w:pgMar w:left="240" w:top="111" w:right="799" w:bottom="1440" w:gutter="0" w:footer="0" w:header="0"/>
        </w:sectPr>
      </w:pPr>
    </w:p>
    <w:bookmarkStart w:id="121" w:name="page122"/>
    <w:bookmarkEnd w:id="121"/>
    <w:p>
      <w:pPr>
        <w:ind w:left="3320"/>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 mentioned Indenture.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122" w:name="page123"/>
    <w:bookmarkEnd w:id="122"/>
    <w:p>
      <w:pPr>
        <w:ind w:right="200" w:firstLine="648"/>
        <w:spacing w:after="0" w:line="241" w:lineRule="auto"/>
        <w:rPr>
          <w:sz w:val="20"/>
          <w:szCs w:val="20"/>
          <w:color w:val="auto"/>
        </w:rPr>
      </w:pPr>
      <w:r>
        <w:rPr>
          <w:rFonts w:ascii="Times New Roman" w:cs="Times New Roman" w:eastAsia="Times New Roman" w:hAnsi="Times New Roman"/>
          <w:sz w:val="22"/>
          <w:szCs w:val="22"/>
          <w:color w:val="auto"/>
        </w:rPr>
        <w:t>This Note is one of a duly authorized issue of securities (herein called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of the Company, issued and to be issued pursuant to the Indenture (as defined below). This Note is one of a series designated by the Company as its 7.500% Senior Notes due 2031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limited in initial aggregate principal amount to $[ ]. The Indenture does not limit the aggregate principal amount of the Securities.</w:t>
      </w:r>
    </w:p>
    <w:p>
      <w:pPr>
        <w:spacing w:after="0" w:line="20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Company issued this Note pursuant to an Indenture, dated as of August 8, 2019 (herein called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which term, for the purpose of this Note,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Notes and of the terms upon which the Notes are, and are to be, authenticated and delivered.</w:t>
      </w:r>
    </w:p>
    <w:p>
      <w:pPr>
        <w:spacing w:after="0" w:line="207"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The Notes are issuable in denominations of $1,000 and any amount in excess thereof which is an integral multiple of $1,000. As provided in the Indenture and subject to certain limitations therein set forth, the Notes are exchangeable for a like aggregate principal amount of Notes of like tenor of any authorized denomination, as requested by the Holder surrendering the same, upon surrender of the Note or Notes to be exchanged at any office or agency described below where Notes may be presented for registration of transfer.</w:t>
      </w:r>
    </w:p>
    <w:p>
      <w:pPr>
        <w:spacing w:after="0" w:line="204"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The Company may, from time to time, without notice to or the consent of the Holders of the Notes, reopen the Notes and issue additional Notes.</w:t>
      </w:r>
    </w:p>
    <w:p>
      <w:pPr>
        <w:spacing w:after="0" w:line="185"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The Notes are redeemable, in whole at any time or in part from time to time prior to final maturity, at the option of the Company at a Redemption Price equal to the greater of (i) 100% of the principal amount of the Notes to be redeemed and (ii) as determined by the Quotation Agent, the sum of the present values of the remaining scheduled payments of principal and interest on the Notes to be redeemed through the final maturity (not including any portion of such payments of interest accrued to, but not including, the Redemption Date) discounted to the Redemption Date on a semi-annual basis (assuming a 360-day year comprised of twelve 30-day months) at the Treasury Rate (as defined herein) plus 30 basis points plus, in each case, accrued and unpaid interest on the principal amount of the Notes being redeemed to, but not including, the Redemption Date. Notwithstanding the foregoing, installments of interest whose Stated Maturity is on or prior to the relevant Redemption Date shall be payable to the Holders of the Notes, or one or more Predecessor Securities, of record at the close of business on the relevant Regular Record Dates according to their terms and the provisions of the Indenture.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123" w:name="page124"/>
    <w:bookmarkEnd w:id="123"/>
    <w:p>
      <w:pPr>
        <w:ind w:right="20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Rate</w:t>
      </w:r>
      <w:r>
        <w:rPr>
          <w:rFonts w:ascii="Times New Roman" w:cs="Times New Roman" w:eastAsia="Times New Roman" w:hAnsi="Times New Roman"/>
          <w:sz w:val="22"/>
          <w:szCs w:val="22"/>
          <w:color w:val="auto"/>
        </w:rPr>
        <w:t>” means, with respect to any Redemption Date, the rate per annum, as determined by the Quotation Agent equal to:</w:t>
      </w:r>
    </w:p>
    <w:p>
      <w:pPr>
        <w:spacing w:after="0" w:line="190" w:lineRule="exact"/>
        <w:rPr>
          <w:sz w:val="20"/>
          <w:szCs w:val="20"/>
          <w:color w:val="auto"/>
        </w:rPr>
      </w:pPr>
    </w:p>
    <w:p>
      <w:pPr>
        <w:jc w:val="both"/>
        <w:ind w:left="660" w:hanging="328"/>
        <w:spacing w:after="0" w:line="255"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provided that if no maturity is within three months before or after the remaining term of the Notes to be redeemed, yields for the two published maturities most closely corresponding to the Comparable Treasury Issue will be determined and the Treasury Rate will be interpolated or extrapolated from those yields on a straight-line basis rounding to the nearest month; or</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that Redemption Date.</w:t>
      </w:r>
    </w:p>
    <w:p>
      <w:pPr>
        <w:spacing w:after="0" w:line="194" w:lineRule="exact"/>
        <w:rPr>
          <w:sz w:val="20"/>
          <w:szCs w:val="20"/>
          <w:color w:val="auto"/>
        </w:rPr>
      </w:pPr>
    </w:p>
    <w:p>
      <w:pPr>
        <w:ind w:right="1040" w:firstLine="648"/>
        <w:spacing w:after="0" w:line="258" w:lineRule="auto"/>
        <w:rPr>
          <w:sz w:val="20"/>
          <w:szCs w:val="20"/>
          <w:color w:val="auto"/>
        </w:rPr>
      </w:pPr>
      <w:r>
        <w:rPr>
          <w:rFonts w:ascii="Times New Roman" w:cs="Times New Roman" w:eastAsia="Times New Roman" w:hAnsi="Times New Roman"/>
          <w:sz w:val="22"/>
          <w:szCs w:val="22"/>
          <w:color w:val="auto"/>
        </w:rPr>
        <w:t>The Treasury Rate will be calculated at 5:00 p.m. (New York City time) on the third Business Day preceding the Redemption Date by the Quotation Agent.</w:t>
      </w:r>
    </w:p>
    <w:p>
      <w:pPr>
        <w:spacing w:after="0" w:line="181"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Issue</w:t>
      </w:r>
      <w:r>
        <w:rPr>
          <w:rFonts w:ascii="Times New Roman" w:cs="Times New Roman" w:eastAsia="Times New Roman" w:hAnsi="Times New Roman"/>
          <w:sz w:val="22"/>
          <w:szCs w:val="22"/>
          <w:color w:val="auto"/>
        </w:rPr>
        <w:t>” means, with respect to any Redemption Date, the United States Treasury security selected by the Quotation Agent that would be utilized, at the time of selection and in accordance with customary financial practice, in pricing new issues of corporate debt securities of comparable maturity to the remaining term of the Notes.</w:t>
      </w:r>
    </w:p>
    <w:p>
      <w:pPr>
        <w:spacing w:after="0" w:line="194"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Price</w:t>
      </w:r>
      <w:r>
        <w:rPr>
          <w:rFonts w:ascii="Times New Roman" w:cs="Times New Roman" w:eastAsia="Times New Roman" w:hAnsi="Times New Roman"/>
          <w:sz w:val="22"/>
          <w:szCs w:val="22"/>
          <w:color w:val="auto"/>
        </w:rPr>
        <w:t>” means, with respect to any Redemption Date, (1) the average of the Reference Treasury Dealer Quotations for such Redemption Date, after excluding the highest and lowest Reference Treasury Dealer Quotations, or (2) if the Quotation Agent obtains fewer than three Reference Treasury Dealer Quotations, the average of all such Reference Treasury Dealer Quotations, such average in any case to be determined by the Quotation Agent, or (3) if only one Reference Treasury Dealer Quotation is received, such Reference Treasury Dealer Quotation.</w:t>
      </w:r>
    </w:p>
    <w:p>
      <w:pPr>
        <w:spacing w:after="0" w:line="204" w:lineRule="exact"/>
        <w:rPr>
          <w:sz w:val="20"/>
          <w:szCs w:val="20"/>
          <w:color w:val="auto"/>
        </w:rPr>
      </w:pPr>
    </w:p>
    <w:p>
      <w:pPr>
        <w:ind w:right="8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Quotation Agent</w:t>
      </w:r>
      <w:r>
        <w:rPr>
          <w:rFonts w:ascii="Times New Roman" w:cs="Times New Roman" w:eastAsia="Times New Roman" w:hAnsi="Times New Roman"/>
          <w:sz w:val="22"/>
          <w:szCs w:val="22"/>
          <w:color w:val="auto"/>
        </w:rPr>
        <w:t>” means, with respect to any Redemption Date, the Reference Treasury Dealer appointed by the Company.</w:t>
      </w:r>
    </w:p>
    <w:p>
      <w:pPr>
        <w:spacing w:after="0" w:line="17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Treasury Dealer</w:t>
      </w:r>
      <w:r>
        <w:rPr>
          <w:rFonts w:ascii="Times New Roman" w:cs="Times New Roman" w:eastAsia="Times New Roman" w:hAnsi="Times New Roman"/>
          <w:sz w:val="22"/>
          <w:szCs w:val="22"/>
          <w:color w:val="auto"/>
        </w:rPr>
        <w:t>” means, with respect to any Redemption Date, each of (1) BofA Securities, Inc. and Citigroup Global Markets Inc. (or their respective affiliates that are primary U.S. Government securities dealers) and their respective successors; provided, however, that if any of them shall cease to be a primary U.S. Government securities dealer in the United States of America (a “</w:t>
      </w:r>
      <w:r>
        <w:rPr>
          <w:rFonts w:ascii="Times New Roman" w:cs="Times New Roman" w:eastAsia="Times New Roman" w:hAnsi="Times New Roman"/>
          <w:sz w:val="22"/>
          <w:szCs w:val="22"/>
          <w:b w:val="1"/>
          <w:bCs w:val="1"/>
          <w:color w:val="auto"/>
        </w:rPr>
        <w:t>Primary Treasury Dealer</w:t>
      </w:r>
      <w:r>
        <w:rPr>
          <w:rFonts w:ascii="Times New Roman" w:cs="Times New Roman" w:eastAsia="Times New Roman" w:hAnsi="Times New Roman"/>
          <w:sz w:val="22"/>
          <w:szCs w:val="22"/>
          <w:color w:val="auto"/>
        </w:rPr>
        <w:t>”), the Company shall substitute for it another Primary Treasury Dealer; and (2) any other Primary Treasury Dealer or Dealers selected by the Company.</w:t>
      </w:r>
    </w:p>
    <w:p>
      <w:pPr>
        <w:spacing w:after="0" w:line="20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Reference Treasury Dealer Quotations</w:t>
      </w:r>
      <w:r>
        <w:rPr>
          <w:rFonts w:ascii="Times New Roman" w:cs="Times New Roman" w:eastAsia="Times New Roman" w:hAnsi="Times New Roman"/>
          <w:sz w:val="21"/>
          <w:szCs w:val="21"/>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in The City of New York preceding such Redemption Date.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4" w:name="page125"/>
    <w:bookmarkEnd w:id="124"/>
    <w:p>
      <w:pPr>
        <w:ind w:firstLine="648"/>
        <w:spacing w:after="0" w:line="236" w:lineRule="auto"/>
        <w:rPr>
          <w:sz w:val="20"/>
          <w:szCs w:val="20"/>
          <w:color w:val="auto"/>
        </w:rPr>
      </w:pPr>
      <w:r>
        <w:rPr>
          <w:rFonts w:ascii="Times New Roman" w:cs="Times New Roman" w:eastAsia="Times New Roman" w:hAnsi="Times New Roman"/>
          <w:sz w:val="22"/>
          <w:szCs w:val="22"/>
          <w:color w:val="auto"/>
        </w:rPr>
        <w:t>Notice of any redemption will be sent at least 10 days but not more than 60 days before the Redemption Date to each Holder of the Notes to be redeemed, all as more fully provided in the Indenture. Unless the Company defaults in payment of the Redemption Price (or any accrued and unpaid interest on the Notes or portions thereof to be redeemed), on and after the Redemption Date interest will cease to accrue on the Notes or portions thereof called for redemption. If less than all of the Notes are to be redeemed, the Notes (or portions thereof) to be redeemed shall be selected, in the case of Global Notes, in accordance with the policies and procedures of the depository or, in the case of Definitive Notes, by the Trustee by such method as the Trustee shall deem fair and appropriate, all as more fully provided in the Indenture.</w:t>
      </w:r>
    </w:p>
    <w:p>
      <w:pPr>
        <w:spacing w:after="0" w:line="20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All notices of redemption shall state the Redemption Date, the Redemption Price (or, if not then ascertainable, the manner of calculation thereof), if fewer than all the Outstanding Notes are to be redeemed, the identification (and, in the case of partial redemption, the principal amounts) of the particular Notes to be redeemed, that on the Redemption Date the Redemption Price will become due and payable upon each Note, or portion thereof, to be redeemed, together with accrued and unpaid interest thereon, that interest on each Note, or portion thereof, called for redemption will cease to accrue on the Redemption Date and the place or places where Notes may be surrendered for redemption.</w:t>
      </w:r>
    </w:p>
    <w:p>
      <w:pPr>
        <w:spacing w:after="0" w:line="209"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In the event of redemption of this Note in part only, a new Note or Notes of like tenor in an aggregate principal amount equal to and in exchange for the unredeemed portion of the principal amount hereof will be issued in authorized denominations in the name of the Holder hereof upon surrender hereof.</w:t>
      </w:r>
    </w:p>
    <w:p>
      <w:pPr>
        <w:spacing w:after="0" w:line="201" w:lineRule="exact"/>
        <w:rPr>
          <w:sz w:val="20"/>
          <w:szCs w:val="20"/>
          <w:color w:val="auto"/>
        </w:rPr>
      </w:pPr>
    </w:p>
    <w:p>
      <w:pPr>
        <w:ind w:right="340" w:firstLine="648"/>
        <w:spacing w:after="0" w:line="244" w:lineRule="auto"/>
        <w:rPr>
          <w:sz w:val="20"/>
          <w:szCs w:val="20"/>
          <w:color w:val="auto"/>
        </w:rPr>
      </w:pPr>
      <w:r>
        <w:rPr>
          <w:rFonts w:ascii="Times New Roman" w:cs="Times New Roman" w:eastAsia="Times New Roman" w:hAnsi="Times New Roman"/>
          <w:sz w:val="22"/>
          <w:szCs w:val="22"/>
          <w:color w:val="auto"/>
        </w:rPr>
        <w:t>For all purposes of this Note and the Indenture, unless the context otherwise requires, all provisions relating to the redemption by the Company of this Note shall relate, in the case that this Note is redeemed, or to be redeemed, by the Company only in part, to that portion of the principal amount of this Note that has been, or is to be, redeemed.</w:t>
      </w:r>
    </w:p>
    <w:p>
      <w:pPr>
        <w:spacing w:after="0" w:line="20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If an Event of Default with respect to the Notes shall occur and be continuing, the principal of and accrued interest on the Notes may be declared due and payable in the manner and with the effect provided in the Indenture.</w:t>
      </w:r>
    </w:p>
    <w:p>
      <w:pPr>
        <w:spacing w:after="0" w:line="185"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 (ii) 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5" w:name="page126"/>
    <w:bookmarkEnd w:id="125"/>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Note, subject to the provisions for satisfaction and discharge in Article Four of the Indenture, shall alter or impair the obligation of the Company, which is absolute and unconditional, to pay the principal of and interest on this Note at the times, place and rate, and in the coin or currency, herein prescribed.</w:t>
      </w:r>
    </w:p>
    <w:p>
      <w:pPr>
        <w:spacing w:after="0" w:line="201"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The Company shall be permitted, by irrevocably depositing cash or U.S. Government Obligations, in amounts and maturities sufficient to pay and discharge at the Stated Maturity or Redemption Date, as the case may be, the entire indebtedness on all Outstanding Notes that have become due and payable or will become due and payable within one year (or are scheduled for redemption within one year), with the Trustee in trust, solely for the benefit of the Holders of all Outstanding Notes, to defease the Indenture with respect to such Notes (subject to specified exceptions), and upon such deposit and satisfaction of the other conditions set forth in the Indenture, the Company shall be deemed to have paid and discharged its entire indebtedness on the Notes.</w:t>
      </w:r>
    </w:p>
    <w:p>
      <w:pPr>
        <w:spacing w:after="0" w:line="211"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Company shall also be permitted to discharge, at any time, its obligations in respect of the Notes (other than certain limited obligations, such as the obligation to transfer and exchange the Notes) by (1)(a) delivering all of the outstanding Notes to the Trustee to be cancelled or (b) depositing with the Trustee in trust funds or non-callable United States government or government-guaranteed obligations sufficient, without investment, to pay all remaining principal and interest on the Notes and (2) complying with certain other provisions of the Indenture, including delivering to the Trustee an opinion of counsel from a nationally recognized counsel or an IRS ruling stating that (A) the Company has received from, or there has been published by, the Internal Revenue Service a ruling or (B) since the date of the Indenture, there has been a change in the applicable federal income tax law, in the case of either (A) or (B) to the effect that the Holders of the Notes will not recognize income, gain or loss for federal income tax purposes as a result of such discharge and will be subject to federal income tax on the same amount, in the same manner and at the same times as would be the case if such deposit and discharge were not to occur.</w:t>
      </w:r>
    </w:p>
    <w:p>
      <w:pPr>
        <w:spacing w:after="0" w:line="208"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therein set forth, the transfer of Notes is registrable in the Security Register, upon surrender of a Note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Notes of like tenor, of authorized denominations and for the same aggregate principal amount, will be issued to the designated transferee or transferees.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6" w:name="page127"/>
    <w:bookmarkEnd w:id="126"/>
    <w:p>
      <w:pPr>
        <w:ind w:firstLine="648"/>
        <w:spacing w:after="0" w:line="262" w:lineRule="auto"/>
        <w:rPr>
          <w:sz w:val="20"/>
          <w:szCs w:val="20"/>
          <w:color w:val="auto"/>
        </w:rPr>
      </w:pPr>
      <w:r>
        <w:rPr>
          <w:rFonts w:ascii="Times New Roman" w:cs="Times New Roman" w:eastAsia="Times New Roman" w:hAnsi="Times New Roman"/>
          <w:sz w:val="21"/>
          <w:szCs w:val="21"/>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18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201"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This Note shall be governed by and construed in accordance with the law of the State of New York (without regard to conflicts of laws principles thereof).</w:t>
      </w:r>
    </w:p>
    <w:p>
      <w:pPr>
        <w:spacing w:after="0" w:line="185"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1"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All undefined terms (whether or not capitalized) used in this Note which are defined in the Indenture shall have the meanings assigned to them in the Indenture.</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27" w:name="page128"/>
    <w:bookmarkEnd w:id="127"/>
    <w:p>
      <w:pPr>
        <w:ind w:left="468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assign this Note, fill in the form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-127635</wp:posOffset>
            </wp:positionV>
            <wp:extent cx="579755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53873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311277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appear(s) on the face of this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The signature must be guaranteed by an institution that is a member of one of the following recognized signature</w:t>
      </w:r>
    </w:p>
    <w:p>
      <w:pPr>
        <w:spacing w:after="0" w:line="26" w:lineRule="exact"/>
        <w:rPr>
          <w:sz w:val="20"/>
          <w:szCs w:val="20"/>
          <w:color w:val="auto"/>
        </w:rPr>
      </w:pPr>
    </w:p>
    <w:p>
      <w:pPr>
        <w:jc w:val="both"/>
        <w:ind w:right="220"/>
        <w:spacing w:after="0" w:line="235" w:lineRule="auto"/>
        <w:rPr>
          <w:sz w:val="20"/>
          <w:szCs w:val="20"/>
          <w:color w:val="auto"/>
        </w:rPr>
      </w:pPr>
      <w:r>
        <w:rPr>
          <w:rFonts w:ascii="Times New Roman" w:cs="Times New Roman" w:eastAsia="Times New Roman" w:hAnsi="Times New Roman"/>
          <w:sz w:val="22"/>
          <w:szCs w:val="22"/>
          <w:color w:val="auto"/>
        </w:rPr>
        <w:t>guarantee programs: (i) The Securities Transfer Agent Medallion Program (STAMP); (ii) The New York Stock Exchange Medallion Program (MNSP); (iii) The Stock Exchange Medallion Program (SEMP); or (iv) such other guarantee program acceptable to the Trustee.</w:t>
      </w:r>
    </w:p>
    <w:p>
      <w:pPr>
        <w:spacing w:after="0" w:line="3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11" w:right="87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p>
    <w:p>
      <w:pPr>
        <w:spacing w:after="0" w:line="234"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 of</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Authorized</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Decrease in</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Officer of</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Principal</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Trustee or</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Amount of this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2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Date of Exchange</w:t>
            </w:r>
          </w:p>
        </w:tc>
        <w:tc>
          <w:tcPr>
            <w:tcW w:w="2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Global Note</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Custodian</w:t>
            </w:r>
          </w:p>
        </w:tc>
      </w:tr>
      <w:tr>
        <w:trPr>
          <w:trHeight w:val="598"/>
        </w:trPr>
        <w:tc>
          <w:tcPr>
            <w:tcW w:w="2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60" w:type="dxa"/>
            <w:vAlign w:val="bottom"/>
          </w:tcPr>
          <w:p>
            <w:pPr>
              <w:jc w:val="right"/>
              <w:ind w:right="733"/>
              <w:spacing w:after="0"/>
              <w:rPr>
                <w:sz w:val="20"/>
                <w:szCs w:val="20"/>
                <w:color w:val="auto"/>
              </w:rPr>
            </w:pPr>
            <w:r>
              <w:rPr>
                <w:rFonts w:ascii="Times New Roman" w:cs="Times New Roman" w:eastAsia="Times New Roman" w:hAnsi="Times New Roman"/>
                <w:sz w:val="14"/>
                <w:szCs w:val="14"/>
                <w:color w:val="auto"/>
              </w:rPr>
              <w:t>11</w:t>
            </w:r>
          </w:p>
        </w:tc>
        <w:tc>
          <w:tcPr>
            <w:tcW w:w="25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98"/>
        </w:trPr>
        <w:tc>
          <w:tcPr>
            <w:tcW w:w="20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1" w:right="239" w:bottom="1440" w:gutter="0" w:footer="0" w:header="0"/>
        </w:sectPr>
      </w:pPr>
    </w:p>
    <w:bookmarkStart w:id="129" w:name="page130"/>
    <w:bookmarkEnd w:id="129"/>
    <w:p>
      <w:pPr>
        <w:ind w:left="103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4.14</w:t>
      </w:r>
    </w:p>
    <w:p>
      <w:pPr>
        <w:spacing w:after="0" w:line="24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A NEW YORK CORPORATION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00" w:type="dxa"/>
            <w:vAlign w:val="bottom"/>
          </w:tcPr>
          <w:p>
            <w:pPr>
              <w:spacing w:after="0"/>
              <w:rPr>
                <w:sz w:val="24"/>
                <w:szCs w:val="24"/>
                <w:color w:val="auto"/>
              </w:rPr>
            </w:pPr>
          </w:p>
        </w:tc>
        <w:tc>
          <w:tcPr>
            <w:tcW w:w="85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OCCIDENTAL PETROLEUM CORPORATION</w:t>
            </w:r>
          </w:p>
        </w:tc>
      </w:tr>
      <w:tr>
        <w:trPr>
          <w:trHeight w:val="486"/>
        </w:trPr>
        <w:tc>
          <w:tcPr>
            <w:tcW w:w="2900" w:type="dxa"/>
            <w:vAlign w:val="bottom"/>
          </w:tcPr>
          <w:p>
            <w:pPr>
              <w:spacing w:after="0"/>
              <w:rPr>
                <w:sz w:val="24"/>
                <w:szCs w:val="24"/>
                <w:color w:val="auto"/>
              </w:rPr>
            </w:pPr>
          </w:p>
        </w:tc>
        <w:tc>
          <w:tcPr>
            <w:tcW w:w="8520" w:type="dxa"/>
            <w:vAlign w:val="bottom"/>
          </w:tcPr>
          <w:p>
            <w:pPr>
              <w:ind w:left="1140"/>
              <w:spacing w:after="0"/>
              <w:rPr>
                <w:sz w:val="20"/>
                <w:szCs w:val="20"/>
                <w:color w:val="auto"/>
              </w:rPr>
            </w:pPr>
            <w:r>
              <w:rPr>
                <w:rFonts w:ascii="Times New Roman" w:cs="Times New Roman" w:eastAsia="Times New Roman" w:hAnsi="Times New Roman"/>
                <w:sz w:val="22"/>
                <w:szCs w:val="22"/>
                <w:b w:val="1"/>
                <w:bCs w:val="1"/>
                <w:color w:val="auto"/>
              </w:rPr>
              <w:t>7.875% SENIOR NOTES DUE 2031</w:t>
            </w: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59"/>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CUSIP: 674599 DE2</w:t>
            </w:r>
          </w:p>
        </w:tc>
        <w:tc>
          <w:tcPr>
            <w:tcW w:w="852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ISIN: US674599DE26</w:t>
            </w:r>
          </w:p>
        </w:tc>
        <w:tc>
          <w:tcPr>
            <w:tcW w:w="8520" w:type="dxa"/>
            <w:vAlign w:val="bottom"/>
          </w:tcPr>
          <w:p>
            <w:pPr>
              <w:spacing w:after="0"/>
              <w:rPr>
                <w:sz w:val="24"/>
                <w:szCs w:val="24"/>
                <w:color w:val="auto"/>
              </w:rPr>
            </w:pP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September 15, 2031</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7.875% per annum</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15 and September 15, commencing March 15, 2020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1 and September 1</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29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30" w:name="page131"/>
    <w:bookmarkEnd w:id="130"/>
    <w:p>
      <w:pPr>
        <w:ind w:right="20" w:firstLine="648"/>
        <w:spacing w:after="0" w:line="244" w:lineRule="auto"/>
        <w:rPr>
          <w:sz w:val="20"/>
          <w:szCs w:val="20"/>
          <w:color w:val="auto"/>
        </w:rPr>
      </w:pPr>
      <w:r>
        <w:rPr>
          <w:rFonts w:ascii="Times New Roman" w:cs="Times New Roman" w:eastAsia="Times New Roman" w:hAnsi="Times New Roman"/>
          <w:sz w:val="21"/>
          <w:szCs w:val="21"/>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(unless and to the extent earlier redeemed prior to such Maturity Date) and to pay interest thereon from September 15, 2019 or from the most recent Interest Payment Date to which interest has been paid or duly provided for, semi-annually in arrears on March 15 and September 15 in each year, commencing on March 15, 2020, at the rate per annum specified above, until the principal hereof is paid or made available for payment. Interest on this Note will be computed on the basis of a</w:t>
      </w:r>
    </w:p>
    <w:p>
      <w:pPr>
        <w:spacing w:after="0" w:line="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 xml:space="preserve">360-day year comprised of twelve 30-day months. Interest payments for this Note will include interest accrued to but excluding each Interest Payment Date. The interest so payable, and punctually paid or duly provided for, on any Interest Payment Date will, as provided in the Indenture, be paid to the Person in whose name this Note (or one or more Predecessor Securities) is registered at the close of business on the Regular Record Date, which shall be the March 1 or September 1 (whether or not a Business Day), as the case may be, immediately preceding such Interest Payment Date. If any Interest Payment Date or Maturity with respect to this Note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Note (or one or more Predecessor Securities) is registered at the close of business on a Special Record Date for the payment of such Defaulted Interest to be fixed by the Trustee (as defined below), notice of which will be given to Holders of Notes not less than 10 days prior to such Special Record Date, or (2) be paid at any time in any other lawful manner not inconsistent with the requirements of any securities exchange on which the Notes may be listed, and upon such notice as may be required by such exchange, all as more fully provided in the Indenture. Payment of the principal of and interest on this Note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Note set forth below, which further provisions shall for all purposes have the same effect as if set forth at this place.</w:t>
      </w:r>
    </w:p>
    <w:p>
      <w:pPr>
        <w:spacing w:after="0" w:line="18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or its duly appointed co-authenticating agent by manual signature, this Note shall not be entitled to any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31" w:name="page132"/>
    <w:bookmarkEnd w:id="131"/>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OCCIDENTAL PETROLEUM CORPORATION has caused this Note to be signed by the signature of its Chairman of the Board, its President, a Vice President, its Treasurer or an Assistant Treasurer.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60"/>
          </w:cols>
          <w:pgMar w:left="240" w:top="111" w:right="799" w:bottom="1440" w:gutter="0" w:footer="0" w:header="0"/>
        </w:sectPr>
      </w:pPr>
    </w:p>
    <w:bookmarkStart w:id="132" w:name="page133"/>
    <w:bookmarkEnd w:id="132"/>
    <w:p>
      <w:pPr>
        <w:ind w:left="3320"/>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 mentioned Indenture.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1" w:right="1440" w:bottom="1440" w:gutter="0" w:footer="0" w:header="0"/>
        </w:sectPr>
      </w:pPr>
    </w:p>
    <w:bookmarkStart w:id="133" w:name="page134"/>
    <w:bookmarkEnd w:id="133"/>
    <w:p>
      <w:pPr>
        <w:ind w:right="200" w:firstLine="648"/>
        <w:spacing w:after="0" w:line="241" w:lineRule="auto"/>
        <w:rPr>
          <w:sz w:val="20"/>
          <w:szCs w:val="20"/>
          <w:color w:val="auto"/>
        </w:rPr>
      </w:pPr>
      <w:r>
        <w:rPr>
          <w:rFonts w:ascii="Times New Roman" w:cs="Times New Roman" w:eastAsia="Times New Roman" w:hAnsi="Times New Roman"/>
          <w:sz w:val="22"/>
          <w:szCs w:val="22"/>
          <w:color w:val="auto"/>
        </w:rPr>
        <w:t>This Note is one of a duly authorized issue of securities (herein called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of the Company, issued and to be issued pursuant to the Indenture (as defined below). This Note is one of a series designated by the Company as its 7.875% Senior Notes due 2031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limited in initial aggregate principal amount to $[ ]. The Indenture does not limit the aggregate principal amount of the Securities.</w:t>
      </w:r>
    </w:p>
    <w:p>
      <w:pPr>
        <w:spacing w:after="0" w:line="20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Company issued this Note pursuant to an Indenture, dated as of August 8, 2019 (herein called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which term, for the purpose of this Note,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Notes and of the terms upon which the Notes are, and are to be, authenticated and delivered.</w:t>
      </w:r>
    </w:p>
    <w:p>
      <w:pPr>
        <w:spacing w:after="0" w:line="207"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The Notes are issuable in denominations of $1,000 and any amount in excess thereof which is an integral multiple of $1,000. As provided in the Indenture and subject to certain limitations therein set forth, the Notes are exchangeable for a like aggregate principal amount of Notes of like tenor of any authorized denomination, as requested by the Holder surrendering the same, upon surrender of the Note or Notes to be exchanged at any office or agency described below where Notes may be presented for registration of transfer.</w:t>
      </w:r>
    </w:p>
    <w:p>
      <w:pPr>
        <w:spacing w:after="0" w:line="204"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The Company may, from time to time, without notice to or the consent of the Holders of the Notes, reopen the Notes and issue additional Notes.</w:t>
      </w:r>
    </w:p>
    <w:p>
      <w:pPr>
        <w:spacing w:after="0" w:line="185"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The Notes are redeemable, in whole at any time or in part from time to time prior to final maturity, at the option of the Company at a Redemption Price equal to the greater of (i) 100% of the principal amount of the Notes to be redeemed and (ii) as determined by the Quotation Agent, the sum of the present values of the remaining scheduled payments of principal and interest on the Notes to be redeemed through the final maturity (not including any portion of such payments of interest accrued to, but not including, the Redemption Date) discounted to the Redemption Date on a semi-annual basis (assuming a 360-day year comprised of twelve 30-day months) at the Treasury Rate (as defined herein) plus 25 basis points plus, in each case, accrued and unpaid interest on the principal amount of the Notes being redeemed to, but not including, the Redemption Date. Notwithstanding the foregoing, installments of interest whose Stated Maturity is on or prior to the relevant Redemption Date shall be payable to the Holders of the Notes, or one or more Predecessor Securities, of record at the close of business on the relevant Regular Record Dates according to their terms and the provisions of the Indenture.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134" w:name="page135"/>
    <w:bookmarkEnd w:id="134"/>
    <w:p>
      <w:pPr>
        <w:ind w:right="20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Rate</w:t>
      </w:r>
      <w:r>
        <w:rPr>
          <w:rFonts w:ascii="Times New Roman" w:cs="Times New Roman" w:eastAsia="Times New Roman" w:hAnsi="Times New Roman"/>
          <w:sz w:val="22"/>
          <w:szCs w:val="22"/>
          <w:color w:val="auto"/>
        </w:rPr>
        <w:t>” means, with respect to any Redemption Date, the rate per annum, as determined by the Quotation Agent equal to:</w:t>
      </w:r>
    </w:p>
    <w:p>
      <w:pPr>
        <w:spacing w:after="0" w:line="191" w:lineRule="exact"/>
        <w:rPr>
          <w:sz w:val="20"/>
          <w:szCs w:val="20"/>
          <w:color w:val="auto"/>
        </w:rPr>
      </w:pPr>
    </w:p>
    <w:p>
      <w:pPr>
        <w:jc w:val="both"/>
        <w:ind w:left="660" w:hanging="328"/>
        <w:spacing w:after="0" w:line="255"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provided that if no maturity is within three months before or after the remaining term of the Notes to be redeemed, yields for the two published maturities most closely corresponding to the Comparable Treasury Issue will be determined and the Treasury Rate will be interpolated or extrapolated from those yields on a straight-line basis rounding to the nearest month; or</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that Redemption Date.</w:t>
      </w:r>
    </w:p>
    <w:p>
      <w:pPr>
        <w:spacing w:after="0" w:line="194" w:lineRule="exact"/>
        <w:rPr>
          <w:sz w:val="20"/>
          <w:szCs w:val="20"/>
          <w:color w:val="auto"/>
        </w:rPr>
      </w:pPr>
    </w:p>
    <w:p>
      <w:pPr>
        <w:ind w:right="1040" w:firstLine="648"/>
        <w:spacing w:after="0" w:line="258" w:lineRule="auto"/>
        <w:rPr>
          <w:sz w:val="20"/>
          <w:szCs w:val="20"/>
          <w:color w:val="auto"/>
        </w:rPr>
      </w:pPr>
      <w:r>
        <w:rPr>
          <w:rFonts w:ascii="Times New Roman" w:cs="Times New Roman" w:eastAsia="Times New Roman" w:hAnsi="Times New Roman"/>
          <w:sz w:val="22"/>
          <w:szCs w:val="22"/>
          <w:color w:val="auto"/>
        </w:rPr>
        <w:t>The Treasury Rate will be calculated at 5:00 p.m. (New York City time) on the third Business Day preceding the Redemption Date by the Quotation Agent.</w:t>
      </w:r>
    </w:p>
    <w:p>
      <w:pPr>
        <w:spacing w:after="0" w:line="181"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Issue</w:t>
      </w:r>
      <w:r>
        <w:rPr>
          <w:rFonts w:ascii="Times New Roman" w:cs="Times New Roman" w:eastAsia="Times New Roman" w:hAnsi="Times New Roman"/>
          <w:sz w:val="22"/>
          <w:szCs w:val="22"/>
          <w:color w:val="auto"/>
        </w:rPr>
        <w:t>” means, with respect to any Redemption Date, the United States Treasury security selected by the Quotation Agent that would be utilized, at the time of selection and in accordance with customary financial practice, in pricing new issues of corporate debt securities of comparable maturity to the remaining term of the Notes.</w:t>
      </w:r>
    </w:p>
    <w:p>
      <w:pPr>
        <w:spacing w:after="0" w:line="194"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Price</w:t>
      </w:r>
      <w:r>
        <w:rPr>
          <w:rFonts w:ascii="Times New Roman" w:cs="Times New Roman" w:eastAsia="Times New Roman" w:hAnsi="Times New Roman"/>
          <w:sz w:val="22"/>
          <w:szCs w:val="22"/>
          <w:color w:val="auto"/>
        </w:rPr>
        <w:t>” means, with respect to any Redemption Date, (1) the average of the Reference Treasury Dealer Quotations for such Redemption Date, after excluding the highest and lowest Reference Treasury Dealer Quotations, or (2) if the Quotation Agent obtains fewer than three Reference Treasury Dealer Quotations, the average of all such Reference Treasury Dealer Quotations, such average in any case to be determined by the Quotation Agent, or (3) if only one Reference Treasury Dealer Quotation is received, such Reference Treasury Dealer Quotation.</w:t>
      </w:r>
    </w:p>
    <w:p>
      <w:pPr>
        <w:spacing w:after="0" w:line="204" w:lineRule="exact"/>
        <w:rPr>
          <w:sz w:val="20"/>
          <w:szCs w:val="20"/>
          <w:color w:val="auto"/>
        </w:rPr>
      </w:pPr>
    </w:p>
    <w:p>
      <w:pPr>
        <w:ind w:right="8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Quotation Agent</w:t>
      </w:r>
      <w:r>
        <w:rPr>
          <w:rFonts w:ascii="Times New Roman" w:cs="Times New Roman" w:eastAsia="Times New Roman" w:hAnsi="Times New Roman"/>
          <w:sz w:val="22"/>
          <w:szCs w:val="22"/>
          <w:color w:val="auto"/>
        </w:rPr>
        <w:t>” means, with respect to any Redemption Date, the Reference Treasury Dealer appointed by the Company.</w:t>
      </w:r>
    </w:p>
    <w:p>
      <w:pPr>
        <w:spacing w:after="0" w:line="17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Treasury Dealer</w:t>
      </w:r>
      <w:r>
        <w:rPr>
          <w:rFonts w:ascii="Times New Roman" w:cs="Times New Roman" w:eastAsia="Times New Roman" w:hAnsi="Times New Roman"/>
          <w:sz w:val="22"/>
          <w:szCs w:val="22"/>
          <w:color w:val="auto"/>
        </w:rPr>
        <w:t>” means, with respect to any Redemption Date, each of (1) BofA Securities, Inc. and Citigroup Global Markets Inc. (or their respective affiliates that are primary U.S. Government securities dealers) and their respective successors; provided, however, that if any of them shall cease to be a primary U.S. Government securities dealer in the United States of America (a “</w:t>
      </w:r>
      <w:r>
        <w:rPr>
          <w:rFonts w:ascii="Times New Roman" w:cs="Times New Roman" w:eastAsia="Times New Roman" w:hAnsi="Times New Roman"/>
          <w:sz w:val="22"/>
          <w:szCs w:val="22"/>
          <w:b w:val="1"/>
          <w:bCs w:val="1"/>
          <w:color w:val="auto"/>
        </w:rPr>
        <w:t>Primary Treasury Dealer</w:t>
      </w:r>
      <w:r>
        <w:rPr>
          <w:rFonts w:ascii="Times New Roman" w:cs="Times New Roman" w:eastAsia="Times New Roman" w:hAnsi="Times New Roman"/>
          <w:sz w:val="22"/>
          <w:szCs w:val="22"/>
          <w:color w:val="auto"/>
        </w:rPr>
        <w:t>”), the Company shall substitute for it another Primary Treasury Dealer; and (2) any other Primary Treasury Dealer or Dealers selected by the Company.</w:t>
      </w:r>
    </w:p>
    <w:p>
      <w:pPr>
        <w:spacing w:after="0" w:line="20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Reference Treasury Dealer Quotations</w:t>
      </w:r>
      <w:r>
        <w:rPr>
          <w:rFonts w:ascii="Times New Roman" w:cs="Times New Roman" w:eastAsia="Times New Roman" w:hAnsi="Times New Roman"/>
          <w:sz w:val="21"/>
          <w:szCs w:val="21"/>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in The City of New York preceding such Redemption Date.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35" w:name="page136"/>
    <w:bookmarkEnd w:id="135"/>
    <w:p>
      <w:pPr>
        <w:ind w:firstLine="648"/>
        <w:spacing w:after="0" w:line="236" w:lineRule="auto"/>
        <w:rPr>
          <w:sz w:val="20"/>
          <w:szCs w:val="20"/>
          <w:color w:val="auto"/>
        </w:rPr>
      </w:pPr>
      <w:r>
        <w:rPr>
          <w:rFonts w:ascii="Times New Roman" w:cs="Times New Roman" w:eastAsia="Times New Roman" w:hAnsi="Times New Roman"/>
          <w:sz w:val="22"/>
          <w:szCs w:val="22"/>
          <w:color w:val="auto"/>
        </w:rPr>
        <w:t>Notice of any redemption will be sent at least 10 days but not more than 60 days before the Redemption Date to each Holder of the Notes to be redeemed, all as more fully provided in the Indenture. Unless the Company defaults in payment of the Redemption Price (or any accrued and unpaid interest on the Notes or portions thereof to be redeemed), on and after the Redemption Date interest will cease to accrue on the Notes or portions thereof called for redemption. If less than all of the Notes are to be redeemed, the Notes (or portions thereof) to be redeemed shall be selected, in the case of Global Notes, in accordance with the policies and procedures of the depository or, in the case of Definitive Notes, by the Trustee by such method as the Trustee shall deem fair and appropriate, all as more fully provided in the Indenture.</w:t>
      </w:r>
    </w:p>
    <w:p>
      <w:pPr>
        <w:spacing w:after="0" w:line="20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All notices of redemption shall state the Redemption Date, the Redemption Price (or, if not then ascertainable, the manner of calculation thereof), if fewer than all the Outstanding Notes are to be redeemed, the identification (and, in the case of partial redemption, the principal amounts) of the particular Notes to be redeemed, that on the Redemption Date the Redemption Price will become due and payable upon each Note, or portion thereof, to be redeemed, together with accrued and unpaid interest thereon, that interest on each Note, or portion thereof, called for redemption will cease to accrue on the Redemption Date and the place or places where Notes may be surrendered for redemption.</w:t>
      </w:r>
    </w:p>
    <w:p>
      <w:pPr>
        <w:spacing w:after="0" w:line="209"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In the event of redemption of this Note in part only, a new Note or Notes of like tenor in an aggregate principal amount equal to and in exchange for the unredeemed portion of the principal amount hereof will be issued in authorized denominations in the name of the Holder hereof upon surrender hereof.</w:t>
      </w:r>
    </w:p>
    <w:p>
      <w:pPr>
        <w:spacing w:after="0" w:line="201" w:lineRule="exact"/>
        <w:rPr>
          <w:sz w:val="20"/>
          <w:szCs w:val="20"/>
          <w:color w:val="auto"/>
        </w:rPr>
      </w:pPr>
    </w:p>
    <w:p>
      <w:pPr>
        <w:ind w:right="340" w:firstLine="648"/>
        <w:spacing w:after="0" w:line="244" w:lineRule="auto"/>
        <w:rPr>
          <w:sz w:val="20"/>
          <w:szCs w:val="20"/>
          <w:color w:val="auto"/>
        </w:rPr>
      </w:pPr>
      <w:r>
        <w:rPr>
          <w:rFonts w:ascii="Times New Roman" w:cs="Times New Roman" w:eastAsia="Times New Roman" w:hAnsi="Times New Roman"/>
          <w:sz w:val="22"/>
          <w:szCs w:val="22"/>
          <w:color w:val="auto"/>
        </w:rPr>
        <w:t>For all purposes of this Note and the Indenture, unless the context otherwise requires, all provisions relating to the redemption by the Company of this Note shall relate, in the case that this Note is redeemed, or to be redeemed, by the Company only in part, to that portion of the principal amount of this Note that has been, or is to be, redeemed.</w:t>
      </w:r>
    </w:p>
    <w:p>
      <w:pPr>
        <w:spacing w:after="0" w:line="20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If an Event of Default with respect to the Notes shall occur and be continuing, the principal of and accrued interest on the Notes may be declared due and payable in the manner and with the effect provided in the Indenture.</w:t>
      </w:r>
    </w:p>
    <w:p>
      <w:pPr>
        <w:spacing w:after="0" w:line="185"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 (ii) 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36" w:name="page137"/>
    <w:bookmarkEnd w:id="136"/>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Note, subject to the provisions for satisfaction and discharge in Article Four of the Indenture, shall alter or impair the obligation of the Company, which is absolute and unconditional, to pay the principal of and interest on this Note at the times, place and rate, and in the coin or currency, herein prescribed.</w:t>
      </w:r>
    </w:p>
    <w:p>
      <w:pPr>
        <w:spacing w:after="0" w:line="201"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The Company shall be permitted, by irrevocably depositing cash or U.S. Government Obligations, in amounts and maturities sufficient to pay and discharge at the Stated Maturity or Redemption Date, as the case may be, the entire indebtedness on all Outstanding Notes that have become due and payable or will become due and payable within one year (or are scheduled for redemption within one year), with the Trustee in trust, solely for the benefit of the Holders of all Outstanding Notes, to defease the Indenture with respect to such Notes (subject to specified exceptions), and upon such deposit and satisfaction of the other conditions set forth in the Indenture, the Company shall be deemed to have paid and discharged its entire indebtedness on the Notes.</w:t>
      </w:r>
    </w:p>
    <w:p>
      <w:pPr>
        <w:spacing w:after="0" w:line="211"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Company shall also be permitted to discharge, at any time, its obligations in respect of the Notes (other than certain limited obligations, such as the obligation to transfer and exchange the Notes) by (1)(a) delivering all of the outstanding Notes to the Trustee to be cancelled or (b) depositing with the Trustee in trust funds or non-callable United States government or government-guaranteed obligations sufficient, without investment, to pay all remaining principal and interest on the Notes and (2) complying with certain other provisions of the Indenture, including delivering to the Trustee an opinion of counsel from a nationally recognized counsel or an IRS ruling stating that (A) the Company has received from, or there has been published by, the Internal Revenue Service a ruling or (B) since the date of the Indenture, there has been a change in the applicable federal income tax law, in the case of either (A) or (B) to the effect that the Holders of the Notes will not recognize income, gain or loss for federal income tax purposes as a result of such discharge and will be subject to federal income tax on the same amount, in the same manner and at the same times as would be the case if such deposit and discharge were not to occur.</w:t>
      </w:r>
    </w:p>
    <w:p>
      <w:pPr>
        <w:spacing w:after="0" w:line="208"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22"/>
          <w:szCs w:val="22"/>
          <w:color w:val="auto"/>
        </w:rPr>
        <w:t>The Company shall also be permitted to omit to comply with the restrictive covenants described in Sections 1007 and 801 of the Indenture, with respect to the Notes, and the omission shall not be an Event of Default, pursuant to the Company’s right to covenant defeasance. In order to exercise the Company’s right to covenant defeasance, the Company will be required to deposit with the Trustee, in trust funds or non-callable United States government or government-guaranteed obligations, funds sufficient, without investment, to pay all remaining principal and interest on the Notes. To effect a covenant defeasance with respect to the Notes, the Company shall be required to deliver to the Trustee an opinion of counsel to the effect that the holders of the Notes will not recognize gain or loss for federal income tax purposes as a result of the deposit and the covenant defeasance and will be subject to federal income tax on the same amount, in the same manner and at the same times as would be the case if such deposit and covenant defeasance were not to occur.</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37" w:name="page138"/>
    <w:bookmarkEnd w:id="137"/>
    <w:p>
      <w:pPr>
        <w:ind w:firstLine="648"/>
        <w:spacing w:after="0" w:line="236"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therein set forth, the transfer of Notes is registrable in the Security Register, upon surrender of a Note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Notes of like tenor, of authorized denominations and for the same aggregate principal amount, will be issued to the designated transferee or transferees.</w:t>
      </w:r>
    </w:p>
    <w:p>
      <w:pPr>
        <w:spacing w:after="0" w:line="204"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1"/>
          <w:szCs w:val="21"/>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18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201"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This Note shall be governed by and construed in accordance with the law of the State of New York (without regard to conflicts of laws principles thereof).</w:t>
      </w:r>
    </w:p>
    <w:p>
      <w:pPr>
        <w:spacing w:after="0" w:line="185"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1"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All undefined terms (whether or not capitalized) used in this Note which are defined in the Indenture shall have the meanings assigned to them in the Indenture.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138" w:name="page139"/>
    <w:bookmarkEnd w:id="138"/>
    <w:p>
      <w:pPr>
        <w:ind w:left="468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assign this Note, fill in the form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-127635</wp:posOffset>
            </wp:positionV>
            <wp:extent cx="579755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53873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311277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appear(s) on the face of this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The signature must be guaranteed by an institution that is a member of one of the following recognized signature</w:t>
      </w:r>
    </w:p>
    <w:p>
      <w:pPr>
        <w:spacing w:after="0" w:line="26" w:lineRule="exact"/>
        <w:rPr>
          <w:sz w:val="20"/>
          <w:szCs w:val="20"/>
          <w:color w:val="auto"/>
        </w:rPr>
      </w:pPr>
    </w:p>
    <w:p>
      <w:pPr>
        <w:jc w:val="both"/>
        <w:ind w:right="220"/>
        <w:spacing w:after="0" w:line="235" w:lineRule="auto"/>
        <w:rPr>
          <w:sz w:val="20"/>
          <w:szCs w:val="20"/>
          <w:color w:val="auto"/>
        </w:rPr>
      </w:pPr>
      <w:r>
        <w:rPr>
          <w:rFonts w:ascii="Times New Roman" w:cs="Times New Roman" w:eastAsia="Times New Roman" w:hAnsi="Times New Roman"/>
          <w:sz w:val="22"/>
          <w:szCs w:val="22"/>
          <w:color w:val="auto"/>
        </w:rPr>
        <w:t>guarantee programs: (i) The Securities Transfer Agent Medallion Program (STAMP); (ii) The New York Stock Exchange Medallion Program (MNSP); (iii) The Stock Exchange Medallion Program (SEMP); or (iv) such other guarantee program acceptable to the Trustee.</w:t>
      </w:r>
    </w:p>
    <w:p>
      <w:pPr>
        <w:spacing w:after="0" w:line="3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11" w:right="87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p>
    <w:p>
      <w:pPr>
        <w:spacing w:after="0" w:line="234"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 of</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Authorized</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Decrease in</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Officer of</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Principal</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Trustee or</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Amount of this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2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Date of Exchange</w:t>
            </w:r>
          </w:p>
        </w:tc>
        <w:tc>
          <w:tcPr>
            <w:tcW w:w="2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Global Note</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Custodian</w:t>
            </w:r>
          </w:p>
        </w:tc>
      </w:tr>
      <w:tr>
        <w:trPr>
          <w:trHeight w:val="598"/>
        </w:trPr>
        <w:tc>
          <w:tcPr>
            <w:tcW w:w="2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60" w:type="dxa"/>
            <w:vAlign w:val="bottom"/>
          </w:tcPr>
          <w:p>
            <w:pPr>
              <w:jc w:val="right"/>
              <w:ind w:right="733"/>
              <w:spacing w:after="0"/>
              <w:rPr>
                <w:sz w:val="20"/>
                <w:szCs w:val="20"/>
                <w:color w:val="auto"/>
              </w:rPr>
            </w:pPr>
            <w:r>
              <w:rPr>
                <w:rFonts w:ascii="Times New Roman" w:cs="Times New Roman" w:eastAsia="Times New Roman" w:hAnsi="Times New Roman"/>
                <w:sz w:val="14"/>
                <w:szCs w:val="14"/>
                <w:color w:val="auto"/>
              </w:rPr>
              <w:t>11</w:t>
            </w:r>
          </w:p>
        </w:tc>
        <w:tc>
          <w:tcPr>
            <w:tcW w:w="25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98"/>
        </w:trPr>
        <w:tc>
          <w:tcPr>
            <w:tcW w:w="20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1" w:right="239" w:bottom="1440" w:gutter="0" w:footer="0" w:header="0"/>
        </w:sectPr>
      </w:pPr>
    </w:p>
    <w:bookmarkStart w:id="140" w:name="page141"/>
    <w:bookmarkEnd w:id="140"/>
    <w:p>
      <w:pPr>
        <w:ind w:left="103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4.15</w:t>
      </w:r>
    </w:p>
    <w:p>
      <w:pPr>
        <w:spacing w:after="0" w:line="24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A NEW YORK CORPORATION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00" w:type="dxa"/>
            <w:vAlign w:val="bottom"/>
          </w:tcPr>
          <w:p>
            <w:pPr>
              <w:spacing w:after="0"/>
              <w:rPr>
                <w:sz w:val="24"/>
                <w:szCs w:val="24"/>
                <w:color w:val="auto"/>
              </w:rPr>
            </w:pPr>
          </w:p>
        </w:tc>
        <w:tc>
          <w:tcPr>
            <w:tcW w:w="85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OCCIDENTAL PETROLEUM CORPORATION</w:t>
            </w:r>
          </w:p>
        </w:tc>
      </w:tr>
      <w:tr>
        <w:trPr>
          <w:trHeight w:val="486"/>
        </w:trPr>
        <w:tc>
          <w:tcPr>
            <w:tcW w:w="2900" w:type="dxa"/>
            <w:vAlign w:val="bottom"/>
          </w:tcPr>
          <w:p>
            <w:pPr>
              <w:spacing w:after="0"/>
              <w:rPr>
                <w:sz w:val="24"/>
                <w:szCs w:val="24"/>
                <w:color w:val="auto"/>
              </w:rPr>
            </w:pPr>
          </w:p>
        </w:tc>
        <w:tc>
          <w:tcPr>
            <w:tcW w:w="8520" w:type="dxa"/>
            <w:vAlign w:val="bottom"/>
          </w:tcPr>
          <w:p>
            <w:pPr>
              <w:ind w:left="1140"/>
              <w:spacing w:after="0"/>
              <w:rPr>
                <w:sz w:val="20"/>
                <w:szCs w:val="20"/>
                <w:color w:val="auto"/>
              </w:rPr>
            </w:pPr>
            <w:r>
              <w:rPr>
                <w:rFonts w:ascii="Times New Roman" w:cs="Times New Roman" w:eastAsia="Times New Roman" w:hAnsi="Times New Roman"/>
                <w:sz w:val="22"/>
                <w:szCs w:val="22"/>
                <w:b w:val="1"/>
                <w:bCs w:val="1"/>
                <w:color w:val="auto"/>
              </w:rPr>
              <w:t>6.450% SENIOR NOTES DUE 2036</w:t>
            </w: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59"/>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CUSIP: 674599 DF9</w:t>
            </w:r>
          </w:p>
        </w:tc>
        <w:tc>
          <w:tcPr>
            <w:tcW w:w="852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ISIN: US674599DF90</w:t>
            </w:r>
          </w:p>
        </w:tc>
        <w:tc>
          <w:tcPr>
            <w:tcW w:w="8520" w:type="dxa"/>
            <w:vAlign w:val="bottom"/>
          </w:tcPr>
          <w:p>
            <w:pPr>
              <w:spacing w:after="0"/>
              <w:rPr>
                <w:sz w:val="24"/>
                <w:szCs w:val="24"/>
                <w:color w:val="auto"/>
              </w:rPr>
            </w:pP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September 15, 2036</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6.450% per annum</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15 and September 15, commencing March 15, 2020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1 and September 1</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29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41" w:name="page142"/>
    <w:bookmarkEnd w:id="141"/>
    <w:p>
      <w:pPr>
        <w:ind w:right="20" w:firstLine="648"/>
        <w:spacing w:after="0" w:line="244" w:lineRule="auto"/>
        <w:rPr>
          <w:sz w:val="20"/>
          <w:szCs w:val="20"/>
          <w:color w:val="auto"/>
        </w:rPr>
      </w:pPr>
      <w:r>
        <w:rPr>
          <w:rFonts w:ascii="Times New Roman" w:cs="Times New Roman" w:eastAsia="Times New Roman" w:hAnsi="Times New Roman"/>
          <w:sz w:val="21"/>
          <w:szCs w:val="21"/>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(unless and to the extent earlier redeemed prior to such Maturity Date) and to pay interest thereon from September 15, 2019 or from the most recent Interest Payment Date to which interest has been paid or duly provided for, semi-annually in arrears on March 15 and September 15 in each year, commencing on March 15, 2020, at the rate per annum specified above, until the principal hereof is paid or made available for payment. Interest on this Note will be computed on the basis of a</w:t>
      </w:r>
    </w:p>
    <w:p>
      <w:pPr>
        <w:spacing w:after="0" w:line="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 xml:space="preserve">360-day year comprised of twelve 30-day months. Interest payments for this Note will include interest accrued to but excluding each Interest Payment Date. The interest so payable, and punctually paid or duly provided for, on any Interest Payment Date will, as provided in the Indenture, be paid to the Person in whose name this Note (or one or more Predecessor Securities) is registered at the close of business on the Regular Record Date, which shall be the March 1 or September 1 (whether or not a Business Day), as the case may be, immediately preceding such Interest Payment Date. If any Interest Payment Date or Maturity with respect to this Note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Note (or one or more Predecessor Securities) is registered at the close of business on a Special Record Date for the payment of such Defaulted Interest to be fixed by the Trustee (as defined below), notice of which will be given to Holders of Notes not less than 10 days prior to such Special Record Date, or (2) be paid at any time in any other lawful manner not inconsistent with the requirements of any securities exchange on which the Notes may be listed, and upon such notice as may be required by such exchange, all as more fully provided in the Indenture. Payment of the principal of and interest on this Note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Note set forth below, which further provisions shall for all purposes have the same effect as if set forth at this place.</w:t>
      </w:r>
    </w:p>
    <w:p>
      <w:pPr>
        <w:spacing w:after="0" w:line="18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or its duly appointed co-authenticating agent by manual signature, this Note shall not be entitled to any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42" w:name="page143"/>
    <w:bookmarkEnd w:id="142"/>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OCCIDENTAL PETROLEUM CORPORATION has caused this Note to be signed by the signature of its Chairman of the Board, its President, a Vice President, its Treasurer or an Assistant Treasurer.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60"/>
          </w:cols>
          <w:pgMar w:left="240" w:top="112" w:right="799" w:bottom="1440" w:gutter="0" w:footer="0" w:header="0"/>
        </w:sectPr>
      </w:pPr>
    </w:p>
    <w:bookmarkStart w:id="143" w:name="page144"/>
    <w:bookmarkEnd w:id="143"/>
    <w:p>
      <w:pPr>
        <w:ind w:left="3320"/>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 mentioned Indenture.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of New York Mellon Trust Company, N.A., as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144" w:name="page145"/>
    <w:bookmarkEnd w:id="144"/>
    <w:p>
      <w:pPr>
        <w:ind w:right="200" w:firstLine="648"/>
        <w:spacing w:after="0" w:line="241" w:lineRule="auto"/>
        <w:rPr>
          <w:sz w:val="20"/>
          <w:szCs w:val="20"/>
          <w:color w:val="auto"/>
        </w:rPr>
      </w:pPr>
      <w:r>
        <w:rPr>
          <w:rFonts w:ascii="Times New Roman" w:cs="Times New Roman" w:eastAsia="Times New Roman" w:hAnsi="Times New Roman"/>
          <w:sz w:val="22"/>
          <w:szCs w:val="22"/>
          <w:color w:val="auto"/>
        </w:rPr>
        <w:t>This Note is one of a duly authorized issue of securities (herein called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of the Company, issued and to be issued pursuant to the Indenture (as defined below). This Note is one of a series designated by the Company as its 6.450% Senior Notes due 2036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limited in initial aggregate principal amount to $[ ]. The Indenture does not limit the aggregate principal amount of the Securities.</w:t>
      </w:r>
    </w:p>
    <w:p>
      <w:pPr>
        <w:spacing w:after="0" w:line="20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Company issued this Note pursuant to an Indenture, dated as of August 8, 2019 (herein called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which term, for the purpose of this Note,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Notes and of the terms upon which the Notes are, and are to be, authenticated and delivered.</w:t>
      </w:r>
    </w:p>
    <w:p>
      <w:pPr>
        <w:spacing w:after="0" w:line="207"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The Notes are issuable in denominations of $2,000 and any amount in excess thereof which is an integral multiple of $1,000. As provided in the Indenture and subject to certain limitations therein set forth, the Notes are exchangeable for a like aggregate principal amount of Notes of like tenor of any authorized denomination, as requested by the Holder surrendering the same, upon surrender of the Note or Notes to be exchanged at any office or agency described below where Notes may be presented for registration of transfer.</w:t>
      </w:r>
    </w:p>
    <w:p>
      <w:pPr>
        <w:spacing w:after="0" w:line="204"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The Company may, from time to time, without notice to or the consent of the Holders of the Notes, reopen the Notes and issue additional Notes.</w:t>
      </w:r>
    </w:p>
    <w:p>
      <w:pPr>
        <w:spacing w:after="0" w:line="185"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The Notes are redeemable, in whole at any time or in part from time to time prior to final maturity, at the option of the Company at a Redemption Price equal to the greater of (i) 100% of the principal amount of the Notes to be redeemed and (ii) as determined by the Quotation Agent, the sum of the present values of the remaining scheduled payments of principal and interest on the Notes to be redeemed through the final maturity (not including any portion of such payments of interest accrued to, but not including, the Redemption Date) discounted to the Redemption Date on a semi-annual basis (assuming a 360-day year comprised of twelve 30-day months) at the Treasury Rate (as defined herein) plus 30 basis points plus, in each case, accrued and unpaid interest on the principal amount of the Notes being redeemed to, but not including, the Redemption Date. Notwithstanding the foregoing, installments of interest whose Stated Maturity is on or prior to the relevant Redemption Date shall be payable to the Holders of the Notes, or one or more Predecessor Securities, of record at the close of business on the relevant Regular Record Dates according to their terms and the provisions of the Indenture.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145" w:name="page146"/>
    <w:bookmarkEnd w:id="145"/>
    <w:p>
      <w:pPr>
        <w:ind w:right="20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Rate</w:t>
      </w:r>
      <w:r>
        <w:rPr>
          <w:rFonts w:ascii="Times New Roman" w:cs="Times New Roman" w:eastAsia="Times New Roman" w:hAnsi="Times New Roman"/>
          <w:sz w:val="22"/>
          <w:szCs w:val="22"/>
          <w:color w:val="auto"/>
        </w:rPr>
        <w:t>” means, with respect to any Redemption Date, the rate per annum, as determined by the Quotation Agent equal to:</w:t>
      </w:r>
    </w:p>
    <w:p>
      <w:pPr>
        <w:spacing w:after="0" w:line="191" w:lineRule="exact"/>
        <w:rPr>
          <w:sz w:val="20"/>
          <w:szCs w:val="20"/>
          <w:color w:val="auto"/>
        </w:rPr>
      </w:pPr>
    </w:p>
    <w:p>
      <w:pPr>
        <w:jc w:val="both"/>
        <w:ind w:left="660" w:hanging="328"/>
        <w:spacing w:after="0" w:line="255"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provided that if no maturity is within three months before or after the remaining term of the Notes to be redeemed, yields for the two published maturities most closely corresponding to the Comparable Treasury Issue will be determined and the Treasury Rate will be interpolated or extrapolated from those yields on a straight-line basis rounding to the nearest month; or</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that Redemption Date.</w:t>
      </w:r>
    </w:p>
    <w:p>
      <w:pPr>
        <w:spacing w:after="0" w:line="194" w:lineRule="exact"/>
        <w:rPr>
          <w:sz w:val="20"/>
          <w:szCs w:val="20"/>
          <w:color w:val="auto"/>
        </w:rPr>
      </w:pPr>
    </w:p>
    <w:p>
      <w:pPr>
        <w:ind w:right="1040" w:firstLine="648"/>
        <w:spacing w:after="0" w:line="258" w:lineRule="auto"/>
        <w:rPr>
          <w:sz w:val="20"/>
          <w:szCs w:val="20"/>
          <w:color w:val="auto"/>
        </w:rPr>
      </w:pPr>
      <w:r>
        <w:rPr>
          <w:rFonts w:ascii="Times New Roman" w:cs="Times New Roman" w:eastAsia="Times New Roman" w:hAnsi="Times New Roman"/>
          <w:sz w:val="22"/>
          <w:szCs w:val="22"/>
          <w:color w:val="auto"/>
        </w:rPr>
        <w:t>The Treasury Rate will be calculated at 5:00 p.m. (New York City time) on the third Business Day preceding the Redemption Date by the Quotation Agent.</w:t>
      </w:r>
    </w:p>
    <w:p>
      <w:pPr>
        <w:spacing w:after="0" w:line="181"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Issue</w:t>
      </w:r>
      <w:r>
        <w:rPr>
          <w:rFonts w:ascii="Times New Roman" w:cs="Times New Roman" w:eastAsia="Times New Roman" w:hAnsi="Times New Roman"/>
          <w:sz w:val="22"/>
          <w:szCs w:val="22"/>
          <w:color w:val="auto"/>
        </w:rPr>
        <w:t>” means, with respect to any Redemption Date, the United States Treasury security selected by the Quotation Agent that would be utilized, at the time of selection and in accordance with customary financial practice, in pricing new issues of corporate debt securities of comparable maturity to the remaining term of the Notes.</w:t>
      </w:r>
    </w:p>
    <w:p>
      <w:pPr>
        <w:spacing w:after="0" w:line="194"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Price</w:t>
      </w:r>
      <w:r>
        <w:rPr>
          <w:rFonts w:ascii="Times New Roman" w:cs="Times New Roman" w:eastAsia="Times New Roman" w:hAnsi="Times New Roman"/>
          <w:sz w:val="22"/>
          <w:szCs w:val="22"/>
          <w:color w:val="auto"/>
        </w:rPr>
        <w:t>” means, with respect to any Redemption Date, (1) the average of the Reference Treasury Dealer Quotations for such Redemption Date, after excluding the highest and lowest Reference Treasury Dealer Quotations, or (2) if the Quotation Agent obtains fewer than three Reference Treasury Dealer Quotations, the average of all such Reference Treasury Dealer Quotations, such average in any case to be determined by the Quotation Agent, or (3) if only one Reference Treasury Dealer Quotation is received, such Reference Treasury Dealer Quotation.</w:t>
      </w:r>
    </w:p>
    <w:p>
      <w:pPr>
        <w:spacing w:after="0" w:line="204" w:lineRule="exact"/>
        <w:rPr>
          <w:sz w:val="20"/>
          <w:szCs w:val="20"/>
          <w:color w:val="auto"/>
        </w:rPr>
      </w:pPr>
    </w:p>
    <w:p>
      <w:pPr>
        <w:ind w:right="8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Quotation Agent</w:t>
      </w:r>
      <w:r>
        <w:rPr>
          <w:rFonts w:ascii="Times New Roman" w:cs="Times New Roman" w:eastAsia="Times New Roman" w:hAnsi="Times New Roman"/>
          <w:sz w:val="22"/>
          <w:szCs w:val="22"/>
          <w:color w:val="auto"/>
        </w:rPr>
        <w:t>” means, with respect to any Redemption Date, the Reference Treasury Dealer appointed by the Company.</w:t>
      </w:r>
    </w:p>
    <w:p>
      <w:pPr>
        <w:spacing w:after="0" w:line="17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Treasury Dealer</w:t>
      </w:r>
      <w:r>
        <w:rPr>
          <w:rFonts w:ascii="Times New Roman" w:cs="Times New Roman" w:eastAsia="Times New Roman" w:hAnsi="Times New Roman"/>
          <w:sz w:val="22"/>
          <w:szCs w:val="22"/>
          <w:color w:val="auto"/>
        </w:rPr>
        <w:t>” means, with respect to any Redemption Date, each of (1) BofA Securities, Inc. and Citigroup Global Markets Inc. (or their respective affiliates that are primary U.S. Government securities dealers) and their respective successors; provided, however, that if any of them shall cease to be a primary U.S. Government securities dealer in the United States of America (a “</w:t>
      </w:r>
      <w:r>
        <w:rPr>
          <w:rFonts w:ascii="Times New Roman" w:cs="Times New Roman" w:eastAsia="Times New Roman" w:hAnsi="Times New Roman"/>
          <w:sz w:val="22"/>
          <w:szCs w:val="22"/>
          <w:b w:val="1"/>
          <w:bCs w:val="1"/>
          <w:color w:val="auto"/>
        </w:rPr>
        <w:t>Primary Treasury Dealer</w:t>
      </w:r>
      <w:r>
        <w:rPr>
          <w:rFonts w:ascii="Times New Roman" w:cs="Times New Roman" w:eastAsia="Times New Roman" w:hAnsi="Times New Roman"/>
          <w:sz w:val="22"/>
          <w:szCs w:val="22"/>
          <w:color w:val="auto"/>
        </w:rPr>
        <w:t>”), the Company shall substitute for it another Primary Treasury Dealer; and (2) any other Primary Treasury Dealer or Dealers selected by the Company.</w:t>
      </w:r>
    </w:p>
    <w:p>
      <w:pPr>
        <w:spacing w:after="0" w:line="20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Reference Treasury Dealer Quotations</w:t>
      </w:r>
      <w:r>
        <w:rPr>
          <w:rFonts w:ascii="Times New Roman" w:cs="Times New Roman" w:eastAsia="Times New Roman" w:hAnsi="Times New Roman"/>
          <w:sz w:val="21"/>
          <w:szCs w:val="21"/>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in The City of New York preceding such Redemption Date.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46" w:name="page147"/>
    <w:bookmarkEnd w:id="146"/>
    <w:p>
      <w:pPr>
        <w:ind w:firstLine="648"/>
        <w:spacing w:after="0" w:line="236" w:lineRule="auto"/>
        <w:rPr>
          <w:sz w:val="20"/>
          <w:szCs w:val="20"/>
          <w:color w:val="auto"/>
        </w:rPr>
      </w:pPr>
      <w:r>
        <w:rPr>
          <w:rFonts w:ascii="Times New Roman" w:cs="Times New Roman" w:eastAsia="Times New Roman" w:hAnsi="Times New Roman"/>
          <w:sz w:val="22"/>
          <w:szCs w:val="22"/>
          <w:color w:val="auto"/>
        </w:rPr>
        <w:t>Notice of any redemption will be sent at least 10 days but not more than 60 days before the Redemption Date to each Holder of the Notes to be redeemed, all as more fully provided in the Indenture. Unless the Company defaults in payment of the Redemption Price (or any accrued and unpaid interest on the Notes or portions thereof to be redeemed), on and after the Redemption Date interest will cease to accrue on the Notes or portions thereof called for redemption. If less than all of the Notes are to be redeemed, the Notes (or portions thereof) to be redeemed shall be selected, in the case of Global Notes, in accordance with the policies and procedures of the depository or, in the case of Definitive Notes, by the Trustee by such method as the Trustee shall deem fair and appropriate, all as more fully provided in the Indenture.</w:t>
      </w:r>
    </w:p>
    <w:p>
      <w:pPr>
        <w:spacing w:after="0" w:line="20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All notices of redemption shall state the Redemption Date, the Redemption Price (or, if not then ascertainable, the manner of calculation thereof), if fewer than all the Outstanding Notes are to be redeemed, the identification (and, in the case of partial redemption, the principal amounts) of the particular Notes to be redeemed, that on the Redemption Date the Redemption Price will become due and payable upon each Note, or portion thereof, to be redeemed, together with accrued and unpaid interest thereon, that interest on each Note, or portion thereof, called for redemption will cease to accrue on the Redemption Date and the place or places where Notes may be surrendered for redemption.</w:t>
      </w:r>
    </w:p>
    <w:p>
      <w:pPr>
        <w:spacing w:after="0" w:line="209"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In the event of redemption of this Note in part only, a new Note or Notes of like tenor in an aggregate principal amount equal to and in exchange for the unredeemed portion of the principal amount hereof will be issued in authorized denominations in the name of the Holder hereof upon surrender hereof.</w:t>
      </w:r>
    </w:p>
    <w:p>
      <w:pPr>
        <w:spacing w:after="0" w:line="201" w:lineRule="exact"/>
        <w:rPr>
          <w:sz w:val="20"/>
          <w:szCs w:val="20"/>
          <w:color w:val="auto"/>
        </w:rPr>
      </w:pPr>
    </w:p>
    <w:p>
      <w:pPr>
        <w:ind w:right="340" w:firstLine="648"/>
        <w:spacing w:after="0" w:line="244" w:lineRule="auto"/>
        <w:rPr>
          <w:sz w:val="20"/>
          <w:szCs w:val="20"/>
          <w:color w:val="auto"/>
        </w:rPr>
      </w:pPr>
      <w:r>
        <w:rPr>
          <w:rFonts w:ascii="Times New Roman" w:cs="Times New Roman" w:eastAsia="Times New Roman" w:hAnsi="Times New Roman"/>
          <w:sz w:val="22"/>
          <w:szCs w:val="22"/>
          <w:color w:val="auto"/>
        </w:rPr>
        <w:t>For all purposes of this Note and the Indenture, unless the context otherwise requires, all provisions relating to the redemption by the Company of this Note shall relate, in the case that this Note is redeemed, or to be redeemed, by the Company only in part, to that portion of the principal amount of this Note that has been, or is to be, redeemed.</w:t>
      </w:r>
    </w:p>
    <w:p>
      <w:pPr>
        <w:spacing w:after="0" w:line="20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If an Event of Default with respect to the Notes shall occur and be continuing, the principal of and accrued interest on the Notes may be declared due and payable in the manner and with the effect provided in the Indenture.</w:t>
      </w:r>
    </w:p>
    <w:p>
      <w:pPr>
        <w:spacing w:after="0" w:line="185"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 (ii) 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47" w:name="page148"/>
    <w:bookmarkEnd w:id="147"/>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Note, subject to the provisions for satisfaction and discharge in Article Four of the Indenture, shall alter or impair the obligation of the Company, which is absolute and unconditional, to pay the principal of and interest on this Note at the times, place and rate, and in the coin or currency, herein prescribed.</w:t>
      </w:r>
    </w:p>
    <w:p>
      <w:pPr>
        <w:spacing w:after="0" w:line="201"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The Company shall be permitted, by irrevocably depositing cash or U.S. Government Obligations, in amounts and maturities sufficient to pay and discharge at the Stated Maturity or Redemption Date, as the case may be, the entire indebtedness on all Outstanding Notes that have become due and payable or will become due and payable within one year (or are scheduled for redemption within one year), with the Trustee in trust, solely for the benefit of the Holders of all Outstanding Notes, to defease the Indenture with respect to such Notes (subject to specified exceptions), and upon such deposit and satisfaction of the other conditions set forth in the Indenture, the Company shall be deemed to have paid and discharged its entire indebtedness on the Notes.</w:t>
      </w:r>
    </w:p>
    <w:p>
      <w:pPr>
        <w:spacing w:after="0" w:line="211"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Company shall also be permitted to discharge, at any time, its obligations in respect of the Notes (other than certain limited obligations, such as the obligation to transfer and exchange the Notes) by (1)(a) delivering all of the outstanding Notes to the Trustee to be cancelled or (b) depositing with the Trustee in trust funds or non-callable United States government or government-guaranteed obligations sufficient, without investment, to pay all remaining principal and interest on the Notes and (2) complying with certain other provisions of the Indenture, including delivering to the Trustee an opinion of counsel from a nationally recognized counsel or an IRS ruling stating that (A) the Company has received from, or there has been published by, the Internal Revenue Service a ruling or (B) since the date of the Indenture, there has been a change in the applicable federal income tax law, in the case of either (A) or (B) to the effect that the Holders of the Notes will not recognize income, gain or loss for federal income tax purposes as a result of such discharge and will be subject to federal income tax on the same amount, in the same manner and at the same times as would be the case if such deposit and discharge were not to occur.</w:t>
      </w:r>
    </w:p>
    <w:p>
      <w:pPr>
        <w:spacing w:after="0" w:line="208"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22"/>
          <w:szCs w:val="22"/>
          <w:color w:val="auto"/>
        </w:rPr>
        <w:t>The Company shall also be permitted to omit to comply with the restrictive covenants described in Sections 1007 and 801 of the Indenture, with respect to the Notes, and the omission shall not be an Event of Default, pursuant to the Company’s right to covenant defeasance. In order to exercise the Company’s right to covenant defeasance, the Company will be required to deposit with the Trustee, in trust funds or non-callable United States government or government-guaranteed obligations, funds sufficient, without investment, to pay all remaining principal and interest on the Notes. To effect a covenant defeasance with respect to the Notes, the Company shall be required to deliver to the Trustee an opinion of counsel to the effect that the holders of the Notes will not recognize gain or loss for federal income tax purposes as a result of the deposit and the covenant defeasance and will be subject to federal income tax on the same amount, in the same manner and at the same times as would be the case if such deposit and covenant defeasance were not to occur.</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48" w:name="page149"/>
    <w:bookmarkEnd w:id="148"/>
    <w:p>
      <w:pPr>
        <w:ind w:firstLine="648"/>
        <w:spacing w:after="0" w:line="236"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therein set forth, the transfer of Notes is registrable in the Security Register, upon surrender of a Note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Notes of like tenor, of authorized denominations and for the same aggregate principal amount, will be issued to the designated transferee or transferees.</w:t>
      </w:r>
    </w:p>
    <w:p>
      <w:pPr>
        <w:spacing w:after="0" w:line="204"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1"/>
          <w:szCs w:val="21"/>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18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201"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This Note shall be governed by and construed in accordance with the law of the State of New York (without regard to conflicts of laws principles thereof).</w:t>
      </w:r>
    </w:p>
    <w:p>
      <w:pPr>
        <w:spacing w:after="0" w:line="185"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1"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All undefined terms (whether or not capitalized) used in this Note which are defined in the Indenture shall have the meanings assigned to them in the Indenture.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49" w:name="page150"/>
    <w:bookmarkEnd w:id="149"/>
    <w:p>
      <w:pPr>
        <w:ind w:left="468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assign this Note, fill in the form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-127635</wp:posOffset>
            </wp:positionV>
            <wp:extent cx="579755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53873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17145</wp:posOffset>
            </wp:positionV>
            <wp:extent cx="311277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3112770" cy="1714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appear(s) on the face of this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The signature must be guaranteed by an institution that is a member of one of the following recognized signature</w:t>
      </w:r>
    </w:p>
    <w:p>
      <w:pPr>
        <w:spacing w:after="0" w:line="26" w:lineRule="exact"/>
        <w:rPr>
          <w:sz w:val="20"/>
          <w:szCs w:val="20"/>
          <w:color w:val="auto"/>
        </w:rPr>
      </w:pPr>
    </w:p>
    <w:p>
      <w:pPr>
        <w:jc w:val="both"/>
        <w:ind w:right="220"/>
        <w:spacing w:after="0" w:line="235" w:lineRule="auto"/>
        <w:rPr>
          <w:sz w:val="20"/>
          <w:szCs w:val="20"/>
          <w:color w:val="auto"/>
        </w:rPr>
      </w:pPr>
      <w:r>
        <w:rPr>
          <w:rFonts w:ascii="Times New Roman" w:cs="Times New Roman" w:eastAsia="Times New Roman" w:hAnsi="Times New Roman"/>
          <w:sz w:val="22"/>
          <w:szCs w:val="22"/>
          <w:color w:val="auto"/>
        </w:rPr>
        <w:t>guarantee programs: (i) The Securities Transfer Agent Medallion Program (STAMP); (ii) The New York Stock Exchange Medallion Program (MNSP); (iii) The Stock Exchange Medallion Program (SEMP); or (iv) such other guarantee program acceptable to the Trustee.</w:t>
      </w:r>
    </w:p>
    <w:p>
      <w:pPr>
        <w:spacing w:after="0" w:line="3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12" w:right="87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p>
    <w:p>
      <w:pPr>
        <w:spacing w:after="0" w:line="234"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Amount of</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Authorized</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Decrease in</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Officer of</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Principal</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Trustee or</w:t>
            </w:r>
          </w:p>
        </w:tc>
      </w:tr>
      <w:tr>
        <w:trPr>
          <w:trHeight w:val="216"/>
        </w:trPr>
        <w:tc>
          <w:tcPr>
            <w:tcW w:w="2040" w:type="dxa"/>
            <w:vAlign w:val="bottom"/>
          </w:tcPr>
          <w:p>
            <w:pPr>
              <w:spacing w:after="0"/>
              <w:rPr>
                <w:sz w:val="18"/>
                <w:szCs w:val="18"/>
                <w:color w:val="auto"/>
              </w:rPr>
            </w:pP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Amount of this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2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Date of Exchange</w:t>
            </w:r>
          </w:p>
        </w:tc>
        <w:tc>
          <w:tcPr>
            <w:tcW w:w="22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Global Note</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Custodian</w:t>
            </w:r>
          </w:p>
        </w:tc>
      </w:tr>
      <w:tr>
        <w:trPr>
          <w:trHeight w:val="598"/>
        </w:trPr>
        <w:tc>
          <w:tcPr>
            <w:tcW w:w="20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360" w:type="dxa"/>
            <w:vAlign w:val="bottom"/>
          </w:tcPr>
          <w:p>
            <w:pPr>
              <w:jc w:val="right"/>
              <w:ind w:right="733"/>
              <w:spacing w:after="0"/>
              <w:rPr>
                <w:sz w:val="20"/>
                <w:szCs w:val="20"/>
                <w:color w:val="auto"/>
              </w:rPr>
            </w:pPr>
            <w:r>
              <w:rPr>
                <w:rFonts w:ascii="Times New Roman" w:cs="Times New Roman" w:eastAsia="Times New Roman" w:hAnsi="Times New Roman"/>
                <w:sz w:val="14"/>
                <w:szCs w:val="14"/>
                <w:color w:val="auto"/>
              </w:rPr>
              <w:t>11</w:t>
            </w:r>
          </w:p>
        </w:tc>
        <w:tc>
          <w:tcPr>
            <w:tcW w:w="252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98"/>
        </w:trPr>
        <w:tc>
          <w:tcPr>
            <w:tcW w:w="204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2" w:right="2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4.16</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[Face of Zero Coupon Security]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OCCIDENTAL PETROLEUM CORPORATION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Zero Coupon Senior Notes due 2036</w:t>
      </w:r>
    </w:p>
    <w:p>
      <w:pPr>
        <w:spacing w:after="0" w:line="23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SECURITY IS ISSUED WITH ORIGINAL ISSUE DISCOUNT FOR PURPOSES OF SECTION 1271 ET SEQ. OF THE INTERNAL REVENUE CODE. THE ISSUE DATE OF THIS SECURITY IS SEPTEMBER [18], 2019 AND THE YIELD IS 5.2401683930%, COMPOUNDED SEMI-ANNUALLY UP TO OCTOBER 10, 2036. FOR EACH $1,000,000 PRINCIPAL AMOUNT AT MATURITY OF THIS NOTE, THE ISSUE PRICE IS $[413,739.22] AND THE TOTAL ORIGINAL ISSUE DISCOUNT OVER THE TERM OF THIS NOTE IS $[586,260.78].</w:t>
      </w:r>
    </w:p>
    <w:p>
      <w:pPr>
        <w:spacing w:after="0" w:line="20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UNLESS THIS CERTIFICATE IS PRESENTED BY AN AUTHORIZED REPRESENTATIVE OF THE DEPOSITORY TRUST COMPANY, A NEW YORK CORPORATION (</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2" w:name="page153"/>
    <w:bookmarkEnd w:id="152"/>
    <w:p>
      <w:pPr>
        <w:jc w:val="center"/>
        <w:ind w:right="-39"/>
        <w:spacing w:after="0"/>
        <w:rPr>
          <w:sz w:val="20"/>
          <w:szCs w:val="20"/>
          <w:color w:val="auto"/>
        </w:rPr>
      </w:pPr>
      <w:r>
        <w:rPr>
          <w:rFonts w:ascii="Times New Roman" w:cs="Times New Roman" w:eastAsia="Times New Roman" w:hAnsi="Times New Roman"/>
          <w:sz w:val="22"/>
          <w:szCs w:val="22"/>
          <w:color w:val="auto"/>
        </w:rPr>
        <w:t>OCCIDENTAL PETROLEUM CORPORATION</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Zero Coupon Senior Notes due 2036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w:t>
            </w:r>
          </w:p>
        </w:tc>
        <w:tc>
          <w:tcPr>
            <w:tcW w:w="40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CUSIP 674599 DG7</w:t>
            </w:r>
          </w:p>
        </w:tc>
        <w:tc>
          <w:tcPr>
            <w:tcW w:w="0" w:type="dxa"/>
            <w:vAlign w:val="bottom"/>
          </w:tcPr>
          <w:p>
            <w:pPr>
              <w:spacing w:after="0"/>
              <w:rPr>
                <w:sz w:val="1"/>
                <w:szCs w:val="1"/>
                <w:color w:val="auto"/>
              </w:rPr>
            </w:pPr>
          </w:p>
        </w:tc>
      </w:tr>
      <w:tr>
        <w:trPr>
          <w:trHeight w:val="126"/>
        </w:trPr>
        <w:tc>
          <w:tcPr>
            <w:tcW w:w="5520" w:type="dxa"/>
            <w:vAlign w:val="bottom"/>
            <w:vMerge w:val="continue"/>
          </w:tcPr>
          <w:p>
            <w:pPr>
              <w:spacing w:after="0"/>
              <w:rPr>
                <w:sz w:val="10"/>
                <w:szCs w:val="10"/>
                <w:color w:val="auto"/>
              </w:rPr>
            </w:pPr>
          </w:p>
        </w:tc>
        <w:tc>
          <w:tcPr>
            <w:tcW w:w="4040" w:type="dxa"/>
            <w:vAlign w:val="bottom"/>
            <w:vMerge w:val="restart"/>
          </w:tcPr>
          <w:p>
            <w:pPr>
              <w:ind w:left="2440"/>
              <w:spacing w:after="0"/>
              <w:rPr>
                <w:sz w:val="20"/>
                <w:szCs w:val="20"/>
                <w:color w:val="auto"/>
              </w:rPr>
            </w:pPr>
            <w:r>
              <w:rPr>
                <w:rFonts w:ascii="Times New Roman" w:cs="Times New Roman" w:eastAsia="Times New Roman" w:hAnsi="Times New Roman"/>
                <w:sz w:val="18"/>
                <w:szCs w:val="18"/>
                <w:color w:val="auto"/>
                <w:w w:val="98"/>
              </w:rPr>
              <w:t>ISIN US674599DG73</w:t>
            </w:r>
          </w:p>
        </w:tc>
        <w:tc>
          <w:tcPr>
            <w:tcW w:w="0" w:type="dxa"/>
            <w:vAlign w:val="bottom"/>
          </w:tcPr>
          <w:p>
            <w:pPr>
              <w:spacing w:after="0"/>
              <w:rPr>
                <w:sz w:val="1"/>
                <w:szCs w:val="1"/>
                <w:color w:val="auto"/>
              </w:rPr>
            </w:pPr>
          </w:p>
        </w:tc>
      </w:tr>
      <w:tr>
        <w:trPr>
          <w:trHeight w:val="108"/>
        </w:trPr>
        <w:tc>
          <w:tcPr>
            <w:tcW w:w="5520" w:type="dxa"/>
            <w:vAlign w:val="bottom"/>
          </w:tcPr>
          <w:p>
            <w:pPr>
              <w:spacing w:after="0"/>
              <w:rPr>
                <w:sz w:val="9"/>
                <w:szCs w:val="9"/>
                <w:color w:val="auto"/>
              </w:rPr>
            </w:pPr>
          </w:p>
        </w:tc>
        <w:tc>
          <w:tcPr>
            <w:tcW w:w="4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at Maturity: $[ ]</w:t>
            </w:r>
          </w:p>
        </w:tc>
        <w:tc>
          <w:tcPr>
            <w:tcW w:w="4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Original Accreted Value: $[ ]</w:t>
            </w: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 September [18], 2019</w:t>
            </w:r>
          </w:p>
        </w:tc>
        <w:tc>
          <w:tcPr>
            <w:tcW w:w="4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 October 10, 2036</w:t>
            </w:r>
          </w:p>
        </w:tc>
        <w:tc>
          <w:tcPr>
            <w:tcW w:w="4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Occidental Petroleum Corporation, a corporation duly organized and existing under the laws of the State of Delaware (herein referred to as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which term includes any successor Person under the Indenture hereinafter referred to), for value received, hereby promises to pay to Cede &amp; Co. or registered assigns, the principal sum of [ ] DOLLARS ($[ ]) or such greater or lesser amount as may be from time to time be endorsed on the Schedule of Increases or Decreases in Zero Coupon Global Security attached hereto on October 10, 2036. Principal on this Security will accrete in the form of an increase in Accreted Value (as defined below) of this Security from September [18], 2019, at an annual rate of 5.2401683930% per annum, compounded semi-annually on each April 10 and October 10 (each, an </w:t>
      </w:r>
      <w:r>
        <w:rPr>
          <w:rFonts w:ascii="Times New Roman" w:cs="Times New Roman" w:eastAsia="Times New Roman" w:hAnsi="Times New Roman"/>
          <w:sz w:val="22"/>
          <w:szCs w:val="22"/>
          <w:b w:val="1"/>
          <w:bCs w:val="1"/>
          <w:color w:val="auto"/>
        </w:rPr>
        <w:t>“Accreted Value Calculation Date”</w:t>
      </w:r>
      <w:r>
        <w:rPr>
          <w:rFonts w:ascii="Times New Roman" w:cs="Times New Roman" w:eastAsia="Times New Roman" w:hAnsi="Times New Roman"/>
          <w:sz w:val="22"/>
          <w:szCs w:val="22"/>
          <w:color w:val="auto"/>
        </w:rPr>
        <w:t>), until October 10, 2036 or such earlier Maturity of the principal of this Security as may occur upon acceleration or upon redemption or otherwise.</w:t>
      </w:r>
    </w:p>
    <w:p>
      <w:pPr>
        <w:spacing w:after="0" w:line="206"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The principal of this Security shall not bear interest except in the case of a default in payment of principal at the Maturity thereof (whether upon acceleration, upon redemption or at Stated Maturity) and in such case the overdue principal shall bear interest at the rate of 5.2401683930% per annum (to the extent that the payment of such interest shall be legally enforceable), from the date such principal is due until it is paid or made available for payment. Interest on any overdue principal shall be payable on demand and will be computed on the basis of a 360-day year of twelve 30-day months.</w:t>
      </w:r>
    </w:p>
    <w:p>
      <w:pPr>
        <w:spacing w:after="0" w:line="204"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1"/>
          <w:szCs w:val="21"/>
          <w:color w:val="auto"/>
        </w:rPr>
        <w:t xml:space="preserve">Payment of the principal of and any such interest on this Security will be made at the office or agency of the Company maintained for that purpose in New York, New York, in such coin or currency of the United States of America as at the time of payment is legal tender for payment of public and private debts, against surrender of this Security in the case of any payment due at the Maturity of the principal thereof;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if this Security is not a global Security, (i) all payments will be made by check against surrender of this Security; (ii) all payments by check will be made in next-day funds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funds that become available on the day after the check is cashed); and (iii) notwithstanding clauses (i) and (ii) above, with respect to any payment of any amount due on this Security, if this Security is in a denomination of at least $5,000,000 and the Holder hereof at the time of surrender hereof delivers a written request to the Paying Agent to make such payment by wire transfer at least five Business Days before the date such payment becomes due, together with appropriate wire transfer instructions specifying an account at a bank in New York, New York, the Company shall make such payment by wire transfer of immediately available funds to such account at such bank in New York City, any such wire instructions, once properly given by a Holder as to this Security, remaining in effect as to such Holder and this Security unless and until new instructions are given in the manner described above and </w:t>
      </w:r>
      <w:r>
        <w:rPr>
          <w:rFonts w:ascii="Times New Roman" w:cs="Times New Roman" w:eastAsia="Times New Roman" w:hAnsi="Times New Roman"/>
          <w:sz w:val="21"/>
          <w:szCs w:val="21"/>
          <w:i w:val="1"/>
          <w:iCs w:val="1"/>
          <w:color w:val="auto"/>
        </w:rPr>
        <w:t>provided</w:t>
      </w:r>
    </w:p>
    <w:p>
      <w:pPr>
        <w:spacing w:after="0" w:line="7"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notwithstanding anything in the foregoing to the contrary, if this Security is a global Security, payment shall be made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to the Applicable Procedures of the Depositary as permitted in said Indenture.</w:t>
      </w: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153" w:name="page154"/>
    <w:bookmarkEnd w:id="153"/>
    <w:p>
      <w:pPr>
        <w:ind w:firstLine="648"/>
        <w:spacing w:after="0" w:line="248" w:lineRule="auto"/>
        <w:rPr>
          <w:sz w:val="20"/>
          <w:szCs w:val="20"/>
          <w:color w:val="auto"/>
        </w:rPr>
      </w:pPr>
      <w:r>
        <w:rPr>
          <w:rFonts w:ascii="Times New Roman" w:cs="Times New Roman" w:eastAsia="Times New Roman" w:hAnsi="Times New Roman"/>
          <w:sz w:val="21"/>
          <w:szCs w:val="21"/>
          <w:color w:val="auto"/>
        </w:rPr>
        <w:t>The portion of the principal amount at maturity of the Outstanding Zero Coupon Securities (i) which shall be payable upon declaration of acceleration of Maturity thereof pursuant to Section 502 of the Indenture as of any date or (ii) which shall be deemed to be the “principal amount” of the Zero Coupon Securities as of any date for any other purpose under the Indenture, including the principal amount thereof which shall be deemed Outstanding as of any date for purposes of directing the Trustee to take or refrain from taking any action under the Indenture or consenting to any modifications permitted thereunder to any supplemental indenture with respect thereto or waiving any default thereunder shall be the Accreted Value of the Zero Coupon Securities as of such date (or, if such date is after the date of Maturity of the principal thereof, the Accreted Value thereof on such date of Maturity).</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21"/>
          <w:szCs w:val="21"/>
          <w:b w:val="1"/>
          <w:bCs w:val="1"/>
          <w:color w:val="auto"/>
        </w:rPr>
        <w:t>“Accreted Value”</w:t>
      </w:r>
      <w:r>
        <w:rPr>
          <w:rFonts w:ascii="Times New Roman" w:cs="Times New Roman" w:eastAsia="Times New Roman" w:hAnsi="Times New Roman"/>
          <w:sz w:val="21"/>
          <w:szCs w:val="21"/>
          <w:color w:val="auto"/>
        </w:rPr>
        <w:t xml:space="preserve"> of the Zero Coupon Securities shall be (x) on any Accreted Value Calculation Date, the product of</w:t>
      </w:r>
    </w:p>
    <w:p>
      <w:pPr>
        <w:spacing w:after="0" w:line="30" w:lineRule="exact"/>
        <w:rPr>
          <w:sz w:val="20"/>
          <w:szCs w:val="20"/>
          <w:color w:val="auto"/>
        </w:rPr>
      </w:pPr>
    </w:p>
    <w:p>
      <w:pPr>
        <w:ind w:right="140" w:firstLine="8"/>
        <w:spacing w:after="0" w:line="233" w:lineRule="auto"/>
        <w:tabs>
          <w:tab w:leader="none" w:pos="258"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aggregate principal amount at maturity and (ii) the accretion factor for such date as set forth in the accretion value schedule in Annex B hereto (the </w:t>
      </w:r>
      <w:r>
        <w:rPr>
          <w:rFonts w:ascii="Times New Roman" w:cs="Times New Roman" w:eastAsia="Times New Roman" w:hAnsi="Times New Roman"/>
          <w:sz w:val="22"/>
          <w:szCs w:val="22"/>
          <w:b w:val="1"/>
          <w:bCs w:val="1"/>
          <w:color w:val="auto"/>
        </w:rPr>
        <w:t>“Accretion Factor”</w:t>
      </w:r>
      <w:r>
        <w:rPr>
          <w:rFonts w:ascii="Times New Roman" w:cs="Times New Roman" w:eastAsia="Times New Roman" w:hAnsi="Times New Roman"/>
          <w:sz w:val="22"/>
          <w:szCs w:val="22"/>
          <w:color w:val="auto"/>
        </w:rPr>
        <w:t xml:space="preserve">); and (y) on any date between two Accreted Value Calculation Dates (an </w:t>
      </w:r>
      <w:r>
        <w:rPr>
          <w:rFonts w:ascii="Times New Roman" w:cs="Times New Roman" w:eastAsia="Times New Roman" w:hAnsi="Times New Roman"/>
          <w:sz w:val="22"/>
          <w:szCs w:val="22"/>
          <w:b w:val="1"/>
          <w:bCs w:val="1"/>
          <w:color w:val="auto"/>
        </w:rPr>
        <w:t>“Interim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the sum of (i) the Accreted Value on the first such Accreted Value Calculation Date and (ii) the product of (A)1/180th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difference between the Accreted Values on the second and the first such Accreted Value Calculation Dates and (B) the number of days (based on a 360-day year of twelve 30-day months) from and including the first of the two Accreted Value Calculation Dates to but excluding the Interim Date.</w:t>
      </w:r>
    </w:p>
    <w:p>
      <w:pPr>
        <w:spacing w:after="0" w:line="20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Security set forth on the reverse hereof, which further provisions shall for all purposes have the same effect as if set forth at this place.</w:t>
      </w:r>
    </w:p>
    <w:p>
      <w:pPr>
        <w:spacing w:after="0" w:line="185" w:lineRule="exact"/>
        <w:rPr>
          <w:sz w:val="20"/>
          <w:szCs w:val="20"/>
          <w:color w:val="auto"/>
        </w:rPr>
      </w:pPr>
    </w:p>
    <w:p>
      <w:pPr>
        <w:jc w:val="both"/>
        <w:ind w:right="340" w:firstLine="648"/>
        <w:spacing w:after="0" w:line="244" w:lineRule="auto"/>
        <w:rPr>
          <w:sz w:val="20"/>
          <w:szCs w:val="20"/>
          <w:color w:val="auto"/>
        </w:rPr>
      </w:pPr>
      <w:r>
        <w:rPr>
          <w:rFonts w:ascii="Times New Roman" w:cs="Times New Roman" w:eastAsia="Times New Roman" w:hAnsi="Times New Roman"/>
          <w:sz w:val="22"/>
          <w:szCs w:val="22"/>
          <w:color w:val="auto"/>
        </w:rPr>
        <w:t>Unless the certificate of authentication hereon has been executed by the Trustee or its duly appointed co-authenticating agent by manual signature, this Security shall not be entitled to any benefit under the Indenture or be valid or obligatory for any purpose.</w:t>
      </w:r>
    </w:p>
    <w:p>
      <w:pPr>
        <w:spacing w:after="0" w:line="1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154" w:name="page155"/>
    <w:bookmarkEnd w:id="154"/>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OCCIDENTAL PETROLEUM CORPORATION has caused this Security to be signed by the signature of its Chairman of the Board, its President, a Vice President, its Treasurer or an Assistant Treasurer.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3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-127635</wp:posOffset>
            </wp:positionV>
            <wp:extent cx="32588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12" w:right="499" w:bottom="1440" w:gutter="0" w:footer="0" w:header="0"/>
        </w:sectPr>
      </w:pPr>
    </w:p>
    <w:bookmarkStart w:id="155" w:name="page156"/>
    <w:bookmarkEnd w:id="155"/>
    <w:p>
      <w:pPr>
        <w:ind w:left="660"/>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is one of the Securities of the series designated therein referred to in the within-mentioned Indenture.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THE BANK OF NEW YORK MELLON TRUST COMPANY, N.A., AS</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154940</wp:posOffset>
            </wp:positionV>
            <wp:extent cx="340487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23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80"/>
          </w:cols>
          <w:pgMar w:left="240" w:top="112" w:right="679" w:bottom="1440" w:gutter="0" w:footer="0" w:header="0"/>
        </w:sectPr>
      </w:pPr>
    </w:p>
    <w:bookmarkStart w:id="156" w:name="page157"/>
    <w:bookmarkEnd w:id="156"/>
    <w:p>
      <w:pPr>
        <w:jc w:val="center"/>
        <w:ind w:right="-39"/>
        <w:spacing w:after="0"/>
        <w:rPr>
          <w:sz w:val="20"/>
          <w:szCs w:val="20"/>
          <w:color w:val="auto"/>
        </w:rPr>
      </w:pPr>
      <w:r>
        <w:rPr>
          <w:rFonts w:ascii="Times New Roman" w:cs="Times New Roman" w:eastAsia="Times New Roman" w:hAnsi="Times New Roman"/>
          <w:sz w:val="22"/>
          <w:szCs w:val="22"/>
          <w:color w:val="auto"/>
        </w:rPr>
        <w:t>Reverse of Zero Coupon Senior Note due 2036</w:t>
      </w:r>
    </w:p>
    <w:p>
      <w:pPr>
        <w:spacing w:after="0" w:line="230" w:lineRule="exact"/>
        <w:rPr>
          <w:sz w:val="20"/>
          <w:szCs w:val="20"/>
          <w:color w:val="auto"/>
        </w:rPr>
      </w:pPr>
    </w:p>
    <w:p>
      <w:pPr>
        <w:ind w:right="120" w:firstLine="648"/>
        <w:spacing w:after="0" w:line="235" w:lineRule="auto"/>
        <w:rPr>
          <w:sz w:val="20"/>
          <w:szCs w:val="20"/>
          <w:color w:val="auto"/>
        </w:rPr>
      </w:pPr>
      <w:r>
        <w:rPr>
          <w:rFonts w:ascii="Times New Roman" w:cs="Times New Roman" w:eastAsia="Times New Roman" w:hAnsi="Times New Roman"/>
          <w:sz w:val="22"/>
          <w:szCs w:val="22"/>
          <w:color w:val="auto"/>
        </w:rPr>
        <w:t xml:space="preserve">This Security is one of a duly authorized issue of securities (herein called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xml:space="preserve"> or the </w:t>
      </w:r>
      <w:r>
        <w:rPr>
          <w:rFonts w:ascii="Times New Roman" w:cs="Times New Roman" w:eastAsia="Times New Roman" w:hAnsi="Times New Roman"/>
          <w:sz w:val="22"/>
          <w:szCs w:val="22"/>
          <w:b w:val="1"/>
          <w:bCs w:val="1"/>
          <w:color w:val="auto"/>
        </w:rPr>
        <w:t>“Zero Coupon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of the Company, issued and to be issued in one or more series under an Indenture, dated as of August 8, 2019 (herein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called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xml:space="preserve"> which term, for the purpose of this Security,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xml:space="preserve">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Securities and of the terms upon which the Securities are, and are to be, authenticated and delivered. This Security is one of the series designated on the face hereof, limited in aggregate principal amount at maturity to $[ ].</w:t>
      </w:r>
    </w:p>
    <w:p>
      <w:pPr>
        <w:spacing w:after="0" w:line="206"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The Securities of this series are issuable only in registered form, without coupons, in denominations of principal amount at maturity of $2,000 and any amount in excess thereof which is an integral multiple of $1,000. As provided in the Indenture and subject to certain limitations set forth therein, Securities of this series are exchangeable for a like aggregate principal amount at maturity of Securities of this series and of like tenor of a different authorized denomination, as requested by the Holder surrendering the same.</w:t>
      </w:r>
    </w:p>
    <w:p>
      <w:pPr>
        <w:spacing w:after="0" w:line="204"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1"/>
          <w:szCs w:val="21"/>
          <w:color w:val="auto"/>
        </w:rPr>
        <w:t xml:space="preserve">The Securities of this series are not subject to any sinking fund. On October 10, 2019, and on each subsequent anniversary of such date thereafter (each such date, a </w:t>
      </w:r>
      <w:r>
        <w:rPr>
          <w:rFonts w:ascii="Times New Roman" w:cs="Times New Roman" w:eastAsia="Times New Roman" w:hAnsi="Times New Roman"/>
          <w:sz w:val="21"/>
          <w:szCs w:val="21"/>
          <w:b w:val="1"/>
          <w:bCs w:val="1"/>
          <w:color w:val="auto"/>
        </w:rPr>
        <w:t>“Purchase Date”</w:t>
      </w:r>
      <w:r>
        <w:rPr>
          <w:rFonts w:ascii="Times New Roman" w:cs="Times New Roman" w:eastAsia="Times New Roman" w:hAnsi="Times New Roman"/>
          <w:sz w:val="21"/>
          <w:szCs w:val="21"/>
          <w:color w:val="auto"/>
        </w:rPr>
        <w:t xml:space="preserve">), a Holder shall have the right to require the Company to redeem all or a portion of the Zero Coupon Security registered in the name of such Holder on the Security Register at a Redemption Price equal to the product of the principal amount at maturity of such Zero Coupon Security (or portion thereof) to be redeemed and the “Put Price” related to such Purchase Date as set forth in the table in Annex A hereto (each such amount, a </w:t>
      </w:r>
      <w:r>
        <w:rPr>
          <w:rFonts w:ascii="Times New Roman" w:cs="Times New Roman" w:eastAsia="Times New Roman" w:hAnsi="Times New Roman"/>
          <w:sz w:val="21"/>
          <w:szCs w:val="21"/>
          <w:b w:val="1"/>
          <w:bCs w:val="1"/>
          <w:color w:val="auto"/>
        </w:rPr>
        <w:t>“Purchase Price”</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Any Holder electing to require the Company to redeem all or a portion of its Zero Coupon Securities on a Purchase Date must provide prior written notice (a </w:t>
      </w:r>
      <w:r>
        <w:rPr>
          <w:rFonts w:ascii="Times New Roman" w:cs="Times New Roman" w:eastAsia="Times New Roman" w:hAnsi="Times New Roman"/>
          <w:sz w:val="22"/>
          <w:szCs w:val="22"/>
          <w:b w:val="1"/>
          <w:bCs w:val="1"/>
          <w:color w:val="auto"/>
        </w:rPr>
        <w:t>“Redemption Notice”</w:t>
      </w:r>
      <w:r>
        <w:rPr>
          <w:rFonts w:ascii="Times New Roman" w:cs="Times New Roman" w:eastAsia="Times New Roman" w:hAnsi="Times New Roman"/>
          <w:sz w:val="22"/>
          <w:szCs w:val="22"/>
          <w:color w:val="auto"/>
        </w:rPr>
        <w:t xml:space="preserve">) to the Trustee and the Company (by facsimile or courier in the case of definitive Securities and in accordance with the applicable policies and procedures of the Depositary, in the case of global Securities) at least 20 Business Days prior to such Purchase Date. The Purchase Date for which a Holder has given a Redemption Notice shall be a </w:t>
      </w:r>
      <w:r>
        <w:rPr>
          <w:rFonts w:ascii="Times New Roman" w:cs="Times New Roman" w:eastAsia="Times New Roman" w:hAnsi="Times New Roman"/>
          <w:sz w:val="22"/>
          <w:szCs w:val="22"/>
          <w:b w:val="1"/>
          <w:bCs w:val="1"/>
          <w:color w:val="auto"/>
        </w:rPr>
        <w:t>“Redemption Date”</w:t>
      </w:r>
      <w:r>
        <w:rPr>
          <w:rFonts w:ascii="Times New Roman" w:cs="Times New Roman" w:eastAsia="Times New Roman" w:hAnsi="Times New Roman"/>
          <w:sz w:val="22"/>
          <w:szCs w:val="22"/>
          <w:color w:val="auto"/>
        </w:rPr>
        <w:t>. Such Redemption Notice shall include: (i) the portion of the principal amount at maturity of the Zero Coupon Securities that such Holder is electing to have redeemed, which must be $2,000 principal amount at maturity or an integral multiple of $1,000 in excess thereof, (ii) that the Zero Coupon Securities are to be redeemed pursuant to the applicable provisions of such Zero Coupon Securities, (iii) the relevant Purchase Price and (iv) the Redemption Date. Once given, such a Redemption Notice is irrevocable.</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12" w:right="279" w:bottom="1440" w:gutter="0" w:footer="0" w:header="0"/>
        </w:sectPr>
      </w:pPr>
    </w:p>
    <w:bookmarkStart w:id="157" w:name="page158"/>
    <w:bookmarkEnd w:id="157"/>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In accordance with Section 1106 of the Indenture, a Redemption Notice having been given, the Zero Coupon Securities shall, on the Redemption Date, become due and payable at the Purchase Price, but the Company’s obligation to pay the Purchase Price for the Zero Coupon Securities specified in a Redemption Notice shall be conditioned upon the applicable Holder delivering such Zero Coupon Securities, together with all necessary endorsements, to the Trustee at any time after delivery of such Redemption Notice. If the Zero Coupon Securities are in the form of global Securities, the delivery shall be in accordance with the applicable policies and procedures of the Depositary.</w:t>
      </w:r>
    </w:p>
    <w:p>
      <w:pPr>
        <w:spacing w:after="0" w:line="210"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The Company shall cause the Purchase Price for such Zero Coupon Securities to be paid promptly following the later of the relevant Redemption Date or the time of delivery of such Zero Coupon Securities;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if such day is not a Business Day, the Purchase Price may be paid on the next succeeding Business Day. If a payment is made on the next succeeding Business Day after the date such payment was to be made, the payment shall be deemed to have been made on the original date. No original issue discount or interest shall accrue as a result of such later payment. Original issue discount on the Zero Coupon Securities of any Holder shall cease to accrue on the Redemption Date and, if the Trustee holds sufficient funds in the amount of the Purchase Price with respect to such Zero Coupon Securities on the next succeeding Business Day after such Redemption Date, then, on and as of the Redemption Date, the Zero Coupon Securities of such Holder that are being redeemed shall cease to be Outstanding and all other rights of such Holder with respect to such redeemed Zero Coupon Securities shall terminate;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Holder shall retain the right to receive the Purchase Price upon delivery of the Zero Coupon Securities.</w:t>
      </w:r>
    </w:p>
    <w:p>
      <w:pPr>
        <w:spacing w:after="0" w:line="208"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 xml:space="preserve">Except as set forth in the following paragraphs, the Securities shall not be redeemable at the option of the Company prior to Maturity;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Company may, from time to time, purchase the Securities in the open market or otherwise from time to time.</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If, at the close of business on the day that is 20 Business Days prior to any Purchase Date (such date, the </w:t>
      </w:r>
      <w:r>
        <w:rPr>
          <w:rFonts w:ascii="Times New Roman" w:cs="Times New Roman" w:eastAsia="Times New Roman" w:hAnsi="Times New Roman"/>
          <w:sz w:val="22"/>
          <w:szCs w:val="22"/>
          <w:b w:val="1"/>
          <w:bCs w:val="1"/>
          <w:color w:val="auto"/>
        </w:rPr>
        <w:t>“Trigger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Date”</w:t>
      </w:r>
      <w:r>
        <w:rPr>
          <w:rFonts w:ascii="Times New Roman" w:cs="Times New Roman" w:eastAsia="Times New Roman" w:hAnsi="Times New Roman"/>
          <w:sz w:val="21"/>
          <w:szCs w:val="21"/>
          <w:color w:val="auto"/>
        </w:rPr>
        <w:t>), Zero Coupon Securities representing 90% or more of the aggregate Original Accreted Value of the Zero Coupon Securities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originally issued under the Indenture have been either purchased or redeemed by the Company or tendered for redemption on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Purchase Date at the election of Holders of the Zero Coupon Securities pursuant to the paragraphs above (a </w:t>
      </w:r>
      <w:r>
        <w:rPr>
          <w:rFonts w:ascii="Times New Roman" w:cs="Times New Roman" w:eastAsia="Times New Roman" w:hAnsi="Times New Roman"/>
          <w:sz w:val="21"/>
          <w:szCs w:val="21"/>
          <w:b w:val="1"/>
          <w:bCs w:val="1"/>
          <w:color w:val="auto"/>
        </w:rPr>
        <w:t>“Trigger Event”</w:t>
      </w:r>
      <w:r>
        <w:rPr>
          <w:rFonts w:ascii="Times New Roman" w:cs="Times New Roman" w:eastAsia="Times New Roman" w:hAnsi="Times New Roman"/>
          <w:sz w:val="21"/>
          <w:szCs w:val="21"/>
          <w:color w:val="auto"/>
        </w:rPr>
        <w:t>),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will have the option to redeem all but not part of the Outstanding Zero Coupon Securities upon not less than 15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Days prior written notice to the Holders (such notice, the </w:t>
      </w:r>
      <w:r>
        <w:rPr>
          <w:rFonts w:ascii="Times New Roman" w:cs="Times New Roman" w:eastAsia="Times New Roman" w:hAnsi="Times New Roman"/>
          <w:sz w:val="21"/>
          <w:szCs w:val="21"/>
          <w:b w:val="1"/>
          <w:bCs w:val="1"/>
          <w:color w:val="auto"/>
        </w:rPr>
        <w:t>“Optional Redemption Notice”),</w:t>
      </w:r>
      <w:r>
        <w:rPr>
          <w:rFonts w:ascii="Times New Roman" w:cs="Times New Roman" w:eastAsia="Times New Roman" w:hAnsi="Times New Roman"/>
          <w:sz w:val="21"/>
          <w:szCs w:val="21"/>
          <w:color w:val="auto"/>
        </w:rPr>
        <w:t xml:space="preserve"> on the Purchase Date succeeding such</w:t>
      </w:r>
    </w:p>
    <w:p>
      <w:pPr>
        <w:spacing w:after="0" w:line="232" w:lineRule="auto"/>
        <w:rPr>
          <w:sz w:val="20"/>
          <w:szCs w:val="20"/>
          <w:color w:val="auto"/>
        </w:rPr>
      </w:pPr>
      <w:r>
        <w:rPr>
          <w:rFonts w:ascii="Times New Roman" w:cs="Times New Roman" w:eastAsia="Times New Roman" w:hAnsi="Times New Roman"/>
          <w:sz w:val="22"/>
          <w:szCs w:val="22"/>
          <w:color w:val="auto"/>
        </w:rPr>
        <w:t xml:space="preserve">Trigger Date or any subsequent Purchase Date (if and as so elected, the </w:t>
      </w:r>
      <w:r>
        <w:rPr>
          <w:rFonts w:ascii="Times New Roman" w:cs="Times New Roman" w:eastAsia="Times New Roman" w:hAnsi="Times New Roman"/>
          <w:sz w:val="22"/>
          <w:szCs w:val="22"/>
          <w:b w:val="1"/>
          <w:bCs w:val="1"/>
          <w:color w:val="auto"/>
        </w:rPr>
        <w:t>“Optional Redemption Date”</w:t>
      </w:r>
      <w:r>
        <w:rPr>
          <w:rFonts w:ascii="Times New Roman" w:cs="Times New Roman" w:eastAsia="Times New Roman" w:hAnsi="Times New Roman"/>
          <w:sz w:val="22"/>
          <w:szCs w:val="22"/>
          <w:color w:val="auto"/>
        </w:rPr>
        <w:t>). The Redemption Price</w:t>
      </w:r>
    </w:p>
    <w:p>
      <w:pPr>
        <w:spacing w:after="0" w:line="230" w:lineRule="auto"/>
        <w:rPr>
          <w:sz w:val="20"/>
          <w:szCs w:val="20"/>
          <w:color w:val="auto"/>
        </w:rPr>
      </w:pPr>
      <w:r>
        <w:rPr>
          <w:rFonts w:ascii="Times New Roman" w:cs="Times New Roman" w:eastAsia="Times New Roman" w:hAnsi="Times New Roman"/>
          <w:sz w:val="22"/>
          <w:szCs w:val="22"/>
          <w:color w:val="auto"/>
        </w:rPr>
        <w:t>will equal 100% of the Accreted Value of the Outstanding Zero Coupon Securities on the Optional Redemption Date (the</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“Optional Redemption Price”</w:t>
      </w:r>
      <w:r>
        <w:rPr>
          <w:rFonts w:ascii="Times New Roman" w:cs="Times New Roman" w:eastAsia="Times New Roman" w:hAnsi="Times New Roman"/>
          <w:sz w:val="22"/>
          <w:szCs w:val="22"/>
          <w:color w:val="auto"/>
        </w:rPr>
        <w:t>). The Optional Redemption Notice shall include: (i) a statement that the Trigger Event has</w:t>
      </w:r>
    </w:p>
    <w:p>
      <w:pPr>
        <w:spacing w:after="0"/>
        <w:rPr>
          <w:sz w:val="20"/>
          <w:szCs w:val="20"/>
          <w:color w:val="auto"/>
        </w:rPr>
      </w:pPr>
      <w:r>
        <w:rPr>
          <w:rFonts w:ascii="Times New Roman" w:cs="Times New Roman" w:eastAsia="Times New Roman" w:hAnsi="Times New Roman"/>
          <w:sz w:val="21"/>
          <w:szCs w:val="21"/>
          <w:color w:val="auto"/>
        </w:rPr>
        <w:t>occurred, (ii) that all Outstanding Zero Coupon Securities (other than any tendered by the Holders for redemption on such Optional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Redemption Date) are to be redeemed on the Optional Redemption Date pursuant to the applicable provisions of such Zero Coupon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Securities, (iii) the Optional Redemption Price and (iv) the Optional Redemption Date. As used herein, “</w:t>
      </w:r>
      <w:r>
        <w:rPr>
          <w:rFonts w:ascii="Times New Roman" w:cs="Times New Roman" w:eastAsia="Times New Roman" w:hAnsi="Times New Roman"/>
          <w:sz w:val="21"/>
          <w:szCs w:val="21"/>
          <w:b w:val="1"/>
          <w:bCs w:val="1"/>
          <w:color w:val="auto"/>
        </w:rPr>
        <w:t>Original Accreted Value</w:t>
      </w:r>
      <w:r>
        <w:rPr>
          <w:rFonts w:ascii="Times New Roman" w:cs="Times New Roman" w:eastAsia="Times New Roman" w:hAnsi="Times New Roman"/>
          <w:sz w:val="21"/>
          <w:szCs w:val="21"/>
          <w:color w:val="auto"/>
        </w:rPr>
        <w:t>”</w:t>
      </w:r>
    </w:p>
    <w:p>
      <w:pPr>
        <w:spacing w:after="0" w:line="232" w:lineRule="auto"/>
        <w:rPr>
          <w:sz w:val="20"/>
          <w:szCs w:val="20"/>
          <w:color w:val="auto"/>
        </w:rPr>
      </w:pPr>
      <w:r>
        <w:rPr>
          <w:rFonts w:ascii="Times New Roman" w:cs="Times New Roman" w:eastAsia="Times New Roman" w:hAnsi="Times New Roman"/>
          <w:sz w:val="22"/>
          <w:szCs w:val="22"/>
          <w:color w:val="auto"/>
        </w:rPr>
        <w:t>means the Original Accreted Value as set forth on the face of the Zero Coupon Securities, such amount being equivalent to the</w:t>
      </w:r>
    </w:p>
    <w:p>
      <w:pPr>
        <w:spacing w:after="0"/>
        <w:rPr>
          <w:sz w:val="20"/>
          <w:szCs w:val="20"/>
          <w:color w:val="auto"/>
        </w:rPr>
      </w:pPr>
      <w:r>
        <w:rPr>
          <w:rFonts w:ascii="Times New Roman" w:cs="Times New Roman" w:eastAsia="Times New Roman" w:hAnsi="Times New Roman"/>
          <w:sz w:val="22"/>
          <w:szCs w:val="22"/>
          <w:color w:val="auto"/>
        </w:rPr>
        <w:t>Accreted Value of the Zero Coupon Securities as of the date of original issuance.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158" w:name="page159"/>
    <w:bookmarkEnd w:id="158"/>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In accordance with Section 1106 of the Indenture, the Optional Redemption Notice having been given, the Zero Coupon Securities shall, on the Optional Redemption Date, become due and payable at the Optional Redemption Price, but the Company’s obligation to pay the Optional Redemption Price for the Outstanding Zero Coupon Securities specified in the Optional Redemption Notice shall be conditioned upon the Holders delivering such Zero Coupon Securities, together with all necessary endorsements, to the Trustee at any time after delivery of such notice. If the Zero Coupon Securities are in the form of global Securities, the delivery shall be in accordance with the Applicable Procedures.</w:t>
      </w:r>
    </w:p>
    <w:p>
      <w:pPr>
        <w:spacing w:after="0" w:line="210"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 xml:space="preserve">The Company shall cause the Optional Redemption Price for such Zero Coupon Securities to be paid promptly following the later of the Optional Redemption Date or the time of delivery of such Zero Coupon Securities;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if such day is not a Business Day, the Optional Redemption Price may be paid on the next succeeding Business Day. If a payment is made on the next succeeding Business Day after the date such payment was to be made, the payment shall be deemed to have been made on the original date. No original issue discount or interest shall accrue as a result of such later payment. Original issue discount on the Zero Coupon Securities of any Holder shall cease to accrue on the Optional Redemption Date and, if the Trustee holds sufficient funds in the amount of the Optional Redemption Price with respect to such Zero Coupon Securities on the next succeeding Business Day after such Optional Redemption Date, then, on and as of the Optional Redemption Date, the Zero Coupon Securities of such Holder that are being redeemed shall cease to be Outstanding and all other rights of such Holder with respect to such redeemed Zero Coupon Securities shall terminate;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Holder shall retain the right to receive the Optional Redemption Price upon delivery of the Zero Coupon Securities.</w:t>
      </w:r>
    </w:p>
    <w:p>
      <w:pPr>
        <w:spacing w:after="0" w:line="20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21"/>
          <w:szCs w:val="21"/>
          <w:color w:val="auto"/>
        </w:rPr>
        <w:t>In the event of redemption of this Security in part only, a new Security or Securities of this series and of like tenor for the unredeemed portion hereof will be issued in authorized denominations in the name of the Holder hereof upon surrender hereof.</w:t>
      </w:r>
    </w:p>
    <w:p>
      <w:pPr>
        <w:spacing w:after="0" w:line="162" w:lineRule="exact"/>
        <w:rPr>
          <w:sz w:val="20"/>
          <w:szCs w:val="20"/>
          <w:color w:val="auto"/>
        </w:rPr>
      </w:pPr>
    </w:p>
    <w:p>
      <w:pPr>
        <w:jc w:val="both"/>
        <w:ind w:right="600" w:firstLine="648"/>
        <w:spacing w:after="0" w:line="244" w:lineRule="auto"/>
        <w:rPr>
          <w:sz w:val="20"/>
          <w:szCs w:val="20"/>
          <w:color w:val="auto"/>
        </w:rPr>
      </w:pPr>
      <w:r>
        <w:rPr>
          <w:rFonts w:ascii="Times New Roman" w:cs="Times New Roman" w:eastAsia="Times New Roman" w:hAnsi="Times New Roman"/>
          <w:sz w:val="22"/>
          <w:szCs w:val="22"/>
          <w:color w:val="auto"/>
        </w:rPr>
        <w:t>For all purposes of this Security and the Indenture, unless the context otherwise requires, all provisions relating to the redemption by the Company of this Security shall relate, in the case that this Security is redeemed, or to be redeemed, by the Company only in part, to that portion of this Security that has been, or is to be, redeemed.</w:t>
      </w:r>
    </w:p>
    <w:p>
      <w:pPr>
        <w:spacing w:after="0" w:line="201"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If an Event of Default with respect to Securities of this series shall occur and be continuing, an amount of principal of the Securities of this series may be declared due and payable in the manner and with the effect provided in the Indenture. Such amount shall be equal to 100% of the Accreted Value of the Outstanding Zero Coupon Securities as of the date of acceleration of such Securities. Upon payment (i) of the amount of principal so declared due and payable and (ii) of interest on any overdue principal (to the extent that the payment of such interest shall be legally enforceable), all of the Company’s obligations in respect of the payment of the principal of and interest, if any, on the Securities of this series shall terminate.</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9" w:name="page160"/>
    <w:bookmarkEnd w:id="159"/>
    <w:p>
      <w:pPr>
        <w:ind w:firstLine="648"/>
        <w:spacing w:after="0" w:line="232" w:lineRule="auto"/>
        <w:rPr>
          <w:sz w:val="20"/>
          <w:szCs w:val="20"/>
          <w:color w:val="auto"/>
        </w:rPr>
      </w:pPr>
      <w:r>
        <w:rPr>
          <w:rFonts w:ascii="Times New Roman" w:cs="Times New Roman" w:eastAsia="Times New Roman" w:hAnsi="Times New Roman"/>
          <w:sz w:val="22"/>
          <w:szCs w:val="22"/>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 (ii) 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For purposes of this paragraph and the following paragraph, the “principal amount” of the Securities of this series that shall be deemed to be Outstanding as of any date for any purpose under the Indenture shall be the Accreted Value thereof as of such date (or, if such date is after the date of Maturity of the principal thereof, the Accreted Value thereof on such date of Maturity).</w:t>
      </w:r>
    </w:p>
    <w:p>
      <w:pPr>
        <w:spacing w:after="0" w:line="219"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reasonably satisfactory to it, and the Trustee shall not have received from the Holders of a majority in principal amount at maturity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interest hereon on or after the respective due dates expressed herein.</w:t>
      </w:r>
    </w:p>
    <w:p>
      <w:pPr>
        <w:spacing w:after="0" w:line="208"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21"/>
          <w:szCs w:val="21"/>
          <w:color w:val="auto"/>
        </w:rPr>
        <w:t>No reference herein to the Indenture and no provision of this Security, subject to the provisions for satisfaction and discharge in Article Four of the Indenture, shall alter or impair the obligation of the Company, which is absolute and unconditional, to pay the principal of and any interest on this Security at the times, place and rate, and in the coin or currency, herein prescribed.</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0" w:name="page161"/>
    <w:bookmarkEnd w:id="160"/>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The Company shall be permitted, by irrevocably depositing cash or U.S. Government Obligations, in amounts and maturities sufficient to pay and discharge at the Stated Maturity or Redemption Date, as the case may be, the entire indebtedness on all Outstanding Securities that have become due and payable or will become due and payable within one year (or are scheduled for redemption within one year), with the Trustee in trust, solely for the benefit of the Holders of all Outstanding Securities, to defease the Indenture with respect to such Securities (subject to specified exceptions), and upon such deposit and satisfaction of the other conditions set forth in the Indenture, the Company shall be deemed to have paid and discharged its entire indebtedness on the Securities.</w:t>
      </w:r>
    </w:p>
    <w:p>
      <w:pPr>
        <w:spacing w:after="0" w:line="204"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Company shall also be permitted to discharge, at any time, its obligations in respect of the Securities (other than certain limited obligations, such as the obligation to transfer and exchange the Securities by (i)(a) delivering all of the outstanding Securities to the Trustee to be cancelled or (b) depositing with the Trustee in trust funds or non-callable United States government or government-guaranteed obligations sufficient, without investment, to pay all remaining principal on the Securities and (ii) complying with certain other provisions of the Indenture, including delivering to the Trustee an opinion of counsel from a nationally recognized counsel or an IRS ruling stating that (a) the Company has received from, or there has been published by, the Internal Revenue Service a ruling or (b) since the date of the Indenture, there has been a change in the applicable federal income tax law, in the case of either (a) or (b) to the effect that the Holders of the Securities will not recognize income, gain or loss for federal income tax purposes as a result of such discharge and will be subject to federal income tax on the same amount, in the same manner and at the same times as would be the case if such deposit and discharge were not to occur.</w:t>
      </w:r>
    </w:p>
    <w:p>
      <w:pPr>
        <w:spacing w:after="0" w:line="208" w:lineRule="exact"/>
        <w:rPr>
          <w:sz w:val="20"/>
          <w:szCs w:val="20"/>
          <w:color w:val="auto"/>
        </w:rPr>
      </w:pPr>
    </w:p>
    <w:p>
      <w:pPr>
        <w:ind w:right="80" w:firstLine="648"/>
        <w:spacing w:after="0" w:line="234" w:lineRule="auto"/>
        <w:rPr>
          <w:sz w:val="20"/>
          <w:szCs w:val="20"/>
          <w:color w:val="auto"/>
        </w:rPr>
      </w:pPr>
      <w:r>
        <w:rPr>
          <w:rFonts w:ascii="Times New Roman" w:cs="Times New Roman" w:eastAsia="Times New Roman" w:hAnsi="Times New Roman"/>
          <w:sz w:val="22"/>
          <w:szCs w:val="22"/>
          <w:color w:val="auto"/>
        </w:rPr>
        <w:t>The Company shall also be permitted to omit to comply with the restrictive covenants described in Sections 1007 and 801 of the Indenture, with respect to the Securities, and the omission shall not be an Event of Default, pursuant to the Company’s right to covenant defeasance. In order to exercise the Company’s right to covenant defeasance, the Company will be required to deposit with the Trustee, in trust funds or non-callable United States government or government-guaranteed obligations, funds sufficient, without investment, to pay all remaining principal on the Securities. To effect a covenant defeasance with respect to the Securities, the Company shall be required to deliver to the Trustee an opinion of counsel to the effect that the holders of the Securities will not recognize gain or loss for federal income tax purposes as a result of the deposit and the covenant defeasance and will be subject to federal income tax on the same amount, in the same manner and at the same times as would be the case if such deposit and covenant defeasance were not to occur.</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1" w:name="page162"/>
    <w:bookmarkEnd w:id="161"/>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therein set forth, the transfer of this Security is registrable in the Security Register, upon surrender of this Security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Securities of this series and of like tenor, of authorized denominations and for the same aggregate principal amount at maturity, will be issued to the designated transferee or transferees.</w:t>
      </w:r>
    </w:p>
    <w:p>
      <w:pPr>
        <w:spacing w:after="0" w:line="204"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1"/>
          <w:szCs w:val="21"/>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182" w:lineRule="exact"/>
        <w:rPr>
          <w:sz w:val="20"/>
          <w:szCs w:val="20"/>
          <w:color w:val="auto"/>
        </w:rPr>
      </w:pPr>
    </w:p>
    <w:p>
      <w:pPr>
        <w:ind w:right="680" w:firstLine="648"/>
        <w:spacing w:after="0" w:line="239" w:lineRule="auto"/>
        <w:rPr>
          <w:sz w:val="20"/>
          <w:szCs w:val="20"/>
          <w:color w:val="auto"/>
        </w:rPr>
      </w:pPr>
      <w:r>
        <w:rPr>
          <w:rFonts w:ascii="Times New Roman" w:cs="Times New Roman" w:eastAsia="Times New Roman" w:hAnsi="Times New Roman"/>
          <w:sz w:val="22"/>
          <w:szCs w:val="22"/>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is overdue, and none of the Company, the Trustee or any agent shall be affected by notice to the contrary.</w:t>
      </w:r>
    </w:p>
    <w:p>
      <w:pPr>
        <w:spacing w:after="0" w:line="208"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22"/>
          <w:szCs w:val="22"/>
          <w:color w:val="auto"/>
        </w:rPr>
        <w:t>This Security and the Indenture shall be governed by and construed in accordance with the law of the State of New York (without regard to conflicts of laws principles thereof).</w:t>
      </w:r>
    </w:p>
    <w:p>
      <w:pPr>
        <w:spacing w:after="0" w:line="185"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1" w:lineRule="exact"/>
        <w:rPr>
          <w:sz w:val="20"/>
          <w:szCs w:val="20"/>
          <w:color w:val="auto"/>
        </w:rPr>
      </w:pPr>
    </w:p>
    <w:p>
      <w:pPr>
        <w:ind w:right="480" w:firstLine="648"/>
        <w:spacing w:after="0" w:line="258" w:lineRule="auto"/>
        <w:rPr>
          <w:sz w:val="20"/>
          <w:szCs w:val="20"/>
          <w:color w:val="auto"/>
        </w:rPr>
      </w:pPr>
      <w:r>
        <w:rPr>
          <w:rFonts w:ascii="Times New Roman" w:cs="Times New Roman" w:eastAsia="Times New Roman" w:hAnsi="Times New Roman"/>
          <w:sz w:val="22"/>
          <w:szCs w:val="22"/>
          <w:color w:val="auto"/>
        </w:rPr>
        <w:t>All undefined terms (whether or not capitalized) used in this Security which are defined in the Indenture shall have the meanings assigned to them in the Indenture.</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62" w:name="page163"/>
    <w:bookmarkEnd w:id="162"/>
    <w:p>
      <w:pPr>
        <w:ind w:left="468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To assign this Zero Coupon Senior Note due 2036 (this </w:t>
      </w:r>
      <w:r>
        <w:rPr>
          <w:rFonts w:ascii="Times New Roman" w:cs="Times New Roman" w:eastAsia="Times New Roman" w:hAnsi="Times New Roman"/>
          <w:sz w:val="22"/>
          <w:szCs w:val="22"/>
          <w:b w:val="1"/>
          <w:bCs w:val="1"/>
          <w:color w:val="auto"/>
        </w:rPr>
        <w:t>“Zero Coupon Security”</w:t>
      </w:r>
      <w:r>
        <w:rPr>
          <w:rFonts w:ascii="Times New Roman" w:cs="Times New Roman" w:eastAsia="Times New Roman" w:hAnsi="Times New Roman"/>
          <w:sz w:val="22"/>
          <w:szCs w:val="22"/>
          <w:color w:val="auto"/>
        </w:rPr>
        <w:t>), fill in the form below:</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Zero Coupon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 xml:space="preserve">(Insert assignee’s soc. sec. or tax </w:t>
      </w:r>
      <w:r>
        <w:rPr>
          <w:rFonts w:ascii="Times New Roman" w:cs="Times New Roman" w:eastAsia="Times New Roman" w:hAnsi="Times New Roman"/>
          <w:sz w:val="18"/>
          <w:szCs w:val="18"/>
          <w:b w:val="1"/>
          <w:bCs w:val="1"/>
          <w:color w:val="auto"/>
        </w:rPr>
        <w:t>I.D.</w:t>
      </w:r>
      <w:r>
        <w:rPr>
          <w:rFonts w:ascii="Times New Roman" w:cs="Times New Roman" w:eastAsia="Times New Roman" w:hAnsi="Times New Roman"/>
          <w:sz w:val="18"/>
          <w:szCs w:val="18"/>
          <w:color w:val="auto"/>
        </w:rPr>
        <w:t xml:space="preserve"> No.)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______________________ agent to transfer this Zero Coupon Security on the books of the Company. The agent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35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6877685"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687768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 exactly as your name appears on the other side of this Zero Coupon Security.</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60"/>
          </w:cols>
          <w:pgMar w:left="240" w:top="112" w:right="1399" w:bottom="1440" w:gutter="0" w:footer="0" w:header="0"/>
        </w:sectPr>
      </w:pPr>
    </w:p>
    <w:bookmarkStart w:id="163" w:name="page164"/>
    <w:bookmarkEnd w:id="163"/>
    <w:p>
      <w:pPr>
        <w:ind w:left="58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3836670</wp:posOffset>
            </wp:positionH>
            <wp:positionV relativeFrom="page">
              <wp:posOffset>88900</wp:posOffset>
            </wp:positionV>
            <wp:extent cx="356743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3567430" cy="17145"/>
                    </a:xfrm>
                    <a:prstGeom prst="rect">
                      <a:avLst/>
                    </a:prstGeom>
                    <a:noFill/>
                  </pic:spPr>
                </pic:pic>
              </a:graphicData>
            </a:graphic>
          </wp:anchor>
        </w:drawing>
        <w:t>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5780" w:val="left"/>
        </w:tabs>
        <w:rPr>
          <w:sz w:val="20"/>
          <w:szCs w:val="20"/>
          <w:color w:val="auto"/>
        </w:rPr>
      </w:pPr>
      <w:r>
        <w:rPr>
          <w:rFonts w:ascii="Times New Roman" w:cs="Times New Roman" w:eastAsia="Times New Roman" w:hAnsi="Times New Roman"/>
          <w:sz w:val="18"/>
          <w:szCs w:val="18"/>
          <w:color w:val="auto"/>
        </w:rPr>
        <w:t>Signature must be guaranteed*</w:t>
      </w:r>
      <w:r>
        <w:rPr>
          <w:sz w:val="20"/>
          <w:szCs w:val="20"/>
          <w:color w:val="auto"/>
        </w:rPr>
        <w:tab/>
      </w:r>
      <w:r>
        <w:rPr>
          <w:rFonts w:ascii="Times New Roman" w:cs="Times New Roman" w:eastAsia="Times New Roman" w:hAnsi="Times New Roman"/>
          <w:sz w:val="18"/>
          <w:szCs w:val="18"/>
          <w:color w:val="auto"/>
        </w:rPr>
        <w:t>Signature</w:t>
      </w:r>
    </w:p>
    <w:p>
      <w:pPr>
        <w:spacing w:after="0" w:line="243"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*NOTICE: The signature must be guaranteed by an institution that is a member of one of the following recognized signature guarantee programs: (i) The Securities Transfer Agent Medallion Program (STAMP); (ii) The New York Stock Exchange Medallion Program (MNSP); (iii) The Stock Exchange Medallion Program (SEMP); or (iv) such other guarantee program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48" w:right="31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2"/>
          <w:szCs w:val="22"/>
          <w:color w:val="auto"/>
        </w:rPr>
        <w:t>SCHEDULE OF INCREASES OR DECREASES IN ZERO COUPON GLOBAL SECURITY</w:t>
      </w:r>
    </w:p>
    <w:p>
      <w:pPr>
        <w:spacing w:after="0" w:line="234" w:lineRule="exact"/>
        <w:rPr>
          <w:sz w:val="20"/>
          <w:szCs w:val="20"/>
          <w:color w:val="auto"/>
        </w:rPr>
      </w:pPr>
    </w:p>
    <w:p>
      <w:pPr>
        <w:ind w:right="400" w:firstLine="1297"/>
        <w:spacing w:after="0" w:line="258" w:lineRule="auto"/>
        <w:rPr>
          <w:sz w:val="20"/>
          <w:szCs w:val="20"/>
          <w:color w:val="auto"/>
        </w:rPr>
      </w:pPr>
      <w:r>
        <w:rPr>
          <w:rFonts w:ascii="Times New Roman" w:cs="Times New Roman" w:eastAsia="Times New Roman" w:hAnsi="Times New Roman"/>
          <w:sz w:val="22"/>
          <w:szCs w:val="22"/>
          <w:color w:val="auto"/>
        </w:rPr>
        <w:t>The initial principal amount at maturity of this Zero Coupon Global Security is $[ ]. The following increases or decreases in this Zero Coupon Global Security have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0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Remaining Principal</w:t>
            </w:r>
          </w:p>
        </w:tc>
        <w:tc>
          <w:tcPr>
            <w:tcW w:w="2180" w:type="dxa"/>
            <w:vAlign w:val="bottom"/>
            <w:tcBorders>
              <w:top w:val="single" w:sz="8" w:color="auto"/>
            </w:tcBorders>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 Decrease in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 Increase in</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at Maturity of</w:t>
            </w:r>
          </w:p>
        </w:tc>
        <w:tc>
          <w:tcPr>
            <w:tcW w:w="218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 at</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 at</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this Zero Coupon</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24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Maturity of this Zero</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Maturity of this Zero</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Global Security</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Authorized Signatory</w:t>
            </w:r>
          </w:p>
        </w:tc>
      </w:tr>
      <w:tr>
        <w:trPr>
          <w:trHeight w:val="216"/>
        </w:trPr>
        <w:tc>
          <w:tcPr>
            <w:tcW w:w="240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Date of Increase or</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Coupon Global</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Coupon Global</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Following such Decrease</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Trustee or</w:t>
            </w:r>
          </w:p>
        </w:tc>
      </w:tr>
      <w:tr>
        <w:trPr>
          <w:trHeight w:val="241"/>
        </w:trPr>
        <w:tc>
          <w:tcPr>
            <w:tcW w:w="24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color w:val="auto"/>
                <w:w w:val="99"/>
              </w:rPr>
              <w:t>Decrease</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Security</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Custodian</w:t>
            </w:r>
          </w:p>
        </w:tc>
      </w:tr>
      <w:tr>
        <w:trPr>
          <w:trHeight w:val="223"/>
        </w:trPr>
        <w:tc>
          <w:tcPr>
            <w:tcW w:w="2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r>
      <w:tr>
        <w:trPr>
          <w:trHeight w:val="223"/>
        </w:trPr>
        <w:tc>
          <w:tcPr>
            <w:tcW w:w="2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r>
      <w:tr>
        <w:trPr>
          <w:trHeight w:val="223"/>
        </w:trPr>
        <w:tc>
          <w:tcPr>
            <w:tcW w:w="2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r>
      <w:tr>
        <w:trPr>
          <w:trHeight w:val="223"/>
        </w:trPr>
        <w:tc>
          <w:tcPr>
            <w:tcW w:w="2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r>
      <w:tr>
        <w:trPr>
          <w:trHeight w:val="223"/>
        </w:trPr>
        <w:tc>
          <w:tcPr>
            <w:tcW w:w="2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r>
      <w:tr>
        <w:trPr>
          <w:trHeight w:val="223"/>
        </w:trPr>
        <w:tc>
          <w:tcPr>
            <w:tcW w:w="2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r>
      <w:tr>
        <w:trPr>
          <w:trHeight w:val="223"/>
        </w:trPr>
        <w:tc>
          <w:tcPr>
            <w:tcW w:w="2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r>
      <w:tr>
        <w:trPr>
          <w:trHeight w:val="223"/>
        </w:trPr>
        <w:tc>
          <w:tcPr>
            <w:tcW w:w="2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spacing w:after="0"/>
              <w:rPr>
                <w:sz w:val="19"/>
                <w:szCs w:val="19"/>
                <w:color w:val="auto"/>
              </w:rPr>
            </w:pPr>
          </w:p>
        </w:tc>
      </w:tr>
      <w:tr>
        <w:trPr>
          <w:trHeight w:val="216"/>
        </w:trPr>
        <w:tc>
          <w:tcPr>
            <w:tcW w:w="24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r>
      <w:tr>
        <w:trPr>
          <w:trHeight w:val="21"/>
        </w:trPr>
        <w:tc>
          <w:tcPr>
            <w:tcW w:w="24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83"/>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3"/>
          </w:tcPr>
          <w:p>
            <w:pPr>
              <w:ind w:left="920"/>
              <w:spacing w:after="0"/>
              <w:rPr>
                <w:sz w:val="20"/>
                <w:szCs w:val="20"/>
                <w:color w:val="auto"/>
              </w:rPr>
            </w:pPr>
            <w:r>
              <w:rPr>
                <w:rFonts w:ascii="Times New Roman" w:cs="Times New Roman" w:eastAsia="Times New Roman" w:hAnsi="Times New Roman"/>
                <w:sz w:val="22"/>
                <w:szCs w:val="22"/>
                <w:color w:val="auto"/>
                <w:w w:val="97"/>
              </w:rPr>
              <w:t>Annex A</w:t>
            </w:r>
          </w:p>
        </w:tc>
      </w:tr>
      <w:tr>
        <w:trPr>
          <w:trHeight w:val="48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4660" w:type="dxa"/>
            <w:vAlign w:val="bottom"/>
            <w:gridSpan w:val="4"/>
          </w:tcPr>
          <w:p>
            <w:pPr>
              <w:ind w:left="200"/>
              <w:spacing w:after="0"/>
              <w:rPr>
                <w:sz w:val="20"/>
                <w:szCs w:val="20"/>
                <w:color w:val="auto"/>
              </w:rPr>
            </w:pPr>
            <w:r>
              <w:rPr>
                <w:rFonts w:ascii="Times New Roman" w:cs="Times New Roman" w:eastAsia="Times New Roman" w:hAnsi="Times New Roman"/>
                <w:sz w:val="22"/>
                <w:szCs w:val="22"/>
                <w:b w:val="1"/>
                <w:bCs w:val="1"/>
                <w:i w:val="1"/>
                <w:iCs w:val="1"/>
                <w:color w:val="auto"/>
              </w:rPr>
              <w:t>Purchase Price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Purchase Price per</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Put Price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Million (principal</w:t>
            </w: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 of Final</w:t>
            </w:r>
          </w:p>
        </w:tc>
        <w:tc>
          <w:tcPr>
            <w:tcW w:w="19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at maturity in</w:t>
            </w:r>
          </w:p>
        </w:tc>
      </w:tr>
      <w:tr>
        <w:trPr>
          <w:trHeight w:val="245"/>
        </w:trPr>
        <w:tc>
          <w:tcPr>
            <w:tcW w:w="20" w:type="dxa"/>
            <w:vAlign w:val="bottom"/>
          </w:tcPr>
          <w:p>
            <w:pPr>
              <w:spacing w:after="0"/>
              <w:rPr>
                <w:sz w:val="21"/>
                <w:szCs w:val="21"/>
                <w:color w:val="auto"/>
              </w:rPr>
            </w:pPr>
          </w:p>
        </w:tc>
        <w:tc>
          <w:tcPr>
            <w:tcW w:w="4820" w:type="dxa"/>
            <w:vAlign w:val="bottom"/>
          </w:tcPr>
          <w:p>
            <w:pPr>
              <w:ind w:left="3500"/>
              <w:spacing w:after="0"/>
              <w:rPr>
                <w:sz w:val="20"/>
                <w:szCs w:val="20"/>
                <w:color w:val="auto"/>
              </w:rPr>
            </w:pPr>
            <w:r>
              <w:rPr>
                <w:rFonts w:ascii="Times New Roman" w:cs="Times New Roman" w:eastAsia="Times New Roman" w:hAnsi="Times New Roman"/>
                <w:sz w:val="18"/>
                <w:szCs w:val="18"/>
                <w:b w:val="1"/>
                <w:bCs w:val="1"/>
                <w:color w:val="auto"/>
              </w:rPr>
              <w:t>Purchase Date</w:t>
            </w: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dollars)</w:t>
            </w:r>
          </w:p>
        </w:tc>
      </w:tr>
      <w:tr>
        <w:trPr>
          <w:trHeight w:val="216"/>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2019</w:t>
            </w:r>
          </w:p>
        </w:tc>
        <w:tc>
          <w:tcPr>
            <w:tcW w:w="3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41.504916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415,049.16</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October 10, 2020</w:t>
            </w:r>
          </w:p>
        </w:tc>
        <w:tc>
          <w:tcPr>
            <w:tcW w:w="4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43.708335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437,083.35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2021</w:t>
            </w:r>
          </w:p>
        </w:tc>
        <w:tc>
          <w:tcPr>
            <w:tcW w:w="4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46.028731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460,287.31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October 10, 2022</w:t>
            </w:r>
          </w:p>
        </w:tc>
        <w:tc>
          <w:tcPr>
            <w:tcW w:w="4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48.472312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484,723.12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2023</w:t>
            </w:r>
          </w:p>
        </w:tc>
        <w:tc>
          <w:tcPr>
            <w:tcW w:w="4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51.045618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510,456.18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October 10, 2024</w:t>
            </w:r>
          </w:p>
        </w:tc>
        <w:tc>
          <w:tcPr>
            <w:tcW w:w="4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53.755536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537,555.36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2025</w:t>
            </w:r>
          </w:p>
        </w:tc>
        <w:tc>
          <w:tcPr>
            <w:tcW w:w="4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56.609319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566,093.19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October 10, 2026</w:t>
            </w:r>
          </w:p>
        </w:tc>
        <w:tc>
          <w:tcPr>
            <w:tcW w:w="4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59.614605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596,146.05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2027</w:t>
            </w:r>
          </w:p>
        </w:tc>
        <w:tc>
          <w:tcPr>
            <w:tcW w:w="4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62.779435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627,794.35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October 10, 2028</w:t>
            </w:r>
          </w:p>
        </w:tc>
        <w:tc>
          <w:tcPr>
            <w:tcW w:w="4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66.112280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661,122.80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2029</w:t>
            </w:r>
          </w:p>
        </w:tc>
        <w:tc>
          <w:tcPr>
            <w:tcW w:w="4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69.622060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696,220.60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October 10, 2030</w:t>
            </w:r>
          </w:p>
        </w:tc>
        <w:tc>
          <w:tcPr>
            <w:tcW w:w="4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73.318167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733,181.67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2031</w:t>
            </w:r>
          </w:p>
        </w:tc>
        <w:tc>
          <w:tcPr>
            <w:tcW w:w="4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77.210494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772,104.94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October 10, 2032</w:t>
            </w:r>
          </w:p>
        </w:tc>
        <w:tc>
          <w:tcPr>
            <w:tcW w:w="4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81.309458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813,094.58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2033</w:t>
            </w:r>
          </w:p>
        </w:tc>
        <w:tc>
          <w:tcPr>
            <w:tcW w:w="4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85.626028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856,260.28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October 10, 2034</w:t>
            </w:r>
          </w:p>
        </w:tc>
        <w:tc>
          <w:tcPr>
            <w:tcW w:w="4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90.171757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901,717.57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2035</w:t>
            </w:r>
          </w:p>
        </w:tc>
        <w:tc>
          <w:tcPr>
            <w:tcW w:w="46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94.958811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949,588.11</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Maturity Date</w:t>
            </w:r>
          </w:p>
        </w:tc>
        <w:tc>
          <w:tcPr>
            <w:tcW w:w="46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100.000000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1,000,000.00</w:t>
            </w:r>
          </w:p>
        </w:tc>
        <w:tc>
          <w:tcPr>
            <w:tcW w:w="20" w:type="dxa"/>
            <w:vAlign w:val="bottom"/>
          </w:tcPr>
          <w:p>
            <w:pPr>
              <w:spacing w:after="0"/>
              <w:rPr>
                <w:sz w:val="20"/>
                <w:szCs w:val="20"/>
                <w:color w:val="auto"/>
              </w:rPr>
            </w:pPr>
          </w:p>
        </w:tc>
      </w:tr>
    </w:tbl>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Annex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2"/>
          <w:szCs w:val="22"/>
          <w:color w:val="auto"/>
        </w:rPr>
        <w:t>Annex B</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gridSpan w:val="3"/>
          </w:tcPr>
          <w:p>
            <w:pPr>
              <w:ind w:left="940"/>
              <w:spacing w:after="0"/>
              <w:rPr>
                <w:sz w:val="20"/>
                <w:szCs w:val="20"/>
                <w:color w:val="auto"/>
              </w:rPr>
            </w:pPr>
            <w:r>
              <w:rPr>
                <w:rFonts w:ascii="Times New Roman" w:cs="Times New Roman" w:eastAsia="Times New Roman" w:hAnsi="Times New Roman"/>
                <w:sz w:val="22"/>
                <w:szCs w:val="22"/>
                <w:b w:val="1"/>
                <w:bCs w:val="1"/>
                <w:i w:val="1"/>
                <w:iCs w:val="1"/>
                <w:color w:val="auto"/>
                <w:w w:val="96"/>
              </w:rPr>
              <w:t>Accretion Value Schedule</w:t>
            </w:r>
          </w:p>
        </w:tc>
      </w:tr>
      <w:tr>
        <w:trPr>
          <w:trHeight w:val="425"/>
        </w:trPr>
        <w:tc>
          <w:tcPr>
            <w:tcW w:w="2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Accretion</w:t>
            </w: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5"/>
        </w:trPr>
        <w:tc>
          <w:tcPr>
            <w:tcW w:w="20" w:type="dxa"/>
            <w:vAlign w:val="bottom"/>
          </w:tcPr>
          <w:p>
            <w:pPr>
              <w:spacing w:after="0"/>
              <w:rPr>
                <w:sz w:val="21"/>
                <w:szCs w:val="21"/>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Calculation Date</w:t>
            </w:r>
          </w:p>
        </w:tc>
        <w:tc>
          <w:tcPr>
            <w:tcW w:w="80" w:type="dxa"/>
            <w:vAlign w:val="bottom"/>
          </w:tcPr>
          <w:p>
            <w:pPr>
              <w:spacing w:after="0"/>
              <w:rPr>
                <w:sz w:val="21"/>
                <w:szCs w:val="21"/>
                <w:color w:val="auto"/>
              </w:rPr>
            </w:pPr>
          </w:p>
        </w:tc>
        <w:tc>
          <w:tcPr>
            <w:tcW w:w="32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Accretion Factor (%)</w:t>
            </w:r>
          </w:p>
        </w:tc>
      </w:tr>
      <w:tr>
        <w:trPr>
          <w:trHeight w:val="216"/>
        </w:trPr>
        <w:tc>
          <w:tcPr>
            <w:tcW w:w="2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2019</w:t>
            </w:r>
          </w:p>
        </w:tc>
        <w:tc>
          <w:tcPr>
            <w:tcW w:w="80" w:type="dxa"/>
            <w:vAlign w:val="bottom"/>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41.504915507600</w:t>
            </w:r>
          </w:p>
        </w:tc>
        <w:tc>
          <w:tcPr>
            <w:tcW w:w="8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2020</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42.592379239600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2020</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43.708335436900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2021</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44.853530626300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2021</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46.028730893800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2022</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47.234722397800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2022</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48,472311894600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2023</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49.742327278200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2023</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51.045618134200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2024</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52.383056307900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2024</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53.755536487900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2025</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55.163976804200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2025</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56.609319442600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2026</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58.092531275000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2026</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59.614604506300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2027</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61.176557337800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2027</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62.779434648600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2028</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64.424308694500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2028</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66.112279825300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2029</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67.844477220900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2029</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69.622059646800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2030</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71.446216228900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2030</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73.318167249300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2031</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75.239164962500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2031</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77.210494433300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2032</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79.233474396000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2032</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81.309458137000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2033</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83.439834399900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2033</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85.626028314600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2034</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87.869502350500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2034</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90.171757295200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2035</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92.534333257800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10, 2035</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94.958810699800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April 10, 2036</w:t>
            </w:r>
          </w:p>
        </w:tc>
        <w:tc>
          <w:tcPr>
            <w:tcW w:w="2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97.446811492100</w:t>
            </w: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2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100.000000000000</w:t>
            </w:r>
          </w:p>
        </w:tc>
        <w:tc>
          <w:tcPr>
            <w:tcW w:w="1160" w:type="dxa"/>
            <w:vAlign w:val="bottom"/>
          </w:tcPr>
          <w:p>
            <w:pPr>
              <w:spacing w:after="0"/>
              <w:rPr>
                <w:sz w:val="18"/>
                <w:szCs w:val="18"/>
                <w:color w:val="auto"/>
              </w:rPr>
            </w:pPr>
          </w:p>
        </w:tc>
      </w:tr>
    </w:tbl>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7" w:name="page168"/>
    <w:bookmarkEnd w:id="167"/>
    <w:p>
      <w:pPr>
        <w:ind w:left="103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4.17</w:t>
      </w:r>
    </w:p>
    <w:p>
      <w:pPr>
        <w:spacing w:after="0" w:line="24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A NEW YORK CORPORATION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00" w:type="dxa"/>
            <w:vAlign w:val="bottom"/>
          </w:tcPr>
          <w:p>
            <w:pPr>
              <w:spacing w:after="0"/>
              <w:rPr>
                <w:sz w:val="24"/>
                <w:szCs w:val="24"/>
                <w:color w:val="auto"/>
              </w:rPr>
            </w:pPr>
          </w:p>
        </w:tc>
        <w:tc>
          <w:tcPr>
            <w:tcW w:w="85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OCCIDENTAL PETROLEUM CORPORATION</w:t>
            </w:r>
          </w:p>
        </w:tc>
      </w:tr>
      <w:tr>
        <w:trPr>
          <w:trHeight w:val="486"/>
        </w:trPr>
        <w:tc>
          <w:tcPr>
            <w:tcW w:w="2900" w:type="dxa"/>
            <w:vAlign w:val="bottom"/>
          </w:tcPr>
          <w:p>
            <w:pPr>
              <w:spacing w:after="0"/>
              <w:rPr>
                <w:sz w:val="24"/>
                <w:szCs w:val="24"/>
                <w:color w:val="auto"/>
              </w:rPr>
            </w:pPr>
          </w:p>
        </w:tc>
        <w:tc>
          <w:tcPr>
            <w:tcW w:w="8520" w:type="dxa"/>
            <w:vAlign w:val="bottom"/>
          </w:tcPr>
          <w:p>
            <w:pPr>
              <w:ind w:left="1140"/>
              <w:spacing w:after="0"/>
              <w:rPr>
                <w:sz w:val="20"/>
                <w:szCs w:val="20"/>
                <w:color w:val="auto"/>
              </w:rPr>
            </w:pPr>
            <w:r>
              <w:rPr>
                <w:rFonts w:ascii="Times New Roman" w:cs="Times New Roman" w:eastAsia="Times New Roman" w:hAnsi="Times New Roman"/>
                <w:sz w:val="22"/>
                <w:szCs w:val="22"/>
                <w:b w:val="1"/>
                <w:bCs w:val="1"/>
                <w:color w:val="auto"/>
              </w:rPr>
              <w:t>7.950% SENIOR NOTES DUE 2039</w:t>
            </w: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59"/>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CUSIP: 674599 DH5</w:t>
            </w:r>
          </w:p>
        </w:tc>
        <w:tc>
          <w:tcPr>
            <w:tcW w:w="852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ISIN: US674599DH56</w:t>
            </w:r>
          </w:p>
        </w:tc>
        <w:tc>
          <w:tcPr>
            <w:tcW w:w="8520" w:type="dxa"/>
            <w:vAlign w:val="bottom"/>
          </w:tcPr>
          <w:p>
            <w:pPr>
              <w:spacing w:after="0"/>
              <w:rPr>
                <w:sz w:val="24"/>
                <w:szCs w:val="24"/>
                <w:color w:val="auto"/>
              </w:rPr>
            </w:pP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June 15, 2039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7.950% per annum</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June 15 and December 15, commencing December 15,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June 1 and December 1</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29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68" w:name="page169"/>
    <w:bookmarkEnd w:id="168"/>
    <w:p>
      <w:pPr>
        <w:ind w:right="20" w:firstLine="648"/>
        <w:spacing w:after="0" w:line="244" w:lineRule="auto"/>
        <w:rPr>
          <w:sz w:val="20"/>
          <w:szCs w:val="20"/>
          <w:color w:val="auto"/>
        </w:rPr>
      </w:pPr>
      <w:r>
        <w:rPr>
          <w:rFonts w:ascii="Times New Roman" w:cs="Times New Roman" w:eastAsia="Times New Roman" w:hAnsi="Times New Roman"/>
          <w:sz w:val="21"/>
          <w:szCs w:val="21"/>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(unless and to the extent earlier redeemed prior to such Maturity Date) and to pay interest thereon from June 15, 2019 or from the most recent Interest Payment Date to which interest has been paid or duly provided for, semi-annually in arrears on June 15 and December 15 in each year, commencing on December 15, 2019, at the rate per annum specified above, until the principal hereof is paid or made available for payment. Interest on this Note will be computed on the basis of a</w:t>
      </w:r>
    </w:p>
    <w:p>
      <w:pPr>
        <w:spacing w:after="0" w:line="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 xml:space="preserve">360-day year comprised of twelve 30-day months. Interest payments for this Note will include interest accrued to but excluding each Interest Payment Date. The interest so payable, and punctually paid or duly provided for, on any Interest Payment Date will, as provided in the Indenture, be paid to the Person in whose name this Note (or one or more Predecessor Securities) is registered at the close of business on the Regular Record Date, which shall be the June 1 or December 1 (whether or not a Business Day), as the case may be, immediately preceding such Interest Payment Date. If any Interest Payment Date or Maturity with respect to this Note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Note (or one or more Predecessor Securities) is registered at the close of business on a Special Record Date for the payment of such Defaulted Interest to be fixed by the Trustee (as defined below), notice of which will be given to Holders of Notes not less than 10 days prior to such Special Record Date, or (2) be paid at any time in any other lawful manner not inconsistent with the requirements of any securities exchange on which the Notes may be listed, and upon such notice as may be required by such exchange, all as more fully provided in the Indenture. Payment of the principal of and interest on this Note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Note set forth below, which further provisions shall for all purposes have the same effect as if set forth at this place.</w:t>
      </w:r>
    </w:p>
    <w:p>
      <w:pPr>
        <w:spacing w:after="0" w:line="18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or its duly appointed co-authenticating agent by manual signature, this Note shall not be entitled to any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9" w:name="page170"/>
    <w:bookmarkEnd w:id="169"/>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OCCIDENTAL PETROLEUM CORPORATION has caused this Note to be signed by the signature of its Chairman of the Board, its President, a Vice President, its Treasurer or an Assistant Treasurer.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4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60"/>
          </w:cols>
          <w:pgMar w:left="240" w:top="112" w:right="799" w:bottom="1440" w:gutter="0" w:footer="0" w:header="0"/>
        </w:sectPr>
      </w:pPr>
    </w:p>
    <w:bookmarkStart w:id="170" w:name="page171"/>
    <w:bookmarkEnd w:id="170"/>
    <w:p>
      <w:pPr>
        <w:ind w:left="3320"/>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 mentioned Indenture.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Bank of New York Mellon Trust Company, N.A., as Trustee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171" w:name="page172"/>
    <w:bookmarkEnd w:id="171"/>
    <w:p>
      <w:pPr>
        <w:ind w:right="200" w:firstLine="648"/>
        <w:spacing w:after="0" w:line="241" w:lineRule="auto"/>
        <w:rPr>
          <w:sz w:val="20"/>
          <w:szCs w:val="20"/>
          <w:color w:val="auto"/>
        </w:rPr>
      </w:pPr>
      <w:r>
        <w:rPr>
          <w:rFonts w:ascii="Times New Roman" w:cs="Times New Roman" w:eastAsia="Times New Roman" w:hAnsi="Times New Roman"/>
          <w:sz w:val="22"/>
          <w:szCs w:val="22"/>
          <w:color w:val="auto"/>
        </w:rPr>
        <w:t>This Note is one of a duly authorized issue of securities (herein called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of the Company, issued and to be issued pursuant to the Indenture (as defined below). This Note is one of a series designated by the Company as its 7.950% Senior Notes due 2039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limited in initial aggregate principal amount to $[ ]. The Indenture does not limit the aggregate principal amount of the Securities.</w:t>
      </w:r>
    </w:p>
    <w:p>
      <w:pPr>
        <w:spacing w:after="0" w:line="20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Company issued this Note pursuant to an Indenture, dated as of August 8, 2019 (herein called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which term, for the purpose of this Note,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Notes and of the terms upon which the Notes are, and are to be, authenticated and delivered.</w:t>
      </w:r>
    </w:p>
    <w:p>
      <w:pPr>
        <w:spacing w:after="0" w:line="207"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The Notes are issuable in denominations of $2,000 and any amount in excess thereof which is an integral multiple of $1,000. As provided in the Indenture and subject to certain limitations therein set forth, the Notes are exchangeable for a like aggregate principal amount of Notes of like tenor of any authorized denomination, as requested by the Holder surrendering the same, upon surrender of the Note or Notes to be exchanged at any office or agency described below where Notes may be presented for registration of transfer.</w:t>
      </w:r>
    </w:p>
    <w:p>
      <w:pPr>
        <w:spacing w:after="0" w:line="204"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The Company may, from time to time, without notice to or the consent of the Holders of the Notes, reopen the Notes and issue additional Notes.</w:t>
      </w:r>
    </w:p>
    <w:p>
      <w:pPr>
        <w:spacing w:after="0" w:line="185"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The Notes are redeemable, in whole at any time or in part from time to time prior to final maturity, at the option of the Company at a Redemption Price equal to the greater of (i) 100% of the principal amount of the Notes to be redeemed and (ii) as determined by the Quotation Agent, the sum of the present values of the remaining scheduled payments of principal and interest on the Notes to be redeemed through the final maturity (not including any portion of such payments of interest accrued to, but not including, the Redemption Date) discounted to the Redemption Date on a semi-annual basis (assuming a 360-day year comprised of twelve 30-day months) at the Treasury Rate (as defined herein) plus 50 basis points plus, in each case, accrued and unpaid interest on the principal amount of the Notes being redeemed to, but not including, the Redemption Date. Notwithstanding the foregoing, installments of interest whose Stated Maturity is on or prior to the relevant Redemption Date shall be payable to the Holders of the Notes, or one or more Predecessor Securities, of record at the close of business on the relevant Regular Record Dates according to their terms and the provisions of the Indenture.</w:t>
      </w:r>
    </w:p>
    <w:p>
      <w:pPr>
        <w:spacing w:after="0" w:line="204"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Rate</w:t>
      </w:r>
      <w:r>
        <w:rPr>
          <w:rFonts w:ascii="Times New Roman" w:cs="Times New Roman" w:eastAsia="Times New Roman" w:hAnsi="Times New Roman"/>
          <w:sz w:val="22"/>
          <w:szCs w:val="22"/>
          <w:color w:val="auto"/>
        </w:rPr>
        <w:t>” means, with respect to any Redemption Date, the rate per annum, as determined by the Quotation Agent equal to:</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172" w:name="page173"/>
    <w:bookmarkEnd w:id="172"/>
    <w:p>
      <w:pPr>
        <w:jc w:val="both"/>
        <w:ind w:left="66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provided that if no maturity is within three months before or after the remaining term of the Notes to be redeemed, yields for the two published maturities most closely corresponding to the Comparable Treasury Issue will be determined and the Treasury Rate will be interpolated or extrapolated from those yields on a straight-line basis rounding to the nearest month; or</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that Redemption Date.</w:t>
      </w:r>
    </w:p>
    <w:p>
      <w:pPr>
        <w:spacing w:after="0" w:line="194" w:lineRule="exact"/>
        <w:rPr>
          <w:sz w:val="20"/>
          <w:szCs w:val="20"/>
          <w:color w:val="auto"/>
        </w:rPr>
      </w:pPr>
    </w:p>
    <w:p>
      <w:pPr>
        <w:ind w:right="1040" w:firstLine="648"/>
        <w:spacing w:after="0" w:line="258" w:lineRule="auto"/>
        <w:rPr>
          <w:sz w:val="20"/>
          <w:szCs w:val="20"/>
          <w:color w:val="auto"/>
        </w:rPr>
      </w:pPr>
      <w:r>
        <w:rPr>
          <w:rFonts w:ascii="Times New Roman" w:cs="Times New Roman" w:eastAsia="Times New Roman" w:hAnsi="Times New Roman"/>
          <w:sz w:val="22"/>
          <w:szCs w:val="22"/>
          <w:color w:val="auto"/>
        </w:rPr>
        <w:t>The Treasury Rate will be calculated at 5:00 p.m. (New York City time) on the third Business Day preceding the Redemption Date by the Quotation Agent.</w:t>
      </w:r>
    </w:p>
    <w:p>
      <w:pPr>
        <w:spacing w:after="0" w:line="181"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Issue</w:t>
      </w:r>
      <w:r>
        <w:rPr>
          <w:rFonts w:ascii="Times New Roman" w:cs="Times New Roman" w:eastAsia="Times New Roman" w:hAnsi="Times New Roman"/>
          <w:sz w:val="22"/>
          <w:szCs w:val="22"/>
          <w:color w:val="auto"/>
        </w:rPr>
        <w:t>” means, with respect to any Redemption Date, the United States Treasury security selected by the Quotation Agent that would be utilized, at the time of selection and in accordance with customary financial practice, in pricing new issues of corporate debt securities of comparable maturity to the remaining term of the Notes.</w:t>
      </w:r>
    </w:p>
    <w:p>
      <w:pPr>
        <w:spacing w:after="0" w:line="194"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Price</w:t>
      </w:r>
      <w:r>
        <w:rPr>
          <w:rFonts w:ascii="Times New Roman" w:cs="Times New Roman" w:eastAsia="Times New Roman" w:hAnsi="Times New Roman"/>
          <w:sz w:val="22"/>
          <w:szCs w:val="22"/>
          <w:color w:val="auto"/>
        </w:rPr>
        <w:t>” means, with respect to any Redemption Date, (1) the average of the Reference Treasury Dealer Quotations for such Redemption Date, after excluding the highest and lowest Reference Treasury Dealer Quotations, or (2) if the Quotation Agent obtains fewer than three Reference Treasury Dealer Quotations, the average of all such Reference Treasury Dealer Quotations, such average in any case to be determined by the Quotation Agent, or (3) if only one Reference Treasury Dealer Quotation is received, such Reference Treasury Dealer Quotation.</w:t>
      </w:r>
    </w:p>
    <w:p>
      <w:pPr>
        <w:spacing w:after="0" w:line="204" w:lineRule="exact"/>
        <w:rPr>
          <w:sz w:val="20"/>
          <w:szCs w:val="20"/>
          <w:color w:val="auto"/>
        </w:rPr>
      </w:pPr>
    </w:p>
    <w:p>
      <w:pPr>
        <w:ind w:right="8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Quotation Agent</w:t>
      </w:r>
      <w:r>
        <w:rPr>
          <w:rFonts w:ascii="Times New Roman" w:cs="Times New Roman" w:eastAsia="Times New Roman" w:hAnsi="Times New Roman"/>
          <w:sz w:val="22"/>
          <w:szCs w:val="22"/>
          <w:color w:val="auto"/>
        </w:rPr>
        <w:t>” means, with respect to any Redemption Date, the Reference Treasury Dealer appointed by the Company.</w:t>
      </w:r>
    </w:p>
    <w:p>
      <w:pPr>
        <w:spacing w:after="0" w:line="17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Treasury Dealer</w:t>
      </w:r>
      <w:r>
        <w:rPr>
          <w:rFonts w:ascii="Times New Roman" w:cs="Times New Roman" w:eastAsia="Times New Roman" w:hAnsi="Times New Roman"/>
          <w:sz w:val="22"/>
          <w:szCs w:val="22"/>
          <w:color w:val="auto"/>
        </w:rPr>
        <w:t>” means, with respect to any Redemption Date, each of (1) BofA Securities, Inc. and Citigroup Global Markets Inc. (or their respective affiliates that are primary U.S. Government securities dealers) and their respective successors; provided, however, that if any of them shall cease to be a primary U.S. Government securities dealer in the United States of America (a “</w:t>
      </w:r>
      <w:r>
        <w:rPr>
          <w:rFonts w:ascii="Times New Roman" w:cs="Times New Roman" w:eastAsia="Times New Roman" w:hAnsi="Times New Roman"/>
          <w:sz w:val="22"/>
          <w:szCs w:val="22"/>
          <w:b w:val="1"/>
          <w:bCs w:val="1"/>
          <w:color w:val="auto"/>
        </w:rPr>
        <w:t>Primary Treasury Dealer</w:t>
      </w:r>
      <w:r>
        <w:rPr>
          <w:rFonts w:ascii="Times New Roman" w:cs="Times New Roman" w:eastAsia="Times New Roman" w:hAnsi="Times New Roman"/>
          <w:sz w:val="22"/>
          <w:szCs w:val="22"/>
          <w:color w:val="auto"/>
        </w:rPr>
        <w:t>”), the Company shall substitute for it another Primary Treasury Dealer; and (2) any other Primary Treasury Dealer or Dealers selected by the Company.</w:t>
      </w:r>
    </w:p>
    <w:p>
      <w:pPr>
        <w:spacing w:after="0" w:line="20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Reference Treasury Dealer Quotations</w:t>
      </w:r>
      <w:r>
        <w:rPr>
          <w:rFonts w:ascii="Times New Roman" w:cs="Times New Roman" w:eastAsia="Times New Roman" w:hAnsi="Times New Roman"/>
          <w:sz w:val="21"/>
          <w:szCs w:val="21"/>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in The City of New York preceding such Redemption Date.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3" w:name="page174"/>
    <w:bookmarkEnd w:id="173"/>
    <w:p>
      <w:pPr>
        <w:ind w:firstLine="648"/>
        <w:spacing w:after="0" w:line="236" w:lineRule="auto"/>
        <w:rPr>
          <w:sz w:val="20"/>
          <w:szCs w:val="20"/>
          <w:color w:val="auto"/>
        </w:rPr>
      </w:pPr>
      <w:r>
        <w:rPr>
          <w:rFonts w:ascii="Times New Roman" w:cs="Times New Roman" w:eastAsia="Times New Roman" w:hAnsi="Times New Roman"/>
          <w:sz w:val="22"/>
          <w:szCs w:val="22"/>
          <w:color w:val="auto"/>
        </w:rPr>
        <w:t>Notice of any redemption will be sent at least 10 days but not more than 60 days before the Redemption Date to each Holder of the Notes to be redeemed, all as more fully provided in the Indenture. Unless the Company defaults in payment of the Redemption Price (or any accrued and unpaid interest on the Notes or portions thereof to be redeemed), on and after the Redemption Date interest will cease to accrue on the Notes or portions thereof called for redemption. If less than all of the Notes are to be redeemed, the Notes (or portions thereof) to be redeemed shall be selected, in the case of Global Notes, in accordance with the policies and procedures of the depository or, in the case of Definitive Notes, by the Trustee by such method as the Trustee shall deem fair and appropriate, all as more fully provided in the Indenture.</w:t>
      </w:r>
    </w:p>
    <w:p>
      <w:pPr>
        <w:spacing w:after="0" w:line="20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All notices of redemption shall state the Redemption Date, the Redemption Price (or, if not then ascertainable, the manner of calculation thereof), if fewer than all the Outstanding Notes are to be redeemed, the identification (and, in the case of partial redemption, the principal amounts) of the particular Notes to be redeemed, that on the Redemption Date the Redemption Price will become due and payable upon each Note, or portion thereof, to be redeemed, together with accrued and unpaid interest thereon, that interest on each Note, or portion thereof, called for redemption will cease to accrue on the Redemption Date and the place or places where Notes may be surrendered for redemption.</w:t>
      </w:r>
    </w:p>
    <w:p>
      <w:pPr>
        <w:spacing w:after="0" w:line="209"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In the event of redemption of this Note in part only, a new Note or Notes of like tenor in an aggregate principal amount equal to and in exchange for the unredeemed portion of the principal amount hereof will be issued in authorized denominations in the name of the Holder hereof upon surrender hereof.</w:t>
      </w:r>
    </w:p>
    <w:p>
      <w:pPr>
        <w:spacing w:after="0" w:line="201" w:lineRule="exact"/>
        <w:rPr>
          <w:sz w:val="20"/>
          <w:szCs w:val="20"/>
          <w:color w:val="auto"/>
        </w:rPr>
      </w:pPr>
    </w:p>
    <w:p>
      <w:pPr>
        <w:ind w:right="340" w:firstLine="648"/>
        <w:spacing w:after="0" w:line="244" w:lineRule="auto"/>
        <w:rPr>
          <w:sz w:val="20"/>
          <w:szCs w:val="20"/>
          <w:color w:val="auto"/>
        </w:rPr>
      </w:pPr>
      <w:r>
        <w:rPr>
          <w:rFonts w:ascii="Times New Roman" w:cs="Times New Roman" w:eastAsia="Times New Roman" w:hAnsi="Times New Roman"/>
          <w:sz w:val="22"/>
          <w:szCs w:val="22"/>
          <w:color w:val="auto"/>
        </w:rPr>
        <w:t>For all purposes of this Note and the Indenture, unless the context otherwise requires, all provisions relating to the redemption by the Company of this Note shall relate, in the case that this Note is redeemed, or to be redeemed, by the Company only in part, to that portion of the principal amount of this Note that has been, or is to be, redeemed.</w:t>
      </w:r>
    </w:p>
    <w:p>
      <w:pPr>
        <w:spacing w:after="0" w:line="20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If an Event of Default with respect to the Notes shall occur and be continuing, the principal of and accrued interest on the Notes may be declared due and payable in the manner and with the effect provided in the Indenture.</w:t>
      </w:r>
    </w:p>
    <w:p>
      <w:pPr>
        <w:spacing w:after="0" w:line="185"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 (ii) 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4" w:name="page175"/>
    <w:bookmarkEnd w:id="174"/>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Note, subject to the provisions for satisfaction and discharge in Article Four of the Indenture, shall alter or impair the obligation of the Company, which is absolute and unconditional, to pay the principal of and interest on this Note at the times, place and rate, and in the coin or currency, herein prescribed.</w:t>
      </w:r>
    </w:p>
    <w:p>
      <w:pPr>
        <w:spacing w:after="0" w:line="201"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The Company shall be permitted, by irrevocably depositing cash or U.S. Government Obligations, in amounts and maturities sufficient to pay and discharge at the Stated Maturity or Redemption Date, as the case may be, the entire indebtedness on all Outstanding Notes that have become due and payable or will become due and payable within one year (or are scheduled for redemption within one year), with the Trustee in trust, solely for the benefit of the Holders of all Outstanding Notes, to defease the Indenture with respect to such Notes (subject to specified exceptions), and upon such deposit and satisfaction of the other conditions set forth in the Indenture, the Company shall be deemed to have paid and discharged its entire indebtedness on the Notes.</w:t>
      </w:r>
    </w:p>
    <w:p>
      <w:pPr>
        <w:spacing w:after="0" w:line="211"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Company shall also be permitted to discharge, at any time, its obligations in respect of the Notes (other than certain limited obligations, such as the obligation to transfer and exchange the Notes) by (1)(a) delivering all of the outstanding Notes to the Trustee to be cancelled or (b) depositing with the Trustee in trust funds or non-callable United States government or government-guaranteed obligations sufficient, without investment, to pay all remaining principal and interest on the Notes and (2) complying with certain other provisions of the Indenture, including delivering to the Trustee an opinion of counsel from a nationally recognized counsel or an IRS ruling stating that (A) the Company has received from, or there has been published by, the Internal Revenue Service a ruling or (B) since the date of the Indenture, there has been a change in the applicable federal income tax law, in the case of either (A) or (B) to the effect that the Holders of the Notes will not recognize income, gain or loss for federal income tax purposes as a result of such discharge and will be subject to federal income tax on the same amount, in the same manner and at the same times as would be the case if such deposit and discharge were not to occur.</w:t>
      </w:r>
    </w:p>
    <w:p>
      <w:pPr>
        <w:spacing w:after="0" w:line="208"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22"/>
          <w:szCs w:val="22"/>
          <w:color w:val="auto"/>
        </w:rPr>
        <w:t>The Company shall also be permitted to omit to comply with the restrictive covenants described in Sections 1007 and 801 of the Indenture, with respect to the Notes, and the omission shall not be an Event of Default, pursuant to the Company’s right to covenant defeasance. In order to exercise the Company’s right to covenant defeasance, the Company will be required to deposit with the Trustee, in trust funds or non-callable United States government or government-guaranteed obligations, funds sufficient, without investment, to pay all remaining principal and interest on the Notes. To effect a covenant defeasance with respect to the Notes, the Company shall be required to deliver to the Trustee an opinion of counsel to the effect that the holders of the Notes will not recognize gain or loss for federal income tax purposes as a result of the deposit and the covenant defeasance and will be subject to federal income tax on the same amount, in the same manner and at the same times as would be the case if such deposit and covenant defeasance were not to occur.</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5" w:name="page176"/>
    <w:bookmarkEnd w:id="175"/>
    <w:p>
      <w:pPr>
        <w:ind w:firstLine="648"/>
        <w:spacing w:after="0" w:line="236"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therein set forth, the transfer of Notes is registrable in the Security Register, upon surrender of a Note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Notes of like tenor, of authorized denominations and for the same aggregate principal amount, will be issued to the designated transferee or transferees.</w:t>
      </w:r>
    </w:p>
    <w:p>
      <w:pPr>
        <w:spacing w:after="0" w:line="204"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1"/>
          <w:szCs w:val="21"/>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18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201"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This Note shall be governed by and construed in accordance with the law of the State of New York (without regard to conflicts of laws principles thereof).</w:t>
      </w:r>
    </w:p>
    <w:p>
      <w:pPr>
        <w:spacing w:after="0" w:line="185"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1"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All undefined terms (whether or not capitalized) used in this Note which are defined in the Indenture shall have the meanings assigned to them in the Indenture.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76" w:name="page177"/>
    <w:bookmarkEnd w:id="176"/>
    <w:p>
      <w:pPr>
        <w:ind w:left="468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assign this Note, fill in the form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6011545"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60115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7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26035</wp:posOffset>
            </wp:positionV>
            <wp:extent cx="347345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appear(s) on the face of this Note)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The signature must be guaranteed by an institution that is a member of one of the following recognized signature</w:t>
      </w:r>
    </w:p>
    <w:p>
      <w:pPr>
        <w:spacing w:after="0" w:line="26" w:lineRule="exact"/>
        <w:rPr>
          <w:sz w:val="20"/>
          <w:szCs w:val="20"/>
          <w:color w:val="auto"/>
        </w:rPr>
      </w:pPr>
    </w:p>
    <w:p>
      <w:pPr>
        <w:jc w:val="both"/>
        <w:ind w:right="220"/>
        <w:spacing w:after="0" w:line="235" w:lineRule="auto"/>
        <w:rPr>
          <w:sz w:val="20"/>
          <w:szCs w:val="20"/>
          <w:color w:val="auto"/>
        </w:rPr>
      </w:pPr>
      <w:r>
        <w:rPr>
          <w:rFonts w:ascii="Times New Roman" w:cs="Times New Roman" w:eastAsia="Times New Roman" w:hAnsi="Times New Roman"/>
          <w:sz w:val="22"/>
          <w:szCs w:val="22"/>
          <w:color w:val="auto"/>
        </w:rPr>
        <w:t>guarantee programs: (i) The Securities Transfer Agent Medallion Program (STAMP); (ii) The New York Stock Exchange Medallion Program (MNSP); (iii) The Stock Exchange Medallion Program (SEMP); or (iv) such other guarantee program acceptable to the Trustee.</w:t>
      </w:r>
    </w:p>
    <w:p>
      <w:pPr>
        <w:spacing w:after="0" w:line="3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11" w:right="879" w:bottom="1440" w:gutter="0" w:footer="0" w:header="0"/>
        </w:sectPr>
      </w:pPr>
    </w:p>
    <w:bookmarkStart w:id="177" w:name="page178"/>
    <w:bookmarkEnd w:id="177"/>
    <w:p>
      <w:pPr>
        <w:jc w:val="center"/>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p>
    <w:p>
      <w:pPr>
        <w:spacing w:after="0" w:line="234"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Signature of</w:t>
            </w:r>
          </w:p>
        </w:tc>
      </w:tr>
      <w:tr>
        <w:trPr>
          <w:trHeight w:val="216"/>
        </w:trPr>
        <w:tc>
          <w:tcPr>
            <w:tcW w:w="1940" w:type="dxa"/>
            <w:vAlign w:val="bottom"/>
          </w:tcPr>
          <w:p>
            <w:pPr>
              <w:spacing w:after="0"/>
              <w:rPr>
                <w:sz w:val="18"/>
                <w:szCs w:val="18"/>
                <w:color w:val="auto"/>
              </w:rPr>
            </w:pPr>
          </w:p>
        </w:tc>
        <w:tc>
          <w:tcPr>
            <w:tcW w:w="2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Authorized</w:t>
            </w:r>
          </w:p>
        </w:tc>
      </w:tr>
      <w:tr>
        <w:trPr>
          <w:trHeight w:val="216"/>
        </w:trPr>
        <w:tc>
          <w:tcPr>
            <w:tcW w:w="1940" w:type="dxa"/>
            <w:vAlign w:val="bottom"/>
          </w:tcPr>
          <w:p>
            <w:pPr>
              <w:spacing w:after="0"/>
              <w:rPr>
                <w:sz w:val="18"/>
                <w:szCs w:val="18"/>
                <w:color w:val="auto"/>
              </w:rPr>
            </w:pPr>
          </w:p>
        </w:tc>
        <w:tc>
          <w:tcPr>
            <w:tcW w:w="2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Decrease in</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Officer of</w:t>
            </w:r>
          </w:p>
        </w:tc>
      </w:tr>
      <w:tr>
        <w:trPr>
          <w:trHeight w:val="216"/>
        </w:trPr>
        <w:tc>
          <w:tcPr>
            <w:tcW w:w="1940" w:type="dxa"/>
            <w:vAlign w:val="bottom"/>
          </w:tcPr>
          <w:p>
            <w:pPr>
              <w:spacing w:after="0"/>
              <w:rPr>
                <w:sz w:val="18"/>
                <w:szCs w:val="18"/>
                <w:color w:val="auto"/>
              </w:rPr>
            </w:pPr>
          </w:p>
        </w:tc>
        <w:tc>
          <w:tcPr>
            <w:tcW w:w="2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Principal</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Trustee or</w:t>
            </w:r>
          </w:p>
        </w:tc>
      </w:tr>
      <w:tr>
        <w:trPr>
          <w:trHeight w:val="216"/>
        </w:trPr>
        <w:tc>
          <w:tcPr>
            <w:tcW w:w="1940" w:type="dxa"/>
            <w:vAlign w:val="bottom"/>
          </w:tcPr>
          <w:p>
            <w:pPr>
              <w:spacing w:after="0"/>
              <w:rPr>
                <w:sz w:val="18"/>
                <w:szCs w:val="18"/>
                <w:color w:val="auto"/>
              </w:rPr>
            </w:pPr>
          </w:p>
        </w:tc>
        <w:tc>
          <w:tcPr>
            <w:tcW w:w="2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Amount of this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 this</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1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Date of Exchange</w:t>
            </w:r>
          </w:p>
        </w:tc>
        <w:tc>
          <w:tcPr>
            <w:tcW w:w="2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Global Note</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Global Note</w:t>
            </w: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Custodian</w:t>
            </w:r>
          </w:p>
        </w:tc>
      </w:tr>
      <w:tr>
        <w:trPr>
          <w:trHeight w:val="598"/>
        </w:trPr>
        <w:tc>
          <w:tcPr>
            <w:tcW w:w="1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rPr>
              <w:t>11</w:t>
            </w:r>
          </w:p>
        </w:tc>
        <w:tc>
          <w:tcPr>
            <w:tcW w:w="25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98"/>
        </w:trPr>
        <w:tc>
          <w:tcPr>
            <w:tcW w:w="194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2" w:right="239" w:bottom="1440" w:gutter="0" w:footer="0" w:header="0"/>
        </w:sectPr>
      </w:pPr>
    </w:p>
    <w:bookmarkStart w:id="178" w:name="page179"/>
    <w:bookmarkEnd w:id="178"/>
    <w:p>
      <w:pPr>
        <w:ind w:left="103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4.18</w:t>
      </w:r>
    </w:p>
    <w:p>
      <w:pPr>
        <w:spacing w:after="0" w:line="24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A NEW YORK CORPORATION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00" w:type="dxa"/>
            <w:vAlign w:val="bottom"/>
          </w:tcPr>
          <w:p>
            <w:pPr>
              <w:spacing w:after="0"/>
              <w:rPr>
                <w:sz w:val="24"/>
                <w:szCs w:val="24"/>
                <w:color w:val="auto"/>
              </w:rPr>
            </w:pPr>
          </w:p>
        </w:tc>
        <w:tc>
          <w:tcPr>
            <w:tcW w:w="85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OCCIDENTAL PETROLEUM CORPORATION</w:t>
            </w:r>
          </w:p>
        </w:tc>
      </w:tr>
      <w:tr>
        <w:trPr>
          <w:trHeight w:val="486"/>
        </w:trPr>
        <w:tc>
          <w:tcPr>
            <w:tcW w:w="2900" w:type="dxa"/>
            <w:vAlign w:val="bottom"/>
          </w:tcPr>
          <w:p>
            <w:pPr>
              <w:spacing w:after="0"/>
              <w:rPr>
                <w:sz w:val="24"/>
                <w:szCs w:val="24"/>
                <w:color w:val="auto"/>
              </w:rPr>
            </w:pPr>
          </w:p>
        </w:tc>
        <w:tc>
          <w:tcPr>
            <w:tcW w:w="8520" w:type="dxa"/>
            <w:vAlign w:val="bottom"/>
          </w:tcPr>
          <w:p>
            <w:pPr>
              <w:ind w:left="1140"/>
              <w:spacing w:after="0"/>
              <w:rPr>
                <w:sz w:val="20"/>
                <w:szCs w:val="20"/>
                <w:color w:val="auto"/>
              </w:rPr>
            </w:pPr>
            <w:r>
              <w:rPr>
                <w:rFonts w:ascii="Times New Roman" w:cs="Times New Roman" w:eastAsia="Times New Roman" w:hAnsi="Times New Roman"/>
                <w:sz w:val="22"/>
                <w:szCs w:val="22"/>
                <w:b w:val="1"/>
                <w:bCs w:val="1"/>
                <w:color w:val="auto"/>
              </w:rPr>
              <w:t>6.200% SENIOR NOTES DUE 2040</w:t>
            </w: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59"/>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CUSIP: 674599 DJ1</w:t>
            </w:r>
          </w:p>
        </w:tc>
        <w:tc>
          <w:tcPr>
            <w:tcW w:w="852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ISIN: US674599DJ13</w:t>
            </w:r>
          </w:p>
        </w:tc>
        <w:tc>
          <w:tcPr>
            <w:tcW w:w="8520" w:type="dxa"/>
            <w:vAlign w:val="bottom"/>
          </w:tcPr>
          <w:p>
            <w:pPr>
              <w:spacing w:after="0"/>
              <w:rPr>
                <w:sz w:val="24"/>
                <w:szCs w:val="24"/>
                <w:color w:val="auto"/>
              </w:rPr>
            </w:pP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15, 2040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6.200% per annum</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15 and September 15, commencing March 15, 2020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1 and September 1</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29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79" w:name="page180"/>
    <w:bookmarkEnd w:id="179"/>
    <w:p>
      <w:pPr>
        <w:ind w:right="20" w:firstLine="648"/>
        <w:spacing w:after="0" w:line="244" w:lineRule="auto"/>
        <w:rPr>
          <w:sz w:val="20"/>
          <w:szCs w:val="20"/>
          <w:color w:val="auto"/>
        </w:rPr>
      </w:pPr>
      <w:r>
        <w:rPr>
          <w:rFonts w:ascii="Times New Roman" w:cs="Times New Roman" w:eastAsia="Times New Roman" w:hAnsi="Times New Roman"/>
          <w:sz w:val="21"/>
          <w:szCs w:val="21"/>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(unless and to the extent earlier redeemed prior to such Maturity Date) and to pay interest thereon from September 15, 2019 or from the most recent Interest Payment Date to which interest has been paid or duly provided for, semi-annually in arrears on March 15 and September 15 in each year, commencing on March 15, 2020, at the rate per annum specified above, until the principal hereof is paid or made available for payment. Interest on this Note will be computed on the basis of a</w:t>
      </w:r>
    </w:p>
    <w:p>
      <w:pPr>
        <w:spacing w:after="0" w:line="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 xml:space="preserve">360-day year comprised of twelve 30-day months. Interest payments for this Note will include interest accrued to but excluding each Interest Payment Date. The interest so payable, and punctually paid or duly provided for, on any Interest Payment Date will, as provided in the Indenture, be paid to the Person in whose name this Note (or one or more Predecessor Securities) is registered at the close of business on the Regular Record Date, which shall be the March 1 or September 1 (whether or not a Business Day), as the case may be, immediately preceding such Interest Payment Date. If any Interest Payment Date or Maturity with respect to this Note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Note (or one or more Predecessor Securities) is registered at the close of business on a Special Record Date for the payment of such Defaulted Interest to be fixed by the Trustee (as defined below), notice of which will be given to Holders of Notes not less than 10 days prior to such Special Record Date, or (2) be paid at any time in any other lawful manner not inconsistent with the requirements of any securities exchange on which the Notes may be listed, and upon such notice as may be required by such exchange, all as more fully provided in the Indenture. Payment of the principal of and interest on this Note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Note set forth below, which further provisions shall for all purposes have the same effect as if set forth at this place.</w:t>
      </w:r>
    </w:p>
    <w:p>
      <w:pPr>
        <w:spacing w:after="0" w:line="18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or its duly appointed co-authenticating agent by manual signature, this Note shall not be entitled to any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0" w:name="page181"/>
    <w:bookmarkEnd w:id="180"/>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OCCIDENTAL PETROLEUM CORPORATION has caused this Note to be signed by the signature of its Chairman of the Board, its President, a Vice President, its Treasurer or an Assistant Treasurer.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4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60"/>
          </w:cols>
          <w:pgMar w:left="240" w:top="112" w:right="799" w:bottom="1440" w:gutter="0" w:footer="0" w:header="0"/>
        </w:sectPr>
      </w:pPr>
    </w:p>
    <w:bookmarkStart w:id="181" w:name="page182"/>
    <w:bookmarkEnd w:id="181"/>
    <w:p>
      <w:pPr>
        <w:ind w:left="3320"/>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 mentioned Indenture.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Bank of New York Mellon Trust Company, N.A., as Trustee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182" w:name="page183"/>
    <w:bookmarkEnd w:id="182"/>
    <w:p>
      <w:pPr>
        <w:ind w:right="200" w:firstLine="648"/>
        <w:spacing w:after="0" w:line="241" w:lineRule="auto"/>
        <w:rPr>
          <w:sz w:val="20"/>
          <w:szCs w:val="20"/>
          <w:color w:val="auto"/>
        </w:rPr>
      </w:pPr>
      <w:r>
        <w:rPr>
          <w:rFonts w:ascii="Times New Roman" w:cs="Times New Roman" w:eastAsia="Times New Roman" w:hAnsi="Times New Roman"/>
          <w:sz w:val="22"/>
          <w:szCs w:val="22"/>
          <w:color w:val="auto"/>
        </w:rPr>
        <w:t>This Note is one of a duly authorized issue of securities (herein called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of the Company, issued and to be issued pursuant to the Indenture (as defined below). This Note is one of a series designated by the Company as its 6.200% Senior Notes due 2040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limited in initial aggregate principal amount to $[ ]. The Indenture does not limit the aggregate principal amount of the Securities.</w:t>
      </w:r>
    </w:p>
    <w:p>
      <w:pPr>
        <w:spacing w:after="0" w:line="20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Company issued this Note pursuant to an Indenture, dated as of August 8, 2019 (herein called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which term, for the purpose of this Note,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Notes and of the terms upon which the Notes are, and are to be, authenticated and delivered.</w:t>
      </w:r>
    </w:p>
    <w:p>
      <w:pPr>
        <w:spacing w:after="0" w:line="207"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The Notes are issuable in denominations of $2,000 and any amount in excess thereof which is an integral multiple of $1,000. As provided in the Indenture and subject to certain limitations therein set forth, the Notes are exchangeable for a like aggregate principal amount of Notes of like tenor of any authorized denomination, as requested by the Holder surrendering the same, upon surrender of the Note or Notes to be exchanged at any office or agency described below where Notes may be presented for registration of transfer.</w:t>
      </w:r>
    </w:p>
    <w:p>
      <w:pPr>
        <w:spacing w:after="0" w:line="204"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The Company may, from time to time, without notice to or the consent of the Holders of the Notes, reopen the Notes and issue additional Notes.</w:t>
      </w:r>
    </w:p>
    <w:p>
      <w:pPr>
        <w:spacing w:after="0" w:line="185"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The Notes are redeemable, in whole at any time or in part from time to time prior to final maturity, at the option of the Company at a Redemption Price equal to the greater of (i) 100% of the principal amount of the Notes to be redeemed and (ii) as determined by the Quotation Agent, the sum of the present values of the remaining scheduled payments of principal and interest on the Notes to be redeemed through the final maturity (not including any portion of such payments of interest accrued to, but not including, the Redemption Date) discounted to the Redemption Date on a semi-annual basis (assuming a 360-day year comprised of twelve 30-day months) at the Treasury Rate (as defined herein) plus 25 basis points plus, in each case, accrued and unpaid interest on the principal amount of the Notes being redeemed to, but not including, the Redemption Date. Notwithstanding the foregoing, installments of interest whose Stated Maturity is on or prior to the relevant Redemption Date shall be payable to the Holders of the Notes, or one or more Predecessor Securities, of record at the close of business on the relevant Regular Record Dates according to their terms and the provisions of the Indenture.</w:t>
      </w:r>
    </w:p>
    <w:p>
      <w:pPr>
        <w:spacing w:after="0" w:line="204"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Rate</w:t>
      </w:r>
      <w:r>
        <w:rPr>
          <w:rFonts w:ascii="Times New Roman" w:cs="Times New Roman" w:eastAsia="Times New Roman" w:hAnsi="Times New Roman"/>
          <w:sz w:val="22"/>
          <w:szCs w:val="22"/>
          <w:color w:val="auto"/>
        </w:rPr>
        <w:t>” means, with respect to any Redemption Date, the rate per annum, as determined by the Quotation Agent equal to:</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183" w:name="page184"/>
    <w:bookmarkEnd w:id="183"/>
    <w:p>
      <w:pPr>
        <w:jc w:val="both"/>
        <w:ind w:left="660" w:hanging="328"/>
        <w:spacing w:after="0" w:line="255"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provided that if no maturity is within three months before or after the remaining term of the Notes to be redeemed, yields for the two published maturities most closely corresponding to the Comparable Treasury Issue will be determined and the Treasury Rate will be interpolated or extrapolated from those yields on a straight-line basis rounding to the nearest month; or</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that Redemption Date.</w:t>
      </w:r>
    </w:p>
    <w:p>
      <w:pPr>
        <w:spacing w:after="0" w:line="194" w:lineRule="exact"/>
        <w:rPr>
          <w:sz w:val="20"/>
          <w:szCs w:val="20"/>
          <w:color w:val="auto"/>
        </w:rPr>
      </w:pPr>
    </w:p>
    <w:p>
      <w:pPr>
        <w:ind w:right="1040" w:firstLine="648"/>
        <w:spacing w:after="0" w:line="258" w:lineRule="auto"/>
        <w:rPr>
          <w:sz w:val="20"/>
          <w:szCs w:val="20"/>
          <w:color w:val="auto"/>
        </w:rPr>
      </w:pPr>
      <w:r>
        <w:rPr>
          <w:rFonts w:ascii="Times New Roman" w:cs="Times New Roman" w:eastAsia="Times New Roman" w:hAnsi="Times New Roman"/>
          <w:sz w:val="22"/>
          <w:szCs w:val="22"/>
          <w:color w:val="auto"/>
        </w:rPr>
        <w:t>The Treasury Rate will be calculated at 5:00 p.m. (New York City time) on the third Business Day preceding the Redemption Date by the Quotation Agent.</w:t>
      </w:r>
    </w:p>
    <w:p>
      <w:pPr>
        <w:spacing w:after="0" w:line="181" w:lineRule="exact"/>
        <w:rPr>
          <w:sz w:val="20"/>
          <w:szCs w:val="20"/>
          <w:color w:val="auto"/>
        </w:rPr>
      </w:pPr>
    </w:p>
    <w:p>
      <w:pPr>
        <w:ind w:right="200" w:firstLine="648"/>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Issue</w:t>
      </w:r>
      <w:r>
        <w:rPr>
          <w:rFonts w:ascii="Times New Roman" w:cs="Times New Roman" w:eastAsia="Times New Roman" w:hAnsi="Times New Roman"/>
          <w:sz w:val="22"/>
          <w:szCs w:val="22"/>
          <w:color w:val="auto"/>
        </w:rPr>
        <w:t>” means, with respect to any Redemption Date, the United States Treasury security selected by the Quotation Agent that would be utilized, at the time of selection and in accordance with customary financial practice, in pricing new issues of corporate debt securities of comparable maturity to the remaining term of the Notes.</w:t>
      </w:r>
    </w:p>
    <w:p>
      <w:pPr>
        <w:spacing w:after="0" w:line="194"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Price</w:t>
      </w:r>
      <w:r>
        <w:rPr>
          <w:rFonts w:ascii="Times New Roman" w:cs="Times New Roman" w:eastAsia="Times New Roman" w:hAnsi="Times New Roman"/>
          <w:sz w:val="22"/>
          <w:szCs w:val="22"/>
          <w:color w:val="auto"/>
        </w:rPr>
        <w:t>” means, with respect to any Redemption Date, (1) the average of the Reference Treasury Dealer Quotations for such Redemption Date, after excluding the highest and lowest Reference Treasury Dealer Quotations, or (2) if the Quotation Agent obtains fewer than three Reference Treasury Dealer Quotations, the average of all such Reference Treasury Dealer Quotations, such average in any case to be determined by the Quotation Agent, or (3) if only one Reference Treasury Dealer Quotation is received, such Reference Treasury Dealer Quotation.</w:t>
      </w:r>
    </w:p>
    <w:p>
      <w:pPr>
        <w:spacing w:after="0" w:line="204" w:lineRule="exact"/>
        <w:rPr>
          <w:sz w:val="20"/>
          <w:szCs w:val="20"/>
          <w:color w:val="auto"/>
        </w:rPr>
      </w:pPr>
    </w:p>
    <w:p>
      <w:pPr>
        <w:ind w:right="8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Quotation Agent</w:t>
      </w:r>
      <w:r>
        <w:rPr>
          <w:rFonts w:ascii="Times New Roman" w:cs="Times New Roman" w:eastAsia="Times New Roman" w:hAnsi="Times New Roman"/>
          <w:sz w:val="22"/>
          <w:szCs w:val="22"/>
          <w:color w:val="auto"/>
        </w:rPr>
        <w:t>” means, with respect to any Redemption Date, the Reference Treasury Dealer appointed by the Company.</w:t>
      </w:r>
    </w:p>
    <w:p>
      <w:pPr>
        <w:spacing w:after="0" w:line="17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Treasury Dealer</w:t>
      </w:r>
      <w:r>
        <w:rPr>
          <w:rFonts w:ascii="Times New Roman" w:cs="Times New Roman" w:eastAsia="Times New Roman" w:hAnsi="Times New Roman"/>
          <w:sz w:val="22"/>
          <w:szCs w:val="22"/>
          <w:color w:val="auto"/>
        </w:rPr>
        <w:t>” means, with respect to any Redemption Date, each of (1) BofA Securities, Inc. and Citigroup Global Markets Inc. (or their respective affiliates that are primary U.S. Government securities dealers) and their respective successors; provided, however, that if any of them shall cease to be a primary U.S. Government securities dealer in the United States of America (a “</w:t>
      </w:r>
      <w:r>
        <w:rPr>
          <w:rFonts w:ascii="Times New Roman" w:cs="Times New Roman" w:eastAsia="Times New Roman" w:hAnsi="Times New Roman"/>
          <w:sz w:val="22"/>
          <w:szCs w:val="22"/>
          <w:b w:val="1"/>
          <w:bCs w:val="1"/>
          <w:color w:val="auto"/>
        </w:rPr>
        <w:t>Primary Treasury Dealer</w:t>
      </w:r>
      <w:r>
        <w:rPr>
          <w:rFonts w:ascii="Times New Roman" w:cs="Times New Roman" w:eastAsia="Times New Roman" w:hAnsi="Times New Roman"/>
          <w:sz w:val="22"/>
          <w:szCs w:val="22"/>
          <w:color w:val="auto"/>
        </w:rPr>
        <w:t>”), the Company shall substitute for it another Primary Treasury Dealer; and (2) any other Primary Treasury Dealer or Dealers selected by the Company.</w:t>
      </w:r>
    </w:p>
    <w:p>
      <w:pPr>
        <w:spacing w:after="0" w:line="20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Reference Treasury Dealer Quotations</w:t>
      </w:r>
      <w:r>
        <w:rPr>
          <w:rFonts w:ascii="Times New Roman" w:cs="Times New Roman" w:eastAsia="Times New Roman" w:hAnsi="Times New Roman"/>
          <w:sz w:val="21"/>
          <w:szCs w:val="21"/>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in The City of New York preceding such Redemption Date.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4" w:name="page185"/>
    <w:bookmarkEnd w:id="184"/>
    <w:p>
      <w:pPr>
        <w:ind w:firstLine="648"/>
        <w:spacing w:after="0" w:line="236" w:lineRule="auto"/>
        <w:rPr>
          <w:sz w:val="20"/>
          <w:szCs w:val="20"/>
          <w:color w:val="auto"/>
        </w:rPr>
      </w:pPr>
      <w:r>
        <w:rPr>
          <w:rFonts w:ascii="Times New Roman" w:cs="Times New Roman" w:eastAsia="Times New Roman" w:hAnsi="Times New Roman"/>
          <w:sz w:val="22"/>
          <w:szCs w:val="22"/>
          <w:color w:val="auto"/>
        </w:rPr>
        <w:t>Notice of any redemption will be sent at least 10 days but not more than 60 days before the Redemption Date to each Holder of the Notes to be redeemed, all as more fully provided in the Indenture. Unless the Company defaults in payment of the Redemption Price (or any accrued and unpaid interest on the Notes or portions thereof to be redeemed), on and after the Redemption Date interest will cease to accrue on the Notes or portions thereof called for redemption. If less than all of the Notes are to be redeemed, the Notes (or portions thereof) to be redeemed shall be selected, in the case of Global Notes, in accordance with the policies and procedures of the depository or, in the case of Definitive Notes, by the Trustee by such method as the Trustee shall deem fair and appropriate, all as more fully provided in the Indenture.</w:t>
      </w:r>
    </w:p>
    <w:p>
      <w:pPr>
        <w:spacing w:after="0" w:line="20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All notices of redemption shall state the Redemption Date, the Redemption Price (or, if not then ascertainable, the manner of calculation thereof), if fewer than all the Outstanding Notes are to be redeemed, the identification (and, in the case of partial redemption, the principal amounts) of the particular Notes to be redeemed, that on the Redemption Date the Redemption Price will become due and payable upon each Note, or portion thereof, to be redeemed, together with accrued and unpaid interest thereon, that interest on each Note, or portion thereof, called for redemption will cease to accrue on the Redemption Date and the place or places where Notes may be surrendered for redemption.</w:t>
      </w:r>
    </w:p>
    <w:p>
      <w:pPr>
        <w:spacing w:after="0" w:line="209"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In the event of redemption of this Note in part only, a new Note or Notes of like tenor in an aggregate principal amount equal to and in exchange for the unredeemed portion of the principal amount hereof will be issued in authorized denominations in the name of the Holder hereof upon surrender hereof.</w:t>
      </w:r>
    </w:p>
    <w:p>
      <w:pPr>
        <w:spacing w:after="0" w:line="201" w:lineRule="exact"/>
        <w:rPr>
          <w:sz w:val="20"/>
          <w:szCs w:val="20"/>
          <w:color w:val="auto"/>
        </w:rPr>
      </w:pPr>
    </w:p>
    <w:p>
      <w:pPr>
        <w:ind w:right="340" w:firstLine="648"/>
        <w:spacing w:after="0" w:line="244" w:lineRule="auto"/>
        <w:rPr>
          <w:sz w:val="20"/>
          <w:szCs w:val="20"/>
          <w:color w:val="auto"/>
        </w:rPr>
      </w:pPr>
      <w:r>
        <w:rPr>
          <w:rFonts w:ascii="Times New Roman" w:cs="Times New Roman" w:eastAsia="Times New Roman" w:hAnsi="Times New Roman"/>
          <w:sz w:val="22"/>
          <w:szCs w:val="22"/>
          <w:color w:val="auto"/>
        </w:rPr>
        <w:t>For all purposes of this Note and the Indenture, unless the context otherwise requires, all provisions relating to the redemption by the Company of this Note shall relate, in the case that this Note is redeemed, or to be redeemed, by the Company only in part, to that portion of the principal amount of this Note that has been, or is to be, redeemed.</w:t>
      </w:r>
    </w:p>
    <w:p>
      <w:pPr>
        <w:spacing w:after="0" w:line="20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If an Event of Default with respect to the Notes shall occur and be continuing, the principal of and accrued interest on the Notes may be declared due and payable in the manner and with the effect provided in the Indenture.</w:t>
      </w:r>
    </w:p>
    <w:p>
      <w:pPr>
        <w:spacing w:after="0" w:line="185"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 (ii) 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5" w:name="page186"/>
    <w:bookmarkEnd w:id="185"/>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Note, subject to the provisions for satisfaction and discharge in Article Four of the Indenture, shall alter or impair the obligation of the Company, which is absolute and unconditional, to pay the principal of and interest on this Note at the times, place and rate, and in the coin or currency, herein prescribed.</w:t>
      </w:r>
    </w:p>
    <w:p>
      <w:pPr>
        <w:spacing w:after="0" w:line="201"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The Company shall be permitted, by irrevocably depositing cash or U.S. Government Obligations, in amounts and maturities sufficient to pay and discharge at the Stated Maturity or Redemption Date, as the case may be, the entire indebtedness on all Outstanding Notes that have become due and payable or will become due and payable within one year (or are scheduled for redemption within one year), with the Trustee in trust, solely for the benefit of the Holders of all Outstanding Notes, to defease the Indenture with respect to such Notes (subject to specified exceptions), and upon such deposit and satisfaction of the other conditions set forth in the Indenture, the Company shall be deemed to have paid and discharged its entire indebtedness on the Notes.</w:t>
      </w:r>
    </w:p>
    <w:p>
      <w:pPr>
        <w:spacing w:after="0" w:line="211"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Company shall also be permitted to discharge, at any time, its obligations in respect of the Notes (other than certain limited obligations, such as the obligation to transfer and exchange the Notes) by (1)(a) delivering all of the outstanding Notes to the Trustee to be cancelled or (b) depositing with the Trustee in trust funds or non-callable United States government or government-guaranteed obligations sufficient, without investment, to pay all remaining principal and interest on the Notes and (2) complying with certain other provisions of the Indenture, including delivering to the Trustee an opinion of counsel from a nationally recognized counsel or an IRS ruling stating that (A) the Company has received from, or there has been published by, the Internal Revenue Service a ruling or (B) since the date of the Indenture, there has been a change in the applicable federal income tax law, in the case of either (A) or (B) to the effect that the Holders of the Notes will not recognize income, gain or loss for federal income tax purposes as a result of such discharge and will be subject to federal income tax on the same amount, in the same manner and at the same times as would be the case if such deposit and discharge were not to occur.</w:t>
      </w:r>
    </w:p>
    <w:p>
      <w:pPr>
        <w:spacing w:after="0" w:line="208"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22"/>
          <w:szCs w:val="22"/>
          <w:color w:val="auto"/>
        </w:rPr>
        <w:t>The Company shall also be permitted to omit to comply with the restrictive covenants described in Sections 1007 and 801 of the Indenture, with respect to the Notes, and the omission shall not be an Event of Default, pursuant to the Company’s right to covenant defeasance. In order to exercise the Company’s right to covenant defeasance, the Company will be required to deposit with the Trustee, in trust funds or non-callable United States government or government-guaranteed obligations, funds sufficient, without investment, to pay all remaining principal and interest on the Notes. To effect a covenant defeasance with respect to the Notes, the Company shall be required to deliver to the Trustee an opinion of counsel to the effect that the holders of the Notes will not recognize gain or loss for federal income tax purposes as a result of the deposit and the covenant defeasance and will be subject to federal income tax on the same amount, in the same manner and at the same times as would be the case if such deposit and covenant defeasance were not to occur.</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6" w:name="page187"/>
    <w:bookmarkEnd w:id="186"/>
    <w:p>
      <w:pPr>
        <w:ind w:firstLine="648"/>
        <w:spacing w:after="0" w:line="236"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therein set forth, the transfer of Notes is registrable in the Security Register, upon surrender of a Note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Notes of like tenor, of authorized denominations and for the same aggregate principal amount, will be issued to the designated transferee or transferees.</w:t>
      </w:r>
    </w:p>
    <w:p>
      <w:pPr>
        <w:spacing w:after="0" w:line="204"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1"/>
          <w:szCs w:val="21"/>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18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201"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This Note shall be governed by and construed in accordance with the law of the State of New York (without regard to conflicts of laws principles thereof).</w:t>
      </w:r>
    </w:p>
    <w:p>
      <w:pPr>
        <w:spacing w:after="0" w:line="185"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1"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All undefined terms (whether or not capitalized) used in this Note which are defined in the Indenture shall have the meanings assigned to them in the Indenture.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87" w:name="page188"/>
    <w:bookmarkEnd w:id="187"/>
    <w:p>
      <w:pPr>
        <w:ind w:left="468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assign this Note, fill in the form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6011545"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60115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7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26035</wp:posOffset>
            </wp:positionV>
            <wp:extent cx="347345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appear(s) on the face of this Note)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The signature must be guaranteed by an institution that is a member of one of the following recognized signature</w:t>
      </w:r>
    </w:p>
    <w:p>
      <w:pPr>
        <w:spacing w:after="0" w:line="26" w:lineRule="exact"/>
        <w:rPr>
          <w:sz w:val="20"/>
          <w:szCs w:val="20"/>
          <w:color w:val="auto"/>
        </w:rPr>
      </w:pPr>
    </w:p>
    <w:p>
      <w:pPr>
        <w:jc w:val="both"/>
        <w:ind w:right="220"/>
        <w:spacing w:after="0" w:line="235" w:lineRule="auto"/>
        <w:rPr>
          <w:sz w:val="20"/>
          <w:szCs w:val="20"/>
          <w:color w:val="auto"/>
        </w:rPr>
      </w:pPr>
      <w:r>
        <w:rPr>
          <w:rFonts w:ascii="Times New Roman" w:cs="Times New Roman" w:eastAsia="Times New Roman" w:hAnsi="Times New Roman"/>
          <w:sz w:val="22"/>
          <w:szCs w:val="22"/>
          <w:color w:val="auto"/>
        </w:rPr>
        <w:t>guarantee programs: (i) The Securities Transfer Agent Medallion Program (STAMP); (ii) The New York Stock Exchange Medallion Program (MNSP); (iii) The Stock Exchange Medallion Program (SEMP); or (iv) such other guarantee program acceptable to the Trustee.</w:t>
      </w:r>
    </w:p>
    <w:p>
      <w:pPr>
        <w:spacing w:after="0" w:line="3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12" w:right="87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p>
    <w:p>
      <w:pPr>
        <w:spacing w:after="0" w:line="234"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Signature of</w:t>
            </w:r>
          </w:p>
        </w:tc>
      </w:tr>
      <w:tr>
        <w:trPr>
          <w:trHeight w:val="216"/>
        </w:trPr>
        <w:tc>
          <w:tcPr>
            <w:tcW w:w="1940" w:type="dxa"/>
            <w:vAlign w:val="bottom"/>
          </w:tcPr>
          <w:p>
            <w:pPr>
              <w:spacing w:after="0"/>
              <w:rPr>
                <w:sz w:val="18"/>
                <w:szCs w:val="18"/>
                <w:color w:val="auto"/>
              </w:rPr>
            </w:pPr>
          </w:p>
        </w:tc>
        <w:tc>
          <w:tcPr>
            <w:tcW w:w="2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Authorized</w:t>
            </w:r>
          </w:p>
        </w:tc>
      </w:tr>
      <w:tr>
        <w:trPr>
          <w:trHeight w:val="216"/>
        </w:trPr>
        <w:tc>
          <w:tcPr>
            <w:tcW w:w="1940" w:type="dxa"/>
            <w:vAlign w:val="bottom"/>
          </w:tcPr>
          <w:p>
            <w:pPr>
              <w:spacing w:after="0"/>
              <w:rPr>
                <w:sz w:val="18"/>
                <w:szCs w:val="18"/>
                <w:color w:val="auto"/>
              </w:rPr>
            </w:pPr>
          </w:p>
        </w:tc>
        <w:tc>
          <w:tcPr>
            <w:tcW w:w="2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Decrease in</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Officer of</w:t>
            </w:r>
          </w:p>
        </w:tc>
      </w:tr>
      <w:tr>
        <w:trPr>
          <w:trHeight w:val="216"/>
        </w:trPr>
        <w:tc>
          <w:tcPr>
            <w:tcW w:w="1940" w:type="dxa"/>
            <w:vAlign w:val="bottom"/>
          </w:tcPr>
          <w:p>
            <w:pPr>
              <w:spacing w:after="0"/>
              <w:rPr>
                <w:sz w:val="18"/>
                <w:szCs w:val="18"/>
                <w:color w:val="auto"/>
              </w:rPr>
            </w:pPr>
          </w:p>
        </w:tc>
        <w:tc>
          <w:tcPr>
            <w:tcW w:w="2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Principal</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Trustee or</w:t>
            </w:r>
          </w:p>
        </w:tc>
      </w:tr>
      <w:tr>
        <w:trPr>
          <w:trHeight w:val="216"/>
        </w:trPr>
        <w:tc>
          <w:tcPr>
            <w:tcW w:w="1940" w:type="dxa"/>
            <w:vAlign w:val="bottom"/>
          </w:tcPr>
          <w:p>
            <w:pPr>
              <w:spacing w:after="0"/>
              <w:rPr>
                <w:sz w:val="18"/>
                <w:szCs w:val="18"/>
                <w:color w:val="auto"/>
              </w:rPr>
            </w:pPr>
          </w:p>
        </w:tc>
        <w:tc>
          <w:tcPr>
            <w:tcW w:w="2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Amount of this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 this</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1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Date of Exchange</w:t>
            </w:r>
          </w:p>
        </w:tc>
        <w:tc>
          <w:tcPr>
            <w:tcW w:w="2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Global Note</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Global Note</w:t>
            </w: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Custodian</w:t>
            </w:r>
          </w:p>
        </w:tc>
      </w:tr>
      <w:tr>
        <w:trPr>
          <w:trHeight w:val="598"/>
        </w:trPr>
        <w:tc>
          <w:tcPr>
            <w:tcW w:w="1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rPr>
              <w:t>11</w:t>
            </w:r>
          </w:p>
        </w:tc>
        <w:tc>
          <w:tcPr>
            <w:tcW w:w="25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98"/>
        </w:trPr>
        <w:tc>
          <w:tcPr>
            <w:tcW w:w="194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2" w:right="239" w:bottom="1440" w:gutter="0" w:footer="0" w:header="0"/>
        </w:sectPr>
      </w:pPr>
    </w:p>
    <w:bookmarkStart w:id="189" w:name="page190"/>
    <w:bookmarkEnd w:id="189"/>
    <w:p>
      <w:pPr>
        <w:ind w:left="103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4.19</w:t>
      </w:r>
    </w:p>
    <w:p>
      <w:pPr>
        <w:spacing w:after="0" w:line="24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A NEW YORK CORPORATION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00" w:type="dxa"/>
            <w:vAlign w:val="bottom"/>
          </w:tcPr>
          <w:p>
            <w:pPr>
              <w:spacing w:after="0"/>
              <w:rPr>
                <w:sz w:val="24"/>
                <w:szCs w:val="24"/>
                <w:color w:val="auto"/>
              </w:rPr>
            </w:pPr>
          </w:p>
        </w:tc>
        <w:tc>
          <w:tcPr>
            <w:tcW w:w="85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OCCIDENTAL PETROLEUM CORPORATION</w:t>
            </w:r>
          </w:p>
        </w:tc>
      </w:tr>
      <w:tr>
        <w:trPr>
          <w:trHeight w:val="486"/>
        </w:trPr>
        <w:tc>
          <w:tcPr>
            <w:tcW w:w="2900" w:type="dxa"/>
            <w:vAlign w:val="bottom"/>
          </w:tcPr>
          <w:p>
            <w:pPr>
              <w:spacing w:after="0"/>
              <w:rPr>
                <w:sz w:val="24"/>
                <w:szCs w:val="24"/>
                <w:color w:val="auto"/>
              </w:rPr>
            </w:pPr>
          </w:p>
        </w:tc>
        <w:tc>
          <w:tcPr>
            <w:tcW w:w="8520" w:type="dxa"/>
            <w:vAlign w:val="bottom"/>
          </w:tcPr>
          <w:p>
            <w:pPr>
              <w:ind w:left="1140"/>
              <w:spacing w:after="0"/>
              <w:rPr>
                <w:sz w:val="20"/>
                <w:szCs w:val="20"/>
                <w:color w:val="auto"/>
              </w:rPr>
            </w:pPr>
            <w:r>
              <w:rPr>
                <w:rFonts w:ascii="Times New Roman" w:cs="Times New Roman" w:eastAsia="Times New Roman" w:hAnsi="Times New Roman"/>
                <w:sz w:val="22"/>
                <w:szCs w:val="22"/>
                <w:b w:val="1"/>
                <w:bCs w:val="1"/>
                <w:color w:val="auto"/>
              </w:rPr>
              <w:t>4.500% SENIOR NOTES DUE 2044</w:t>
            </w: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59"/>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CUSIP: 674599 DK8</w:t>
            </w:r>
          </w:p>
        </w:tc>
        <w:tc>
          <w:tcPr>
            <w:tcW w:w="852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ISIN: US674599DK85</w:t>
            </w:r>
          </w:p>
        </w:tc>
        <w:tc>
          <w:tcPr>
            <w:tcW w:w="8520" w:type="dxa"/>
            <w:vAlign w:val="bottom"/>
          </w:tcPr>
          <w:p>
            <w:pPr>
              <w:spacing w:after="0"/>
              <w:rPr>
                <w:sz w:val="24"/>
                <w:szCs w:val="24"/>
                <w:color w:val="auto"/>
              </w:rPr>
            </w:pP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July 15, 2044</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4.500% per annum</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January 15 and July 15, commencing January 15, 2020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January 1 and July 1</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29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90" w:name="page191"/>
    <w:bookmarkEnd w:id="190"/>
    <w:p>
      <w:pPr>
        <w:ind w:right="20" w:firstLine="648"/>
        <w:spacing w:after="0" w:line="244" w:lineRule="auto"/>
        <w:rPr>
          <w:sz w:val="20"/>
          <w:szCs w:val="20"/>
          <w:color w:val="auto"/>
        </w:rPr>
      </w:pPr>
      <w:r>
        <w:rPr>
          <w:rFonts w:ascii="Times New Roman" w:cs="Times New Roman" w:eastAsia="Times New Roman" w:hAnsi="Times New Roman"/>
          <w:sz w:val="21"/>
          <w:szCs w:val="21"/>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(unless and to the extent earlier redeemed prior to such Maturity Date) and to pay interest thereon from July 15, 2019 or from the most recent Interest Payment Date to which interest has been paid or duly provided for, semi-annually in arrears on January 15 and July 15 in each year, commencing on January 15, 2020, at the rate per annum specified above, until the principal hereof is paid or made available for payment. Interest on this Note will be computed on the basis of a</w:t>
      </w:r>
    </w:p>
    <w:p>
      <w:pPr>
        <w:spacing w:after="0" w:line="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 xml:space="preserve">360-day year comprised of twelve 30-day months. Interest payments for this Note will include interest accrued to but excluding each Interest Payment Date. The interest so payable, and punctually paid or duly provided for, on any Interest Payment Date will, as provided in the Indenture, be paid to the Person in whose name this Note (or one or more Predecessor Securities) is registered at the close of business on the Regular Record Date, which shall be the January 1 or July 1 (whether or not a Business Day), as the case may be, immediately preceding such Interest Payment Date. If any Interest Payment Date or Maturity with respect to this Note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Note (or one or more Predecessor Securities) is registered at the close of business on a Special Record Date for the payment of such Defaulted Interest to be fixed by the Trustee (as defined below), notice of which will be given to Holders of Notes not less than 10 days prior to such Special Record Date, or (2) be paid at any time in any other lawful manner not inconsistent with the requirements of any securities exchange on which the Notes may be listed, and upon such notice as may be required by such exchange, all as more fully provided in the Indenture. Payment of the principal of and interest on this Note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Note set forth below, which further provisions shall for all purposes have the same effect as if set forth at this place.</w:t>
      </w:r>
    </w:p>
    <w:p>
      <w:pPr>
        <w:spacing w:after="0" w:line="18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or its duly appointed co-authenticating agent by manual signature, this Note shall not be entitled to any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1" w:name="page192"/>
    <w:bookmarkEnd w:id="191"/>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OCCIDENTAL PETROLEUM CORPORATION has caused this Note to be signed by the signature of its Chairman of the Board, its President, a Vice President, its Treasurer or an Assistant Treasurer.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4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60"/>
          </w:cols>
          <w:pgMar w:left="240" w:top="112" w:right="799" w:bottom="1440" w:gutter="0" w:footer="0" w:header="0"/>
        </w:sectPr>
      </w:pPr>
    </w:p>
    <w:bookmarkStart w:id="192" w:name="page193"/>
    <w:bookmarkEnd w:id="192"/>
    <w:p>
      <w:pPr>
        <w:ind w:left="3320"/>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 mentioned Indenture.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Bank of New York Mellon Trust Company, N.A., as Trustee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193" w:name="page194"/>
    <w:bookmarkEnd w:id="193"/>
    <w:p>
      <w:pPr>
        <w:ind w:right="220" w:firstLine="648"/>
        <w:spacing w:after="0" w:line="241" w:lineRule="auto"/>
        <w:rPr>
          <w:sz w:val="20"/>
          <w:szCs w:val="20"/>
          <w:color w:val="auto"/>
        </w:rPr>
      </w:pPr>
      <w:r>
        <w:rPr>
          <w:rFonts w:ascii="Times New Roman" w:cs="Times New Roman" w:eastAsia="Times New Roman" w:hAnsi="Times New Roman"/>
          <w:sz w:val="22"/>
          <w:szCs w:val="22"/>
          <w:color w:val="auto"/>
        </w:rPr>
        <w:t>This Note is one of a duly authorized issue of securities (herein called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of the Company, issued and to be issued pursuant to the Indenture (as defined below). This Note is one of a series designated by the Company as its 4.500% Senior Notes due 2044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limited in initial aggregate principal amount to $[ ]. The Indenture does not limit the aggregate principal amount of the Securities.</w:t>
      </w:r>
    </w:p>
    <w:p>
      <w:pPr>
        <w:spacing w:after="0" w:line="200"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The Company issued this Note pursuant to an Indenture, dated as of August 8, 2019 (herein called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which term, for the purpose of this Note,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Notes and of the terms upon which the Notes are, and are to be, authenticated and delivered.</w:t>
      </w:r>
    </w:p>
    <w:p>
      <w:pPr>
        <w:spacing w:after="0" w:line="207"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The Notes are issuable in denominations of $2,000 and any amount in excess thereof which is an integral multiple of $1,000. As provided in the Indenture and subject to certain limitations therein set forth, the Notes are exchangeable for a like aggregate principal amount of Notes of like tenor of any authorized denomination, as requested by the Holder surrendering the same, upon surrender of the Note or Notes to be exchanged at any office or agency described below where Notes may be presented for registration of transfer.</w:t>
      </w:r>
    </w:p>
    <w:p>
      <w:pPr>
        <w:spacing w:after="0" w:line="204"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The Company may, from time to time, without notice to or the consent of the Holders of the Notes, reopen the Notes and issue additional Notes.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Notes are redeemable, in whole at any time or in part from time to time prior to January 15, 2044 (the “</w:t>
      </w:r>
      <w:r>
        <w:rPr>
          <w:rFonts w:ascii="Times New Roman" w:cs="Times New Roman" w:eastAsia="Times New Roman" w:hAnsi="Times New Roman"/>
          <w:sz w:val="22"/>
          <w:szCs w:val="22"/>
          <w:b w:val="1"/>
          <w:bCs w:val="1"/>
          <w:color w:val="auto"/>
        </w:rPr>
        <w:t>Par Call</w:t>
      </w:r>
    </w:p>
    <w:p>
      <w:pPr>
        <w:spacing w:after="0" w:line="18"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at the option of the Company at a Redemption Price equal to the greater of (i) 100% of the principal amount of the Notes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redeemed and (ii) as determined by the Quotation Agent, the sum of the present values of the remaining scheduled payments of principal and interest on the Notes to be redeemed through the Par Call Date (not including any portion of such payments of interest accrued to, but not including, the Redemption Date) discounted to the Redemption Date on a semi-annual basis (assuming a 360-day year comprised of twelve 30-day months) at the Treasury Rate (as defined herein) plus 20 basis points plus, in each case, accrued and unpaid interest on the principal amount of the Notes being redeemed to, but not including, the Redemption Date. On and after the Par Call Date, the Notes are redeemable, in whole at any time or in part from time to time, at the option of the Company at a Redemption Price equal to 100% of the principal amount of the Notes to be redeemed, plus accrued and unpaid interest on the principal amount of the Notes being redeemed to, but not including, the Redemption Date. Notwithstanding the foregoing, installments of interest whose Stated Maturity is on or prior to the relevant Redemption Date shall be payable to the Holders of the Notes, or one or more Predecessor Securities, of record at the close of business on the relevant Regular Record Dates according to their terms and the provisions of the Indenture.</w:t>
      </w:r>
    </w:p>
    <w:p>
      <w:pPr>
        <w:spacing w:after="0" w:line="210"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Rate</w:t>
      </w:r>
      <w:r>
        <w:rPr>
          <w:rFonts w:ascii="Times New Roman" w:cs="Times New Roman" w:eastAsia="Times New Roman" w:hAnsi="Times New Roman"/>
          <w:sz w:val="22"/>
          <w:szCs w:val="22"/>
          <w:color w:val="auto"/>
        </w:rPr>
        <w:t>” means, with respect to any Redemption Date, the rate per annum, as determined by the Quotation Agent equal to:</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94" w:name="page195"/>
    <w:bookmarkEnd w:id="194"/>
    <w:p>
      <w:pPr>
        <w:jc w:val="both"/>
        <w:ind w:left="660" w:hanging="328"/>
        <w:spacing w:after="0" w:line="255"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provided that if no maturity is within three months before or after the remaining term of the Notes to be redeemed (assuming, for this purpose, that the Notes mature on the Par Call Date), yields for the two published maturities most closely corresponding to the Comparable Treasury Issue will be determined and the Treasury Rate will be interpolated or extrapolated from those yields on a straight-line basis rounding to the nearest month; or</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that Redemption Date.</w:t>
      </w:r>
    </w:p>
    <w:p>
      <w:pPr>
        <w:spacing w:after="0" w:line="194" w:lineRule="exact"/>
        <w:rPr>
          <w:sz w:val="20"/>
          <w:szCs w:val="20"/>
          <w:color w:val="auto"/>
        </w:rPr>
      </w:pPr>
    </w:p>
    <w:p>
      <w:pPr>
        <w:ind w:right="1040" w:firstLine="648"/>
        <w:spacing w:after="0" w:line="258" w:lineRule="auto"/>
        <w:rPr>
          <w:sz w:val="20"/>
          <w:szCs w:val="20"/>
          <w:color w:val="auto"/>
        </w:rPr>
      </w:pPr>
      <w:r>
        <w:rPr>
          <w:rFonts w:ascii="Times New Roman" w:cs="Times New Roman" w:eastAsia="Times New Roman" w:hAnsi="Times New Roman"/>
          <w:sz w:val="22"/>
          <w:szCs w:val="22"/>
          <w:color w:val="auto"/>
        </w:rPr>
        <w:t>The Treasury Rate will be calculated at 5:00 p.m. (New York City time) on the third Business Day preceding the Redemption Date by the Quotation Agent.</w:t>
      </w:r>
    </w:p>
    <w:p>
      <w:pPr>
        <w:spacing w:after="0" w:line="181" w:lineRule="exact"/>
        <w:rPr>
          <w:sz w:val="20"/>
          <w:szCs w:val="20"/>
          <w:color w:val="auto"/>
        </w:rPr>
      </w:pPr>
    </w:p>
    <w:p>
      <w:pPr>
        <w:ind w:right="20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Issue</w:t>
      </w:r>
      <w:r>
        <w:rPr>
          <w:rFonts w:ascii="Times New Roman" w:cs="Times New Roman" w:eastAsia="Times New Roman" w:hAnsi="Times New Roman"/>
          <w:sz w:val="22"/>
          <w:szCs w:val="22"/>
          <w:color w:val="auto"/>
        </w:rPr>
        <w:t>” means, with respect to any Redemption Date, the United States Treasury security selected by the Quotation Agent that would be utilized, at the time of selection and in accordance with customary financial practice, in pricing new issues of corporate debt securities of comparable maturity to the remaining term of the Notes (assuming, for this purpose, that the Notes mature on the Par Call Date).</w:t>
      </w:r>
    </w:p>
    <w:p>
      <w:pPr>
        <w:spacing w:after="0" w:line="199"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Price</w:t>
      </w:r>
      <w:r>
        <w:rPr>
          <w:rFonts w:ascii="Times New Roman" w:cs="Times New Roman" w:eastAsia="Times New Roman" w:hAnsi="Times New Roman"/>
          <w:sz w:val="22"/>
          <w:szCs w:val="22"/>
          <w:color w:val="auto"/>
        </w:rPr>
        <w:t>” means, with respect to any Redemption Date, (1) the average of the Reference Treasury Dealer Quotations for such Redemption Date, after excluding the highest and lowest Reference Treasury Dealer Quotations, or (2) if the Quotation Agent obtains fewer than three Reference Treasury Dealer Quotations, the average of all such Reference Treasury Dealer Quotations, such average in any case to be determined by the Quotation Agent, or (3) if only one Reference Treasury Dealer Quotation is received, such Reference Treasury Dealer Quotation.</w:t>
      </w:r>
    </w:p>
    <w:p>
      <w:pPr>
        <w:spacing w:after="0" w:line="204" w:lineRule="exact"/>
        <w:rPr>
          <w:sz w:val="20"/>
          <w:szCs w:val="20"/>
          <w:color w:val="auto"/>
        </w:rPr>
      </w:pPr>
    </w:p>
    <w:p>
      <w:pPr>
        <w:ind w:right="8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Quotation Agent</w:t>
      </w:r>
      <w:r>
        <w:rPr>
          <w:rFonts w:ascii="Times New Roman" w:cs="Times New Roman" w:eastAsia="Times New Roman" w:hAnsi="Times New Roman"/>
          <w:sz w:val="22"/>
          <w:szCs w:val="22"/>
          <w:color w:val="auto"/>
        </w:rPr>
        <w:t>” means, with respect to any Redemption Date, the Reference Treasury Dealer appointed by the Company.</w:t>
      </w:r>
    </w:p>
    <w:p>
      <w:pPr>
        <w:spacing w:after="0" w:line="17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Treasury Dealer</w:t>
      </w:r>
      <w:r>
        <w:rPr>
          <w:rFonts w:ascii="Times New Roman" w:cs="Times New Roman" w:eastAsia="Times New Roman" w:hAnsi="Times New Roman"/>
          <w:sz w:val="22"/>
          <w:szCs w:val="22"/>
          <w:color w:val="auto"/>
        </w:rPr>
        <w:t>” means, with respect to any Redemption Date, each of (1) BofA Securities, Inc. and Citigroup Global Markets Inc. (or their respective affiliates that are primary U.S. Government securities dealers) and their respective successors; provided, however, that if any of them shall cease to be a primary U.S. Government securities dealer in the United States of America (a “</w:t>
      </w:r>
      <w:r>
        <w:rPr>
          <w:rFonts w:ascii="Times New Roman" w:cs="Times New Roman" w:eastAsia="Times New Roman" w:hAnsi="Times New Roman"/>
          <w:sz w:val="22"/>
          <w:szCs w:val="22"/>
          <w:b w:val="1"/>
          <w:bCs w:val="1"/>
          <w:color w:val="auto"/>
        </w:rPr>
        <w:t>Primary Treasury Dealer</w:t>
      </w:r>
      <w:r>
        <w:rPr>
          <w:rFonts w:ascii="Times New Roman" w:cs="Times New Roman" w:eastAsia="Times New Roman" w:hAnsi="Times New Roman"/>
          <w:sz w:val="22"/>
          <w:szCs w:val="22"/>
          <w:color w:val="auto"/>
        </w:rPr>
        <w:t>”), the Company shall substitute for it another Primary Treasury Dealer; and (2) any other Primary Treasury Dealer or Dealers selected by the Company.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5" w:name="page196"/>
    <w:bookmarkEnd w:id="195"/>
    <w:p>
      <w:pPr>
        <w:ind w:right="20"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Reference Treasury Dealer Quotations</w:t>
      </w:r>
      <w:r>
        <w:rPr>
          <w:rFonts w:ascii="Times New Roman" w:cs="Times New Roman" w:eastAsia="Times New Roman" w:hAnsi="Times New Roman"/>
          <w:sz w:val="21"/>
          <w:szCs w:val="21"/>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in The City of New York preceding such Redemption Date.</w:t>
      </w:r>
    </w:p>
    <w:p>
      <w:pPr>
        <w:spacing w:after="0" w:line="19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Notice of any redemption will be sent at least 10 days but not more than 60 days before the Redemption Date to each Holder of the Notes to be redeemed, all as more fully provided in the Indenture. Unless the Company defaults in payment of the Redemption Price (or any accrued and unpaid interest on the Notes or portions thereof to be redeemed), on and after the Redemption Date interest will cease to accrue on the Notes or portions thereof called for redemption. If less than all of the Notes are to be redeemed, the Notes (or portions thereof) to be redeemed shall be selected, in the case of Global Notes, in accordance with the policies and procedures of the depository or, in the case of Definitive Notes, by the Trustee by such method as the Trustee shall deem fair and appropriate, all as more fully provided in the Indenture.</w:t>
      </w:r>
    </w:p>
    <w:p>
      <w:pPr>
        <w:spacing w:after="0" w:line="21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All notices of redemption shall state the Redemption Date, the Redemption Price (or, if not then ascertainable, the manner of calculation thereof), if fewer than all the Outstanding Notes are to be redeemed, the identification (and, in the case of partial redemption, the principal amounts) of the particular Notes to be redeemed, that on the Redemption Date the Redemption Price will become due and payable upon each Note, or portion thereof, to be redeemed, together with accrued and unpaid interest thereon, that interest on each Note, or portion thereof, called for redemption will cease to accrue on the Redemption Date and the place or places where Notes may be surrendered for redemption.</w:t>
      </w:r>
    </w:p>
    <w:p>
      <w:pPr>
        <w:spacing w:after="0" w:line="209"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In the event of redemption of this Note in part only, a new Note or Notes of like tenor in an aggregate principal amount equal to and in exchange for the unredeemed portion of the principal amount hereof will be issued in authorized denominations in the name of the Holder hereof upon surrender hereof.</w:t>
      </w:r>
    </w:p>
    <w:p>
      <w:pPr>
        <w:spacing w:after="0" w:line="201" w:lineRule="exact"/>
        <w:rPr>
          <w:sz w:val="20"/>
          <w:szCs w:val="20"/>
          <w:color w:val="auto"/>
        </w:rPr>
      </w:pPr>
    </w:p>
    <w:p>
      <w:pPr>
        <w:ind w:right="340" w:firstLine="648"/>
        <w:spacing w:after="0" w:line="244" w:lineRule="auto"/>
        <w:rPr>
          <w:sz w:val="20"/>
          <w:szCs w:val="20"/>
          <w:color w:val="auto"/>
        </w:rPr>
      </w:pPr>
      <w:r>
        <w:rPr>
          <w:rFonts w:ascii="Times New Roman" w:cs="Times New Roman" w:eastAsia="Times New Roman" w:hAnsi="Times New Roman"/>
          <w:sz w:val="22"/>
          <w:szCs w:val="22"/>
          <w:color w:val="auto"/>
        </w:rPr>
        <w:t>For all purposes of this Note and the Indenture, unless the context otherwise requires, all provisions relating to the redemption by the Company of this Note shall relate, in the case that this Note is redeemed, or to be redeemed, by the Company only in part, to that portion of the principal amount of this Note that has been, or is to be, redeemed.</w:t>
      </w:r>
    </w:p>
    <w:p>
      <w:pPr>
        <w:spacing w:after="0" w:line="20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If an Event of Default with respect to the Notes shall occur and be continuing, the principal of and accrued interest on the Notes may be declared due and payable in the manner and with the effect provided in the Indenture.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96" w:name="page197"/>
    <w:bookmarkEnd w:id="196"/>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 (ii) 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08"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Note, subject to the provisions for satisfaction and discharge in Article Four of the Indenture, shall alter or impair the obligation of the Company, which is absolute and unconditional, to pay the principal of and interest on this Note at the times, place and rate, and in the coin or currency, herein prescribed.</w:t>
      </w:r>
    </w:p>
    <w:p>
      <w:pPr>
        <w:spacing w:after="0" w:line="201"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The Company shall be permitted, by irrevocably depositing cash or U.S. Government Obligations, in amounts and maturities sufficient to pay and discharge at the Stated Maturity or Redemption Date, as the case may be, the entire indebtedness on all Outstanding Notes that have become due and payable or will become due and payable within one year (or are scheduled for redemption within one year), with the Trustee in trust, solely for the benefit of the Holders of all Outstanding Notes, to defease the Indenture with respect to such Notes (subject to specified exceptions), and upon such deposit and satisfaction of the other conditions set forth in the Indenture, the Company shall be deemed to have paid and discharged its entire indebtedness on the Notes.</w:t>
      </w:r>
    </w:p>
    <w:p>
      <w:pPr>
        <w:spacing w:after="0" w:line="211"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Company shall also be permitted to discharge, at any time, its obligations in respect of the Notes (other than certain limited obligations, such as the obligation to transfer and exchange the Notes) by (1)(a) delivering all of the outstanding Notes to the Trustee to be cancelled or (b) depositing with the Trustee in trust funds or non-callable United States government or government-guaranteed obligations sufficient, without investment, to pay all remaining principal and interest on the Notes and (2) complying with certain other provisions of the Indenture, including delivering to the Trustee an opinion of counsel from a nationally recognized counsel or an IRS ruling stating that (A) the Company has received from, or there has been published by, the Internal Revenue Service a ruling or (B) since the date of the Indenture, there has been a change in the applicable federal income tax law, in the case of either (A) or (B) to the effect that the Holders of the Notes will not recognize income, gain or loss for federal income tax purposes as a result of such discharge and will be subject to federal income tax on the same amount, in the same manner and at the same times as would be the case if such deposit and discharge were not to occur.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97" w:name="page198"/>
    <w:bookmarkEnd w:id="197"/>
    <w:p>
      <w:pPr>
        <w:ind w:right="40" w:firstLine="648"/>
        <w:spacing w:after="0" w:line="234" w:lineRule="auto"/>
        <w:rPr>
          <w:sz w:val="20"/>
          <w:szCs w:val="20"/>
          <w:color w:val="auto"/>
        </w:rPr>
      </w:pPr>
      <w:r>
        <w:rPr>
          <w:rFonts w:ascii="Times New Roman" w:cs="Times New Roman" w:eastAsia="Times New Roman" w:hAnsi="Times New Roman"/>
          <w:sz w:val="22"/>
          <w:szCs w:val="22"/>
          <w:color w:val="auto"/>
        </w:rPr>
        <w:t>The Company shall also be permitted to omit to comply with the restrictive covenants described in Sections 1007 and 801 of the Indenture, with respect to the Notes, and the omission shall not be an Event of Default, pursuant to the Company’s right to covenant defeasance. In order to exercise the Company’s right to covenant defeasance, the Company will be required to deposit with the Trustee, in trust funds or non-callable United States government or government-guaranteed obligations, funds sufficient, without investment, to pay all remaining principal and interest on the Notes. To effect a covenant defeasance with respect to the Notes, the Company shall be required to deliver to the Trustee an opinion of counsel to the effect that the holders of the Notes will not recognize gain or loss for federal income tax purposes as a result of the deposit and the covenant defeasance and will be subject to federal income tax on the same amount, in the same manner and at the same times as would be the case if such deposit and covenant defeasance were not to occur.</w:t>
      </w:r>
    </w:p>
    <w:p>
      <w:pPr>
        <w:spacing w:after="0" w:line="21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therein set forth, the transfer of Notes is registrable in the Security Register, upon surrender of a Note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Notes of like tenor, of authorized denominations and for the same aggregate principal amount, will be issued to the designated transferee or transferees.</w:t>
      </w:r>
    </w:p>
    <w:p>
      <w:pPr>
        <w:spacing w:after="0" w:line="21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1"/>
          <w:szCs w:val="21"/>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18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201"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This Note shall be governed by and construed in accordance with the law of the State of New York (without regard to conflicts of laws principles thereof).</w:t>
      </w:r>
    </w:p>
    <w:p>
      <w:pPr>
        <w:spacing w:after="0" w:line="185"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1"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All undefined terms (whether or not capitalized) used in this Note which are defined in the Indenture shall have the meanings assigned to them in the Indenture.</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98" w:name="page199"/>
    <w:bookmarkEnd w:id="198"/>
    <w:p>
      <w:pPr>
        <w:ind w:left="468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assign this Note, fill in the form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6011545"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60115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7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26035</wp:posOffset>
            </wp:positionV>
            <wp:extent cx="347345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appear(s) on the face of this Note)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The signature must be guaranteed by an institution that is a member of one of the following recognized signature</w:t>
      </w:r>
    </w:p>
    <w:p>
      <w:pPr>
        <w:spacing w:after="0" w:line="26" w:lineRule="exact"/>
        <w:rPr>
          <w:sz w:val="20"/>
          <w:szCs w:val="20"/>
          <w:color w:val="auto"/>
        </w:rPr>
      </w:pPr>
    </w:p>
    <w:p>
      <w:pPr>
        <w:jc w:val="both"/>
        <w:ind w:right="220"/>
        <w:spacing w:after="0" w:line="235" w:lineRule="auto"/>
        <w:rPr>
          <w:sz w:val="20"/>
          <w:szCs w:val="20"/>
          <w:color w:val="auto"/>
        </w:rPr>
      </w:pPr>
      <w:r>
        <w:rPr>
          <w:rFonts w:ascii="Times New Roman" w:cs="Times New Roman" w:eastAsia="Times New Roman" w:hAnsi="Times New Roman"/>
          <w:sz w:val="22"/>
          <w:szCs w:val="22"/>
          <w:color w:val="auto"/>
        </w:rPr>
        <w:t>guarantee programs: (i) The Securities Transfer Agent Medallion Program (STAMP); (ii) The New York Stock Exchange Medallion Program (MNSP); (iii) The Stock Exchange Medallion Program (SEMP); or (iv) such other guarantee program acceptable to the Trustee.</w:t>
      </w:r>
    </w:p>
    <w:p>
      <w:pPr>
        <w:spacing w:after="0" w:line="3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12" w:right="87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p>
    <w:p>
      <w:pPr>
        <w:spacing w:after="0" w:line="234"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Signature of</w:t>
            </w:r>
          </w:p>
        </w:tc>
      </w:tr>
      <w:tr>
        <w:trPr>
          <w:trHeight w:val="216"/>
        </w:trPr>
        <w:tc>
          <w:tcPr>
            <w:tcW w:w="1940" w:type="dxa"/>
            <w:vAlign w:val="bottom"/>
          </w:tcPr>
          <w:p>
            <w:pPr>
              <w:spacing w:after="0"/>
              <w:rPr>
                <w:sz w:val="18"/>
                <w:szCs w:val="18"/>
                <w:color w:val="auto"/>
              </w:rPr>
            </w:pPr>
          </w:p>
        </w:tc>
        <w:tc>
          <w:tcPr>
            <w:tcW w:w="2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Amount of</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Authorized</w:t>
            </w:r>
          </w:p>
        </w:tc>
      </w:tr>
      <w:tr>
        <w:trPr>
          <w:trHeight w:val="216"/>
        </w:trPr>
        <w:tc>
          <w:tcPr>
            <w:tcW w:w="1940" w:type="dxa"/>
            <w:vAlign w:val="bottom"/>
          </w:tcPr>
          <w:p>
            <w:pPr>
              <w:spacing w:after="0"/>
              <w:rPr>
                <w:sz w:val="18"/>
                <w:szCs w:val="18"/>
                <w:color w:val="auto"/>
              </w:rPr>
            </w:pPr>
          </w:p>
        </w:tc>
        <w:tc>
          <w:tcPr>
            <w:tcW w:w="2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Decrease in</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Officer of</w:t>
            </w:r>
          </w:p>
        </w:tc>
      </w:tr>
      <w:tr>
        <w:trPr>
          <w:trHeight w:val="216"/>
        </w:trPr>
        <w:tc>
          <w:tcPr>
            <w:tcW w:w="1940" w:type="dxa"/>
            <w:vAlign w:val="bottom"/>
          </w:tcPr>
          <w:p>
            <w:pPr>
              <w:spacing w:after="0"/>
              <w:rPr>
                <w:sz w:val="18"/>
                <w:szCs w:val="18"/>
                <w:color w:val="auto"/>
              </w:rPr>
            </w:pPr>
          </w:p>
        </w:tc>
        <w:tc>
          <w:tcPr>
            <w:tcW w:w="2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Principal</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Trustee or</w:t>
            </w:r>
          </w:p>
        </w:tc>
      </w:tr>
      <w:tr>
        <w:trPr>
          <w:trHeight w:val="216"/>
        </w:trPr>
        <w:tc>
          <w:tcPr>
            <w:tcW w:w="1940" w:type="dxa"/>
            <w:vAlign w:val="bottom"/>
          </w:tcPr>
          <w:p>
            <w:pPr>
              <w:spacing w:after="0"/>
              <w:rPr>
                <w:sz w:val="18"/>
                <w:szCs w:val="18"/>
                <w:color w:val="auto"/>
              </w:rPr>
            </w:pPr>
          </w:p>
        </w:tc>
        <w:tc>
          <w:tcPr>
            <w:tcW w:w="2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Amount of this</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 this</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1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Date of Exchange</w:t>
            </w:r>
          </w:p>
        </w:tc>
        <w:tc>
          <w:tcPr>
            <w:tcW w:w="21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Global Note</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Global Note</w:t>
            </w: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Custodian</w:t>
            </w:r>
          </w:p>
        </w:tc>
      </w:tr>
      <w:tr>
        <w:trPr>
          <w:trHeight w:val="598"/>
        </w:trPr>
        <w:tc>
          <w:tcPr>
            <w:tcW w:w="1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36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rPr>
              <w:t>11</w:t>
            </w:r>
          </w:p>
        </w:tc>
        <w:tc>
          <w:tcPr>
            <w:tcW w:w="25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98"/>
        </w:trPr>
        <w:tc>
          <w:tcPr>
            <w:tcW w:w="194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256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2" w:right="239" w:bottom="1440" w:gutter="0" w:footer="0" w:header="0"/>
        </w:sectPr>
      </w:pPr>
    </w:p>
    <w:bookmarkStart w:id="200" w:name="page201"/>
    <w:bookmarkEnd w:id="200"/>
    <w:p>
      <w:pPr>
        <w:ind w:left="103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4.20</w:t>
      </w:r>
    </w:p>
    <w:p>
      <w:pPr>
        <w:spacing w:after="0" w:line="24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A NEW YORK CORPORATION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00" w:type="dxa"/>
            <w:vAlign w:val="bottom"/>
          </w:tcPr>
          <w:p>
            <w:pPr>
              <w:spacing w:after="0"/>
              <w:rPr>
                <w:sz w:val="24"/>
                <w:szCs w:val="24"/>
                <w:color w:val="auto"/>
              </w:rPr>
            </w:pPr>
          </w:p>
        </w:tc>
        <w:tc>
          <w:tcPr>
            <w:tcW w:w="85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OCCIDENTAL PETROLEUM CORPORATION</w:t>
            </w:r>
          </w:p>
        </w:tc>
      </w:tr>
      <w:tr>
        <w:trPr>
          <w:trHeight w:val="486"/>
        </w:trPr>
        <w:tc>
          <w:tcPr>
            <w:tcW w:w="2900" w:type="dxa"/>
            <w:vAlign w:val="bottom"/>
          </w:tcPr>
          <w:p>
            <w:pPr>
              <w:spacing w:after="0"/>
              <w:rPr>
                <w:sz w:val="24"/>
                <w:szCs w:val="24"/>
                <w:color w:val="auto"/>
              </w:rPr>
            </w:pPr>
          </w:p>
        </w:tc>
        <w:tc>
          <w:tcPr>
            <w:tcW w:w="8520" w:type="dxa"/>
            <w:vAlign w:val="bottom"/>
          </w:tcPr>
          <w:p>
            <w:pPr>
              <w:ind w:left="1140"/>
              <w:spacing w:after="0"/>
              <w:rPr>
                <w:sz w:val="20"/>
                <w:szCs w:val="20"/>
                <w:color w:val="auto"/>
              </w:rPr>
            </w:pPr>
            <w:r>
              <w:rPr>
                <w:rFonts w:ascii="Times New Roman" w:cs="Times New Roman" w:eastAsia="Times New Roman" w:hAnsi="Times New Roman"/>
                <w:sz w:val="22"/>
                <w:szCs w:val="22"/>
                <w:b w:val="1"/>
                <w:bCs w:val="1"/>
                <w:color w:val="auto"/>
              </w:rPr>
              <w:t>6.600% SENIOR NOTES DUE 2046</w:t>
            </w: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59"/>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CUSIP: 674599 DL6</w:t>
            </w:r>
          </w:p>
        </w:tc>
        <w:tc>
          <w:tcPr>
            <w:tcW w:w="852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ISIN: US674599DL68</w:t>
            </w:r>
          </w:p>
        </w:tc>
        <w:tc>
          <w:tcPr>
            <w:tcW w:w="8520" w:type="dxa"/>
            <w:vAlign w:val="bottom"/>
          </w:tcPr>
          <w:p>
            <w:pPr>
              <w:spacing w:after="0"/>
              <w:rPr>
                <w:sz w:val="24"/>
                <w:szCs w:val="24"/>
                <w:color w:val="auto"/>
              </w:rPr>
            </w:pP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15, 2046</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6.600% per annum</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15 and September 15, commencing March 15, 2020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1 and September 1</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29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01" w:name="page202"/>
    <w:bookmarkEnd w:id="201"/>
    <w:p>
      <w:pPr>
        <w:ind w:right="20" w:firstLine="648"/>
        <w:spacing w:after="0" w:line="244" w:lineRule="auto"/>
        <w:rPr>
          <w:sz w:val="20"/>
          <w:szCs w:val="20"/>
          <w:color w:val="auto"/>
        </w:rPr>
      </w:pPr>
      <w:r>
        <w:rPr>
          <w:rFonts w:ascii="Times New Roman" w:cs="Times New Roman" w:eastAsia="Times New Roman" w:hAnsi="Times New Roman"/>
          <w:sz w:val="21"/>
          <w:szCs w:val="21"/>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(unless and to the extent earlier redeemed prior to such Maturity Date) and to pay interest thereon from September 15, 2019 or from the most recent Interest Payment Date to which interest has been paid or duly provided for, semi-annually in arrears on March 15 and September 15 in each year, commencing on March 15, 2020, at the rate per annum specified above, until the principal hereof is paid or made available for payment. Interest on this Note will be computed on the basis of a</w:t>
      </w:r>
    </w:p>
    <w:p>
      <w:pPr>
        <w:spacing w:after="0" w:line="5"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 xml:space="preserve">360-day year comprised of twelve 30-day months. Interest payments for this Note will include interest accrued to but excluding each Interest Payment Date. The interest so payable, and punctually paid or duly provided for, on any Interest Payment Date will, as provided in the Indenture, be paid to the Person in whose name this Note (or one or more Predecessor Securities) is registered at the close of business on the Regular Record Date, which shall be the March 1 or September 1 (whether or not a Business Day), as the case may be, immediately preceding such Interest Payment Date. If any Interest Payment Date or Maturity with respect to this Note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Note (or one or more Predecessor Securities) is registered at the close of business on a Special Record Date for the payment of such Defaulted Interest to be fixed by the Trustee (as defined below), notice of which will be given to Holders of Notes not less than 10 days prior to such Special Record Date, or (2) be paid at any time in any other lawful manner not inconsistent with the requirements of any securities exchange on which the Notes may be listed, and upon such notice as may be required by such exchange, all as more fully provided in the Indenture. Payment of the principal of and interest on this Note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Note set forth below, which further provisions shall for all purposes have the same effect as if set forth at this place.</w:t>
      </w:r>
    </w:p>
    <w:p>
      <w:pPr>
        <w:spacing w:after="0" w:line="18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or its duly appointed co-authenticating agent by manual signature, this Note shall not be entitled to any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02" w:name="page203"/>
    <w:bookmarkEnd w:id="202"/>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OCCIDENTAL PETROLEUM CORPORATION has caused this Note to be signed by the signature of its Chairman of the Board, its President, a Vice President, its Treasurer or an Assistant Treasurer.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4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60"/>
          </w:cols>
          <w:pgMar w:left="240" w:top="112" w:right="799" w:bottom="1440" w:gutter="0" w:footer="0" w:header="0"/>
        </w:sectPr>
      </w:pPr>
    </w:p>
    <w:bookmarkStart w:id="203" w:name="page204"/>
    <w:bookmarkEnd w:id="203"/>
    <w:p>
      <w:pPr>
        <w:ind w:left="3320"/>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 mentioned Indenture.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Bank of New York Mellon Trust Company, N.A., as Trustee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204" w:name="page205"/>
    <w:bookmarkEnd w:id="204"/>
    <w:p>
      <w:pPr>
        <w:ind w:right="220" w:firstLine="648"/>
        <w:spacing w:after="0" w:line="241" w:lineRule="auto"/>
        <w:rPr>
          <w:sz w:val="20"/>
          <w:szCs w:val="20"/>
          <w:color w:val="auto"/>
        </w:rPr>
      </w:pPr>
      <w:r>
        <w:rPr>
          <w:rFonts w:ascii="Times New Roman" w:cs="Times New Roman" w:eastAsia="Times New Roman" w:hAnsi="Times New Roman"/>
          <w:sz w:val="22"/>
          <w:szCs w:val="22"/>
          <w:color w:val="auto"/>
        </w:rPr>
        <w:t>This Note is one of a duly authorized issue of securities (herein called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of the Company, issued and to be issued pursuant to the Indenture (as defined below). This Note is one of a series designated by the Company as its 6.600% Senior Notes due 2046 (the “</w:t>
      </w:r>
      <w:r>
        <w:rPr>
          <w:rFonts w:ascii="Times New Roman" w:cs="Times New Roman" w:eastAsia="Times New Roman" w:hAnsi="Times New Roman"/>
          <w:sz w:val="22"/>
          <w:szCs w:val="22"/>
          <w:b w:val="1"/>
          <w:bCs w:val="1"/>
          <w:color w:val="auto"/>
        </w:rPr>
        <w:t>Notes</w:t>
      </w:r>
      <w:r>
        <w:rPr>
          <w:rFonts w:ascii="Times New Roman" w:cs="Times New Roman" w:eastAsia="Times New Roman" w:hAnsi="Times New Roman"/>
          <w:sz w:val="22"/>
          <w:szCs w:val="22"/>
          <w:color w:val="auto"/>
        </w:rPr>
        <w:t>”), limited in initial aggregate principal amount to $[ ]. The Indenture does not limit the aggregate principal amount of the Securities.</w:t>
      </w:r>
    </w:p>
    <w:p>
      <w:pPr>
        <w:spacing w:after="0" w:line="200"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The Company issued this Note pursuant to an Indenture, dated as of August 8, 2019 (herein called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which term, for the purpose of this Note,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Notes and of the terms upon which the Notes are, and are to be, authenticated and delivered.</w:t>
      </w:r>
    </w:p>
    <w:p>
      <w:pPr>
        <w:spacing w:after="0" w:line="207"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The Notes are issuable in denominations of $2,000 and any amount in excess thereof which is an integral multiple of $1,000. As provided in the Indenture and subject to certain limitations therein set forth, the Notes are exchangeable for a like aggregate principal amount of Notes of like tenor of any authorized denomination, as requested by the Holder surrendering the same, upon surrender of the Note or Notes to be exchanged at any office or agency described below where Notes may be presented for registration of transfer.</w:t>
      </w:r>
    </w:p>
    <w:p>
      <w:pPr>
        <w:spacing w:after="0" w:line="204"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The Company may, from time to time, without notice to or the consent of the Holders of the Notes, reopen the Notes and issue additional Notes.</w:t>
      </w:r>
    </w:p>
    <w:p>
      <w:pPr>
        <w:spacing w:after="0" w:line="181"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The Notes are redeemable, in whole at any time or in part from time to time prior to September 15, 2045 (the “</w:t>
      </w:r>
      <w:r>
        <w:rPr>
          <w:rFonts w:ascii="Times New Roman" w:cs="Times New Roman" w:eastAsia="Times New Roman" w:hAnsi="Times New Roman"/>
          <w:sz w:val="22"/>
          <w:szCs w:val="22"/>
          <w:b w:val="1"/>
          <w:bCs w:val="1"/>
          <w:color w:val="auto"/>
        </w:rPr>
        <w:t>Par Call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at the option of the Company at a Redemption Price equal to the greater of (i) 100% of the principal amount of the Notes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redeemed and (ii) as determined by the Quotation Agent, the sum of the present values of the remaining scheduled payments of principal and interest on the Notes to be redeemed through the Par Call Date (not including any portion of such payments of interest accrued to, but not including, the Redemption Date) discounted to the Redemption Date on a semi-annual basis (assuming a 360-day year comprised of twelve 30-day months) at the Treasury Rate (as defined herein) plus 50 basis points plus, in each case, accrued and unpaid interest on the principal amount of the Notes being redeemed to, but not including, the Redemption Date. On and after the Par Call Date, the Notes are redeemable, in whole at any time or in part from time to time, at the option of the Company at a Redemption Price equal to 100% of the principal amount of the Notes to be redeemed, plus accrued and unpaid interest on the principal amount of the Notes being redeemed to, but not including, the Redemption Date. Notwithstanding the foregoing, installments of interest whose Stated Maturity is on or prior to the relevant Redemption Date shall be payable to the Holders of the Notes, or one or more Predecessor Securities, of record at the close of business on the relevant Regular Record Dates according to their terms and the provisions of the Indenture.</w:t>
      </w:r>
    </w:p>
    <w:p>
      <w:pPr>
        <w:spacing w:after="0" w:line="211"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Rate</w:t>
      </w:r>
      <w:r>
        <w:rPr>
          <w:rFonts w:ascii="Times New Roman" w:cs="Times New Roman" w:eastAsia="Times New Roman" w:hAnsi="Times New Roman"/>
          <w:sz w:val="22"/>
          <w:szCs w:val="22"/>
          <w:color w:val="auto"/>
        </w:rPr>
        <w:t>” means, with respect to any Redemption Date, the rate per annum, as determined by the Quotation Agent equal to:</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205" w:name="page206"/>
    <w:bookmarkEnd w:id="205"/>
    <w:p>
      <w:pPr>
        <w:jc w:val="both"/>
        <w:ind w:left="660" w:hanging="328"/>
        <w:spacing w:after="0" w:line="25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yield, under the heading that represents the average for the immediately preceding week, appearing in the most recently published statistical release designated “H.15” or any successor publication that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provided that if no maturity is within three months before or after the remaining term of the Notes to be redeemed (assuming, for this purpose, that the Notes mature on the Par Call Date), yields for the two published maturities most closely corresponding to the Comparable Treasury Issue will be determined and the Treasury Rate will be interpolated or extrapolated from those yields on a straight-line basis rounding to the nearest month; or</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that release, or any successor release, is not published during the week preceding the calculation date or does not contain such yields, the rate per year equal to the semi-annual equivalent yield to maturity of the Comparable Treasury Issue, calculated using a price for the Comparable Treasury Issue (expressed as a percentage of its principal amount) equal to the Comparable Treasury Price for that Redemption Date.</w:t>
      </w:r>
    </w:p>
    <w:p>
      <w:pPr>
        <w:spacing w:after="0" w:line="194" w:lineRule="exact"/>
        <w:rPr>
          <w:sz w:val="20"/>
          <w:szCs w:val="20"/>
          <w:color w:val="auto"/>
        </w:rPr>
      </w:pPr>
    </w:p>
    <w:p>
      <w:pPr>
        <w:ind w:right="1040" w:firstLine="648"/>
        <w:spacing w:after="0" w:line="258" w:lineRule="auto"/>
        <w:rPr>
          <w:sz w:val="20"/>
          <w:szCs w:val="20"/>
          <w:color w:val="auto"/>
        </w:rPr>
      </w:pPr>
      <w:r>
        <w:rPr>
          <w:rFonts w:ascii="Times New Roman" w:cs="Times New Roman" w:eastAsia="Times New Roman" w:hAnsi="Times New Roman"/>
          <w:sz w:val="22"/>
          <w:szCs w:val="22"/>
          <w:color w:val="auto"/>
        </w:rPr>
        <w:t>The Treasury Rate will be calculated at 5:00 p.m. (New York City time) on the third Business Day preceding the Redemption Date by the Quotation Agent.</w:t>
      </w:r>
    </w:p>
    <w:p>
      <w:pPr>
        <w:spacing w:after="0" w:line="181" w:lineRule="exact"/>
        <w:rPr>
          <w:sz w:val="20"/>
          <w:szCs w:val="20"/>
          <w:color w:val="auto"/>
        </w:rPr>
      </w:pPr>
    </w:p>
    <w:p>
      <w:pPr>
        <w:ind w:right="200" w:firstLine="648"/>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Issue</w:t>
      </w:r>
      <w:r>
        <w:rPr>
          <w:rFonts w:ascii="Times New Roman" w:cs="Times New Roman" w:eastAsia="Times New Roman" w:hAnsi="Times New Roman"/>
          <w:sz w:val="22"/>
          <w:szCs w:val="22"/>
          <w:color w:val="auto"/>
        </w:rPr>
        <w:t>” means, with respect to any Redemption Date, the United States Treasury security selected by the Quotation Agent that would be utilized, at the time of selection and in accordance with customary financial practice, in pricing new issues of corporate debt securities of comparable maturity to the remaining term of the Notes (assuming, for this purpose, that the Notes mature on the Par Call Date).</w:t>
      </w:r>
    </w:p>
    <w:p>
      <w:pPr>
        <w:spacing w:after="0" w:line="199"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Comparable Treasury Price</w:t>
      </w:r>
      <w:r>
        <w:rPr>
          <w:rFonts w:ascii="Times New Roman" w:cs="Times New Roman" w:eastAsia="Times New Roman" w:hAnsi="Times New Roman"/>
          <w:sz w:val="22"/>
          <w:szCs w:val="22"/>
          <w:color w:val="auto"/>
        </w:rPr>
        <w:t>” means, with respect to any Redemption Date, (1) the average of the Reference Treasury Dealer Quotations for such Redemption Date, after excluding the highest and lowest Reference Treasury Dealer Quotations, or (2) if the Quotation Agent obtains fewer than three Reference Treasury Dealer Quotations, the average of all such Reference Treasury Dealer Quotations, such average in any case to be determined by the Quotation Agent, or (3) if only one Reference Treasury Dealer Quotation is received, such Reference Treasury Dealer Quotation.</w:t>
      </w:r>
    </w:p>
    <w:p>
      <w:pPr>
        <w:spacing w:after="0" w:line="204" w:lineRule="exact"/>
        <w:rPr>
          <w:sz w:val="20"/>
          <w:szCs w:val="20"/>
          <w:color w:val="auto"/>
        </w:rPr>
      </w:pPr>
    </w:p>
    <w:p>
      <w:pPr>
        <w:ind w:right="860"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Quotation Agent</w:t>
      </w:r>
      <w:r>
        <w:rPr>
          <w:rFonts w:ascii="Times New Roman" w:cs="Times New Roman" w:eastAsia="Times New Roman" w:hAnsi="Times New Roman"/>
          <w:sz w:val="22"/>
          <w:szCs w:val="22"/>
          <w:color w:val="auto"/>
        </w:rPr>
        <w:t>” means, with respect to any Redemption Date, the Reference Treasury Dealer appointed by the Company.</w:t>
      </w:r>
    </w:p>
    <w:p>
      <w:pPr>
        <w:spacing w:after="0" w:line="17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Treasury Dealer</w:t>
      </w:r>
      <w:r>
        <w:rPr>
          <w:rFonts w:ascii="Times New Roman" w:cs="Times New Roman" w:eastAsia="Times New Roman" w:hAnsi="Times New Roman"/>
          <w:sz w:val="22"/>
          <w:szCs w:val="22"/>
          <w:color w:val="auto"/>
        </w:rPr>
        <w:t>” means, with respect to any Redemption Date, each of (1) BofA Securities, Inc. and Citigroup Global Markets Inc. (or their respective affiliates that are primary U.S. Government securities dealers) and their respective successors; provided, however, that if any of them shall cease to be a primary U.S. Government securities dealer in the United States of America (a “</w:t>
      </w:r>
      <w:r>
        <w:rPr>
          <w:rFonts w:ascii="Times New Roman" w:cs="Times New Roman" w:eastAsia="Times New Roman" w:hAnsi="Times New Roman"/>
          <w:sz w:val="22"/>
          <w:szCs w:val="22"/>
          <w:b w:val="1"/>
          <w:bCs w:val="1"/>
          <w:color w:val="auto"/>
        </w:rPr>
        <w:t>Primary Treasury Dealer</w:t>
      </w:r>
      <w:r>
        <w:rPr>
          <w:rFonts w:ascii="Times New Roman" w:cs="Times New Roman" w:eastAsia="Times New Roman" w:hAnsi="Times New Roman"/>
          <w:sz w:val="22"/>
          <w:szCs w:val="22"/>
          <w:color w:val="auto"/>
        </w:rPr>
        <w:t>”), the Company shall substitute for it another Primary Treasury Dealer; and (2) any other Primary Treasury Dealer or Dealers selected by the Company.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6" w:name="page207"/>
    <w:bookmarkEnd w:id="206"/>
    <w:p>
      <w:pPr>
        <w:ind w:right="20" w:firstLine="648"/>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Reference Treasury Dealer Quotations</w:t>
      </w:r>
      <w:r>
        <w:rPr>
          <w:rFonts w:ascii="Times New Roman" w:cs="Times New Roman" w:eastAsia="Times New Roman" w:hAnsi="Times New Roman"/>
          <w:sz w:val="21"/>
          <w:szCs w:val="21"/>
          <w:color w:val="auto"/>
        </w:rPr>
        <w:t>”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in The City of New York preceding such Redemption Date.</w:t>
      </w:r>
    </w:p>
    <w:p>
      <w:pPr>
        <w:spacing w:after="0" w:line="19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Notice of any redemption will be sent at least 10 days but not more than 60 days before the Redemption Date to each Holder of the Notes to be redeemed, all as more fully provided in the Indenture. Unless the Company defaults in payment of the Redemption Price (or any accrued and unpaid interest on the Notes or portions thereof to be redeemed), on and after the Redemption Date interest will cease to accrue on the Notes or portions thereof called for redemption. If less than all of the Notes are to be redeemed, the Notes (or portions thereof) to be redeemed shall be selected, in the case of Global Notes, in accordance with the policies and procedures of the depository or, in the case of Definitive Notes, by the Trustee by such method as the Trustee shall deem fair and appropriate, all as more fully provided in the Indenture.</w:t>
      </w:r>
    </w:p>
    <w:p>
      <w:pPr>
        <w:spacing w:after="0" w:line="211"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All notices of redemption shall state the Redemption Date, the Redemption Price (or, if not then ascertainable, the manner of calculation thereof), if fewer than all the Outstanding Notes are to be redeemed, the identification (and, in the case of partial redemption, the principal amounts) of the particular Notes to be redeemed, that on the Redemption Date the Redemption Price will become due and payable upon each Note, or portion thereof, to be redeemed, together with accrued and unpaid interest thereon, that interest on each Note, or portion thereof, called for redemption will cease to accrue on the Redemption Date and the place or places where Notes may be surrendered for redemption.</w:t>
      </w:r>
    </w:p>
    <w:p>
      <w:pPr>
        <w:spacing w:after="0" w:line="209"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In the event of redemption of this Note in part only, a new Note or Notes of like tenor in an aggregate principal amount equal to and in exchange for the unredeemed portion of the principal amount hereof will be issued in authorized denominations in the name of the Holder hereof upon surrender hereof.</w:t>
      </w:r>
    </w:p>
    <w:p>
      <w:pPr>
        <w:spacing w:after="0" w:line="201" w:lineRule="exact"/>
        <w:rPr>
          <w:sz w:val="20"/>
          <w:szCs w:val="20"/>
          <w:color w:val="auto"/>
        </w:rPr>
      </w:pPr>
    </w:p>
    <w:p>
      <w:pPr>
        <w:ind w:right="340" w:firstLine="648"/>
        <w:spacing w:after="0" w:line="244" w:lineRule="auto"/>
        <w:rPr>
          <w:sz w:val="20"/>
          <w:szCs w:val="20"/>
          <w:color w:val="auto"/>
        </w:rPr>
      </w:pPr>
      <w:r>
        <w:rPr>
          <w:rFonts w:ascii="Times New Roman" w:cs="Times New Roman" w:eastAsia="Times New Roman" w:hAnsi="Times New Roman"/>
          <w:sz w:val="22"/>
          <w:szCs w:val="22"/>
          <w:color w:val="auto"/>
        </w:rPr>
        <w:t>For all purposes of this Note and the Indenture, unless the context otherwise requires, all provisions relating to the redemption by the Company of this Note shall relate, in the case that this Note is redeemed, or to be redeemed, by the Company only in part, to that portion of the principal amount of this Note that has been, or is to be, redeemed.</w:t>
      </w:r>
    </w:p>
    <w:p>
      <w:pPr>
        <w:spacing w:after="0" w:line="201"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22"/>
          <w:szCs w:val="22"/>
          <w:color w:val="auto"/>
        </w:rPr>
        <w:t>If an Event of Default with respect to the Notes shall occur and be continuing, the principal of and accrued interest on the Notes may be declared due and payable in the manner and with the effect provided in the Indenture.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07" w:name="page208"/>
    <w:bookmarkEnd w:id="207"/>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 (ii) 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09"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Note, subject to the provisions for satisfaction and discharge in Article Four of the Indenture, shall alter or impair the obligation of the Company, which is absolute and unconditional, to pay the principal of and interest on this Note at the times, place and rate, and in the coin or currency, herein prescribed.</w:t>
      </w:r>
    </w:p>
    <w:p>
      <w:pPr>
        <w:spacing w:after="0" w:line="201" w:lineRule="exact"/>
        <w:rPr>
          <w:sz w:val="20"/>
          <w:szCs w:val="20"/>
          <w:color w:val="auto"/>
        </w:rPr>
      </w:pPr>
    </w:p>
    <w:p>
      <w:pPr>
        <w:ind w:right="40" w:firstLine="648"/>
        <w:spacing w:after="0" w:line="235" w:lineRule="auto"/>
        <w:rPr>
          <w:sz w:val="20"/>
          <w:szCs w:val="20"/>
          <w:color w:val="auto"/>
        </w:rPr>
      </w:pPr>
      <w:r>
        <w:rPr>
          <w:rFonts w:ascii="Times New Roman" w:cs="Times New Roman" w:eastAsia="Times New Roman" w:hAnsi="Times New Roman"/>
          <w:sz w:val="22"/>
          <w:szCs w:val="22"/>
          <w:color w:val="auto"/>
        </w:rPr>
        <w:t>The Company shall be permitted, by irrevocably depositing cash or U.S. Government Obligations, in amounts and maturities sufficient to pay and discharge at the Stated Maturity or Redemption Date, as the case may be, the entire indebtedness on all Outstanding Notes that have become due and payable or will become due and payable within one year (or are scheduled for redemption within one year), with the Trustee in trust, solely for the benefit of the Holders of all Outstanding Notes, to defease the Indenture with respect to such Notes (subject to specified exceptions), and upon such deposit and satisfaction of the other conditions set forth in the Indenture, the Company shall be deemed to have paid and discharged its entire indebtedness on the Notes.</w:t>
      </w:r>
    </w:p>
    <w:p>
      <w:pPr>
        <w:spacing w:after="0" w:line="211"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Company shall also be permitted to discharge, at any time, its obligations in respect of the Notes (other than certain limited obligations, such as the obligation to transfer and exchange the Notes) by (1)(a) delivering all of the outstanding Notes to the Trustee to be cancelled or (b) depositing with the Trustee in trust funds or non-callable United States government or government-guaranteed obligations sufficient, without investment, to pay all remaining principal and interest on the Notes and (2) complying with certain other provisions of the Indenture, including delivering to the Trustee an opinion of counsel from a nationally recognized counsel or an IRS ruling stating that (A) the Company has received from, or there has been published by, the Internal Revenue Service a ruling or (B) since the date of the Indenture, there has been a change in the applicable federal income tax law, in the case of either (A) or (B) to the effect that the Holders of the Notes will not recognize income, gain or loss for federal income tax purposes as a result of such discharge and will be subject to federal income tax on the same amount, in the same manner and at the same times as would be the case if such deposit and discharge were not to occur.</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08" w:name="page209"/>
    <w:bookmarkEnd w:id="208"/>
    <w:p>
      <w:pPr>
        <w:ind w:right="40" w:firstLine="648"/>
        <w:spacing w:after="0" w:line="234" w:lineRule="auto"/>
        <w:rPr>
          <w:sz w:val="20"/>
          <w:szCs w:val="20"/>
          <w:color w:val="auto"/>
        </w:rPr>
      </w:pPr>
      <w:r>
        <w:rPr>
          <w:rFonts w:ascii="Times New Roman" w:cs="Times New Roman" w:eastAsia="Times New Roman" w:hAnsi="Times New Roman"/>
          <w:sz w:val="22"/>
          <w:szCs w:val="22"/>
          <w:color w:val="auto"/>
        </w:rPr>
        <w:t>The Company shall also be permitted to omit to comply with the restrictive covenants described in Sections 1007 and 801 of the Indenture, with respect to the Notes, and the omission shall not be an Event of Default, pursuant to the Company’s right to covenant defeasance. In order to exercise the Company’s right to covenant defeasance, the Company will be required to deposit with the Trustee, in trust funds or non-callable United States government or government-guaranteed obligations, funds sufficient, without investment, to pay all remaining principal and interest on the Notes. To effect a covenant defeasance with respect to the Notes, the Company shall be required to deliver to the Trustee an opinion of counsel to the effect that the holders of the Notes will not recognize gain or loss for federal income tax purposes as a result of the deposit and the covenant defeasance and will be subject to federal income tax on the same amount, in the same manner and at the same times as would be the case if such deposit and covenant defeasance were not to occur.</w:t>
      </w:r>
    </w:p>
    <w:p>
      <w:pPr>
        <w:spacing w:after="0" w:line="212"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therein set forth, the transfer of Notes is registrable in the Security Register, upon surrender of a Note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Notes of like tenor, of authorized denominations and for the same aggregate principal amount, will be issued to the designated transferee or transferees.</w:t>
      </w:r>
    </w:p>
    <w:p>
      <w:pPr>
        <w:spacing w:after="0" w:line="21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1"/>
          <w:szCs w:val="21"/>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18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201"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This Note shall be governed by and construed in accordance with the law of the State of New York (without regard to conflicts of laws principles thereof).</w:t>
      </w:r>
    </w:p>
    <w:p>
      <w:pPr>
        <w:spacing w:after="0" w:line="185"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1"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All undefined terms (whether or not capitalized) used in this Note which are defined in the Indenture shall have the meanings assigned to them in the Indenture.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209" w:name="page210"/>
    <w:bookmarkEnd w:id="209"/>
    <w:p>
      <w:pPr>
        <w:ind w:left="468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assign this Note, fill in the form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6011545"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60115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7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26035</wp:posOffset>
            </wp:positionV>
            <wp:extent cx="347345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appear(s) on the face of this Note)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The signature must be guaranteed by an institution that is a member of one of the following recognized signature</w:t>
      </w:r>
    </w:p>
    <w:p>
      <w:pPr>
        <w:spacing w:after="0" w:line="26" w:lineRule="exact"/>
        <w:rPr>
          <w:sz w:val="20"/>
          <w:szCs w:val="20"/>
          <w:color w:val="auto"/>
        </w:rPr>
      </w:pPr>
    </w:p>
    <w:p>
      <w:pPr>
        <w:jc w:val="both"/>
        <w:ind w:right="220"/>
        <w:spacing w:after="0" w:line="235" w:lineRule="auto"/>
        <w:rPr>
          <w:sz w:val="20"/>
          <w:szCs w:val="20"/>
          <w:color w:val="auto"/>
        </w:rPr>
      </w:pPr>
      <w:r>
        <w:rPr>
          <w:rFonts w:ascii="Times New Roman" w:cs="Times New Roman" w:eastAsia="Times New Roman" w:hAnsi="Times New Roman"/>
          <w:sz w:val="22"/>
          <w:szCs w:val="22"/>
          <w:color w:val="auto"/>
        </w:rPr>
        <w:t>guarantee programs: (i) The Securities Transfer Agent Medallion Program (STAMP); (ii) The New York Stock Exchange Medallion Program (MNSP); (iii) The Stock Exchange Medallion Program (SEMP); or (iv) such other guarantee program acceptable to the Trustee.</w:t>
      </w:r>
    </w:p>
    <w:p>
      <w:pPr>
        <w:spacing w:after="0" w:line="38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12" w:right="87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p>
    <w:p>
      <w:pPr>
        <w:spacing w:after="0" w:line="234"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196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Amount of</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Authorized</w:t>
            </w:r>
          </w:p>
        </w:tc>
      </w:tr>
      <w:tr>
        <w:trPr>
          <w:trHeight w:val="216"/>
        </w:trPr>
        <w:tc>
          <w:tcPr>
            <w:tcW w:w="196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Decrease in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Officer of</w:t>
            </w:r>
          </w:p>
        </w:tc>
      </w:tr>
      <w:tr>
        <w:trPr>
          <w:trHeight w:val="216"/>
        </w:trPr>
        <w:tc>
          <w:tcPr>
            <w:tcW w:w="196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Principal</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Trustee or</w:t>
            </w:r>
          </w:p>
        </w:tc>
      </w:tr>
      <w:tr>
        <w:trPr>
          <w:trHeight w:val="216"/>
        </w:trPr>
        <w:tc>
          <w:tcPr>
            <w:tcW w:w="196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Amount of this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1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Date of Exchange</w:t>
            </w:r>
          </w:p>
        </w:tc>
        <w:tc>
          <w:tcPr>
            <w:tcW w:w="2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Global Note</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Custodian</w:t>
            </w:r>
          </w:p>
        </w:tc>
      </w:tr>
      <w:tr>
        <w:trPr>
          <w:trHeight w:val="598"/>
        </w:trPr>
        <w:tc>
          <w:tcPr>
            <w:tcW w:w="1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40" w:type="dxa"/>
            <w:vAlign w:val="bottom"/>
          </w:tcPr>
          <w:p>
            <w:pPr>
              <w:jc w:val="right"/>
              <w:ind w:right="593"/>
              <w:spacing w:after="0"/>
              <w:rPr>
                <w:sz w:val="20"/>
                <w:szCs w:val="20"/>
                <w:color w:val="auto"/>
              </w:rPr>
            </w:pPr>
            <w:r>
              <w:rPr>
                <w:rFonts w:ascii="Times New Roman" w:cs="Times New Roman" w:eastAsia="Times New Roman" w:hAnsi="Times New Roman"/>
                <w:sz w:val="14"/>
                <w:szCs w:val="14"/>
                <w:color w:val="auto"/>
              </w:rPr>
              <w:t>11</w:t>
            </w:r>
          </w:p>
        </w:tc>
        <w:tc>
          <w:tcPr>
            <w:tcW w:w="25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98"/>
        </w:trPr>
        <w:tc>
          <w:tcPr>
            <w:tcW w:w="196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2" w:right="239" w:bottom="1440" w:gutter="0" w:footer="0" w:header="0"/>
        </w:sectPr>
      </w:pPr>
    </w:p>
    <w:bookmarkStart w:id="211" w:name="page212"/>
    <w:bookmarkEnd w:id="211"/>
    <w:p>
      <w:pPr>
        <w:ind w:left="103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4.21</w:t>
      </w:r>
    </w:p>
    <w:p>
      <w:pPr>
        <w:spacing w:after="0" w:line="24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A NEW YORK CORPORATION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00" w:type="dxa"/>
            <w:vAlign w:val="bottom"/>
          </w:tcPr>
          <w:p>
            <w:pPr>
              <w:spacing w:after="0"/>
              <w:rPr>
                <w:sz w:val="24"/>
                <w:szCs w:val="24"/>
                <w:color w:val="auto"/>
              </w:rPr>
            </w:pPr>
          </w:p>
        </w:tc>
        <w:tc>
          <w:tcPr>
            <w:tcW w:w="85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OCCIDENTAL PETROLEUM CORPORATION</w:t>
            </w:r>
          </w:p>
        </w:tc>
      </w:tr>
      <w:tr>
        <w:trPr>
          <w:trHeight w:val="486"/>
        </w:trPr>
        <w:tc>
          <w:tcPr>
            <w:tcW w:w="2900" w:type="dxa"/>
            <w:vAlign w:val="bottom"/>
          </w:tcPr>
          <w:p>
            <w:pPr>
              <w:spacing w:after="0"/>
              <w:rPr>
                <w:sz w:val="24"/>
                <w:szCs w:val="24"/>
                <w:color w:val="auto"/>
              </w:rPr>
            </w:pPr>
          </w:p>
        </w:tc>
        <w:tc>
          <w:tcPr>
            <w:tcW w:w="8520" w:type="dxa"/>
            <w:vAlign w:val="bottom"/>
          </w:tcPr>
          <w:p>
            <w:pPr>
              <w:ind w:left="1200"/>
              <w:spacing w:after="0"/>
              <w:rPr>
                <w:sz w:val="20"/>
                <w:szCs w:val="20"/>
                <w:color w:val="auto"/>
              </w:rPr>
            </w:pPr>
            <w:r>
              <w:rPr>
                <w:rFonts w:ascii="Times New Roman" w:cs="Times New Roman" w:eastAsia="Times New Roman" w:hAnsi="Times New Roman"/>
                <w:sz w:val="22"/>
                <w:szCs w:val="22"/>
                <w:b w:val="1"/>
                <w:bCs w:val="1"/>
                <w:color w:val="auto"/>
              </w:rPr>
              <w:t>7.730% DEBENTURES DUE 2096</w:t>
            </w: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59"/>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CUSIP: 674599 DW2</w:t>
            </w:r>
          </w:p>
        </w:tc>
        <w:tc>
          <w:tcPr>
            <w:tcW w:w="852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ISIN: US674599DW24</w:t>
            </w:r>
          </w:p>
        </w:tc>
        <w:tc>
          <w:tcPr>
            <w:tcW w:w="8520" w:type="dxa"/>
            <w:vAlign w:val="bottom"/>
          </w:tcPr>
          <w:p>
            <w:pPr>
              <w:spacing w:after="0"/>
              <w:rPr>
                <w:sz w:val="24"/>
                <w:szCs w:val="24"/>
                <w:color w:val="auto"/>
              </w:rPr>
            </w:pP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September 15, 2096</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7.730% per annum</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15 and September 15, commencing March 15, 2020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March 1 and September 1</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29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12" w:name="page213"/>
    <w:bookmarkEnd w:id="212"/>
    <w:p>
      <w:pPr>
        <w:ind w:firstLine="648"/>
        <w:spacing w:after="0" w:line="243" w:lineRule="auto"/>
        <w:rPr>
          <w:sz w:val="20"/>
          <w:szCs w:val="20"/>
          <w:color w:val="auto"/>
        </w:rPr>
      </w:pPr>
      <w:r>
        <w:rPr>
          <w:rFonts w:ascii="Times New Roman" w:cs="Times New Roman" w:eastAsia="Times New Roman" w:hAnsi="Times New Roman"/>
          <w:sz w:val="21"/>
          <w:szCs w:val="21"/>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and to pay interest thereon from September 15, 2019 or from the most recent Interest Payment Date to which interest has been paid or duly provided for, semi-annually in arrears on March 15 and September 15 in each year, commencing on March 15, 2020, at the rate per annum specified above, until the principal hereof is paid or made available for payment. Interest on this Debenture will be computed on the basis of a 360-day year comprised of twelve 30-day months. Interest payments for this Debenture will include interest accrued to but excluding each Interest Payment Date. The interest so payable, and punctually paid or duly provided for, on any Interest Payment Date will, as provided in the Indenture, be paid to the Person in whose name this Debenture (or one or more Predecessor Securities) is registered at the close of business on the Regular Record Date, which shall be the March 1 or September 1 (whether or not a Business Day), as the case may be, immediately preceding such Interest Payment Date. If any Interest Payment Date or Maturity with respect to this Debenture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Debenture (or one or more Predecessor Securities) is registered at the close of business on a Special Record Date for the payment of such Defaulted Interest to be fixed by the Trustee (as defined below), notice of which will be given to Holders of Debentures not less than 10 days prior to such Special Record Date, or (2) be paid at any time in any other lawful manner not inconsistent with the requirements of any securities exchange on which the Debentures may be listed, and upon such notice as may be required by such exchange, all as more fully provided in the Indenture. Payment of the principal of and interest on this Debenture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0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Debenture set forth below, which further provisions shall for all purposes have the same effect as if set forth at this place.</w:t>
      </w:r>
    </w:p>
    <w:p>
      <w:pPr>
        <w:spacing w:after="0" w:line="18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or its duly appointed co-authenticating agent by manual signature, this Debenture shall not be entitled to any benefit under the Indenture or be valid or obligatory for any purpose.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13" w:name="page214"/>
    <w:bookmarkEnd w:id="213"/>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OCCIDENTAL PETROLEUM CORPORATION has caused this Debenture to be signed by the signature of its Chairman of the Board, its President, a Vice President, its Treasurer or an Assistant Treasurer.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4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214" w:name="page215"/>
    <w:bookmarkEnd w:id="214"/>
    <w:p>
      <w:pPr>
        <w:ind w:left="3320"/>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 mentioned Indenture.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Bank of New York Mellon Trust Company, N.A., as Trustee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215" w:name="page216"/>
    <w:bookmarkEnd w:id="215"/>
    <w:p>
      <w:pPr>
        <w:ind w:firstLine="648"/>
        <w:spacing w:after="0" w:line="241" w:lineRule="auto"/>
        <w:rPr>
          <w:sz w:val="20"/>
          <w:szCs w:val="20"/>
          <w:color w:val="auto"/>
        </w:rPr>
      </w:pPr>
      <w:r>
        <w:rPr>
          <w:rFonts w:ascii="Times New Roman" w:cs="Times New Roman" w:eastAsia="Times New Roman" w:hAnsi="Times New Roman"/>
          <w:sz w:val="22"/>
          <w:szCs w:val="22"/>
          <w:color w:val="auto"/>
        </w:rPr>
        <w:t>This Debenture is one of a duly authorized issue of securities (herein called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xml:space="preserve">”) of the Company, issued and to be issued pursuant to the Indenture (as defined below). This Debenture is one of a series designated by the Company as its 7.730% Debentures due 2096 (the </w:t>
      </w:r>
      <w:r>
        <w:rPr>
          <w:rFonts w:ascii="Times New Roman" w:cs="Times New Roman" w:eastAsia="Times New Roman" w:hAnsi="Times New Roman"/>
          <w:sz w:val="22"/>
          <w:szCs w:val="22"/>
          <w:b w:val="1"/>
          <w:bCs w:val="1"/>
          <w:color w:val="auto"/>
        </w:rPr>
        <w:t>“Debentures”</w:t>
      </w:r>
      <w:r>
        <w:rPr>
          <w:rFonts w:ascii="Times New Roman" w:cs="Times New Roman" w:eastAsia="Times New Roman" w:hAnsi="Times New Roman"/>
          <w:sz w:val="22"/>
          <w:szCs w:val="22"/>
          <w:color w:val="auto"/>
        </w:rPr>
        <w:t>), limited in initial aggregate principal amount to $[ ]. The Indenture does not limit the aggregate principal amount of the Securities.</w:t>
      </w:r>
    </w:p>
    <w:p>
      <w:pPr>
        <w:spacing w:after="0" w:line="200"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22"/>
          <w:szCs w:val="22"/>
          <w:color w:val="auto"/>
        </w:rPr>
        <w:t>The Company issued this Debenture pursuant to an Indenture, dated as of August 8, 2019 (herein called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which term, for the purpose of this Debenture,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Debentures and of the terms upon which the Debentures are, and are to be, authenticated and delivered.</w:t>
      </w:r>
    </w:p>
    <w:p>
      <w:pPr>
        <w:spacing w:after="0" w:line="207"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The Debentures are issuable in denominations of $1,000 and any amount in excess thereof which is an integral multiple of $1,000. As provided in the Indenture and subject to certain limitations therein set forth, the Debentures are exchangeable for a like aggregate principal amount of Debentures of like tenor of any authorized denomination, as requested by the Holder surrendering the same, upon surrender of the Debenture or Debentures to be exchanged at any office or agency described below where Debentures may be presented for registration of transfer.</w:t>
      </w:r>
    </w:p>
    <w:p>
      <w:pPr>
        <w:spacing w:after="0" w:line="204" w:lineRule="exact"/>
        <w:rPr>
          <w:sz w:val="20"/>
          <w:szCs w:val="20"/>
          <w:color w:val="auto"/>
        </w:rPr>
      </w:pPr>
    </w:p>
    <w:p>
      <w:pPr>
        <w:ind w:right="720" w:firstLine="648"/>
        <w:spacing w:after="0" w:line="258" w:lineRule="auto"/>
        <w:rPr>
          <w:sz w:val="20"/>
          <w:szCs w:val="20"/>
          <w:color w:val="auto"/>
        </w:rPr>
      </w:pPr>
      <w:r>
        <w:rPr>
          <w:rFonts w:ascii="Times New Roman" w:cs="Times New Roman" w:eastAsia="Times New Roman" w:hAnsi="Times New Roman"/>
          <w:sz w:val="22"/>
          <w:szCs w:val="22"/>
          <w:color w:val="auto"/>
        </w:rPr>
        <w:t>The Company may, from time to time, without notice to or the consent of the Holders of the Debentures, reopen the Debentures and issue additional Debentures.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Debentures are not redeemable at the option of the company prior to the Maturity Date.</w:t>
      </w:r>
    </w:p>
    <w:p>
      <w:pPr>
        <w:spacing w:after="0" w:line="23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If an Event of Default with respect to the Debentures shall occur and be continuing, the principal of and accrued interest on the Debentures may be declared due and payable in the manner and with the effect provided in the Indenture.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Redemption Right.</w:t>
      </w:r>
    </w:p>
    <w:p>
      <w:pPr>
        <w:spacing w:after="0" w:line="229" w:lineRule="exact"/>
        <w:rPr>
          <w:sz w:val="20"/>
          <w:szCs w:val="20"/>
          <w:color w:val="auto"/>
        </w:rPr>
      </w:pPr>
    </w:p>
    <w:p>
      <w:pPr>
        <w:ind w:right="400" w:firstLine="648"/>
        <w:spacing w:after="0" w:line="241" w:lineRule="auto"/>
        <w:rPr>
          <w:sz w:val="20"/>
          <w:szCs w:val="20"/>
          <w:color w:val="auto"/>
        </w:rPr>
      </w:pPr>
      <w:r>
        <w:rPr>
          <w:rFonts w:ascii="Times New Roman" w:cs="Times New Roman" w:eastAsia="Times New Roman" w:hAnsi="Times New Roman"/>
          <w:sz w:val="22"/>
          <w:szCs w:val="22"/>
          <w:color w:val="auto"/>
        </w:rPr>
        <w:t>On September 15, 2026, or if such date is not a Business Day, then the next succeeding Business Day (the “</w:t>
      </w:r>
      <w:r>
        <w:rPr>
          <w:rFonts w:ascii="Times New Roman" w:cs="Times New Roman" w:eastAsia="Times New Roman" w:hAnsi="Times New Roman"/>
          <w:sz w:val="22"/>
          <w:szCs w:val="22"/>
          <w:b w:val="1"/>
          <w:bCs w:val="1"/>
          <w:color w:val="auto"/>
        </w:rPr>
        <w:t>2026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Redemption Date</w:t>
      </w:r>
      <w:r>
        <w:rPr>
          <w:rFonts w:ascii="Times New Roman" w:cs="Times New Roman" w:eastAsia="Times New Roman" w:hAnsi="Times New Roman"/>
          <w:sz w:val="22"/>
          <w:szCs w:val="22"/>
          <w:color w:val="auto"/>
        </w:rPr>
        <w:t>”), each Holder of the Debentures shall have the right (the “</w:t>
      </w:r>
      <w:r>
        <w:rPr>
          <w:rFonts w:ascii="Times New Roman" w:cs="Times New Roman" w:eastAsia="Times New Roman" w:hAnsi="Times New Roman"/>
          <w:sz w:val="22"/>
          <w:szCs w:val="22"/>
          <w:b w:val="1"/>
          <w:bCs w:val="1"/>
          <w:color w:val="auto"/>
        </w:rPr>
        <w:t>Redemption Right</w:t>
      </w:r>
      <w:r>
        <w:rPr>
          <w:rFonts w:ascii="Times New Roman" w:cs="Times New Roman" w:eastAsia="Times New Roman" w:hAnsi="Times New Roman"/>
          <w:sz w:val="22"/>
          <w:szCs w:val="22"/>
          <w:color w:val="auto"/>
        </w:rPr>
        <w:t>”) to require the Company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redeem, in whole or in part, such Holder’s Debenture at a redemption price equal to 100% of the aggregate principal amount thereof plus accrued and unpaid interest thereon to, but not including, the 2026 Redemption Date.</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216" w:name="page217"/>
    <w:bookmarkEnd w:id="216"/>
    <w:p>
      <w:pPr>
        <w:ind w:firstLine="648"/>
        <w:spacing w:after="0" w:line="234" w:lineRule="auto"/>
        <w:rPr>
          <w:sz w:val="20"/>
          <w:szCs w:val="20"/>
          <w:color w:val="auto"/>
        </w:rPr>
      </w:pPr>
      <w:r>
        <w:rPr>
          <w:rFonts w:ascii="Times New Roman" w:cs="Times New Roman" w:eastAsia="Times New Roman" w:hAnsi="Times New Roman"/>
          <w:sz w:val="22"/>
          <w:szCs w:val="22"/>
          <w:color w:val="auto"/>
        </w:rPr>
        <w:t>On or prior to July 1, 2026, the Company shall mail a notice to each Holder stating that (a) in order for a Holder to exercise the Redemption Right, the Holder must surrender the Debentures in respect of which the Redemption Right is being exercised, or transfer such Debentures by book-entry form, to the Trustee during the period from July 15, 2026 and prior to 5:00 p.m. (New York City time) on August 14, 2026 (or if such date is not a Business Day, then the next succeeding Business Day), (b) any election on the part of a Holder to exercise the Redemption Right effected in accordance with the foregoing shall be irrevocable on the part of the Holder and may not be withdrawn, (c) Holders whose Debentures are being redeemed only in part will be issued new Debentures equal in principal amount to the unredeemed portion of the Debentures surrendered, which unredeemed portion must be equal to $1,000 in principal amount or an integral multiple of $1,000 thereof and (d) unless the Company defaults in the payment of principal and accrued interest on the Debentures to be redeemed on the 2026 Redemption Date, interest on such Debentures will cease to accrue on the Redemption Date.</w:t>
      </w:r>
    </w:p>
    <w:p>
      <w:pPr>
        <w:spacing w:after="0" w:line="208"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2"/>
          <w:szCs w:val="22"/>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 (ii) 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Debenture shall be conclusive and binding upon such Holder and upon all future Holders of this Debenture and of any Debenture issued upon the registration of transfer hereof or in exchange herefor or in lieu hereof, whether or not notation of such consent or waiver is made upon this Debenture.</w:t>
      </w:r>
    </w:p>
    <w:p>
      <w:pPr>
        <w:spacing w:after="0" w:line="208"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21"/>
          <w:szCs w:val="21"/>
          <w:color w:val="auto"/>
        </w:rPr>
        <w:t>No reference herein to the Indenture and no provision of this Debenture, subject to the provisions for satisfaction and discharge in Article Four of the Indenture, shall alter or impair the obligation of the Company, which is absolute and unconditional, to pay the principal of and interest on this Debenture at the times, place and rate, and in the coin or currency, herein prescribed.</w:t>
      </w:r>
    </w:p>
    <w:p>
      <w:pPr>
        <w:spacing w:after="0" w:line="182"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The Company shall be permitted, by irrevocably depositing cash or U.S. Government Obligations, in amounts and maturities sufficient to pay and discharge at the Stated Maturity the entire indebtedness on all Outstanding Debentures that have become due and payable or will become due and payable within one year, with the Trustee in trust, solely for the benefit of the Holders of all Outstanding Debentures, to defease the Indenture with respect to such Debentures (subject to specified exceptions), and upon such deposit and satisfaction of the other conditions set forth in the Indenture, the Company shall be deemed to have paid and discharged its entire indebtedness on the Debentures.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17" w:name="page218"/>
    <w:bookmarkEnd w:id="217"/>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The Company shall also be permitted to discharge, at any time, its obligations in respect of the Debentures (other than certain limited obligations, such as the obligation to transfer and exchange the Debentures) by (1)(a) delivering all of the outstanding Debentures to the Trustee to be cancelled or (b) depositing with the Trustee in trust funds or non-callable United States government or government-guaranteed obligations sufficient, without investment, to pay all remaining principal and interest on the Debentures and (2) complying with certain other provisions of the Indenture.</w:t>
      </w:r>
    </w:p>
    <w:p>
      <w:pPr>
        <w:spacing w:after="0" w:line="20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therein set forth, the transfer of Debentures is registrable in the Security Register, upon surrender of a Debenture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Debentures of like tenor, of authorized denominations and for the same aggregate principal amount, will be issued to the designated transferee or transferees.</w:t>
      </w:r>
    </w:p>
    <w:p>
      <w:pPr>
        <w:spacing w:after="0" w:line="211"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1"/>
          <w:szCs w:val="21"/>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182" w:lineRule="exact"/>
        <w:rPr>
          <w:sz w:val="20"/>
          <w:szCs w:val="20"/>
          <w:color w:val="auto"/>
        </w:rPr>
      </w:pPr>
    </w:p>
    <w:p>
      <w:pPr>
        <w:ind w:right="260" w:firstLine="648"/>
        <w:spacing w:after="0" w:line="239" w:lineRule="auto"/>
        <w:rPr>
          <w:sz w:val="20"/>
          <w:szCs w:val="20"/>
          <w:color w:val="auto"/>
        </w:rPr>
      </w:pPr>
      <w:r>
        <w:rPr>
          <w:rFonts w:ascii="Times New Roman" w:cs="Times New Roman" w:eastAsia="Times New Roman" w:hAnsi="Times New Roman"/>
          <w:sz w:val="22"/>
          <w:szCs w:val="22"/>
          <w:color w:val="auto"/>
        </w:rPr>
        <w:t>Prior to due presentment of this Debenture for registration of transfer, the Company, the Trustee and any agent of the Company or the Trustee may treat the Person in whose name this Debenture is registered as the owner hereof for all purposes, whether or not this Debenture be overdue, and neither the Company, the Trustee nor any such agent shall be affected by notice to the contrary.</w:t>
      </w:r>
    </w:p>
    <w:p>
      <w:pPr>
        <w:spacing w:after="0" w:line="20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This Debenture shall be governed by and construed in accordance with the law of the State of New York (without regard to conflicts of laws principles thereof).</w:t>
      </w:r>
    </w:p>
    <w:p>
      <w:pPr>
        <w:spacing w:after="0" w:line="185" w:lineRule="exact"/>
        <w:rPr>
          <w:sz w:val="20"/>
          <w:szCs w:val="20"/>
          <w:color w:val="auto"/>
        </w:rPr>
      </w:pPr>
    </w:p>
    <w:p>
      <w:pPr>
        <w:ind w:right="300" w:firstLine="648"/>
        <w:spacing w:after="0" w:line="244"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All undefined terms (whether or not capitalized) used in this Debenture which are defined in the Indenture shall have the meanings assigned to them in the Indenture.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18" w:name="page219"/>
    <w:bookmarkEnd w:id="218"/>
    <w:p>
      <w:pPr>
        <w:ind w:left="468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assign this Debenture, fill in the form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or (we) assign and transfer this Debenture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Debenture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6011545"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60115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7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26035</wp:posOffset>
            </wp:positionV>
            <wp:extent cx="347345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appear(s) on the face of this Debenture)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The signature must be guaranteed by an institution that is a member of one of the following recognized signature</w:t>
      </w:r>
    </w:p>
    <w:p>
      <w:pPr>
        <w:spacing w:after="0" w:line="26" w:lineRule="exact"/>
        <w:rPr>
          <w:sz w:val="20"/>
          <w:szCs w:val="20"/>
          <w:color w:val="auto"/>
        </w:rPr>
      </w:pPr>
    </w:p>
    <w:p>
      <w:pPr>
        <w:jc w:val="both"/>
        <w:ind w:right="220"/>
        <w:spacing w:after="0" w:line="235" w:lineRule="auto"/>
        <w:rPr>
          <w:sz w:val="20"/>
          <w:szCs w:val="20"/>
          <w:color w:val="auto"/>
        </w:rPr>
      </w:pPr>
      <w:r>
        <w:rPr>
          <w:rFonts w:ascii="Times New Roman" w:cs="Times New Roman" w:eastAsia="Times New Roman" w:hAnsi="Times New Roman"/>
          <w:sz w:val="22"/>
          <w:szCs w:val="22"/>
          <w:color w:val="auto"/>
        </w:rPr>
        <w:t>guarantee programs: (i) The Securities Transfer Agent Medallion Program (STAMP); (ii) The New York Stock Exchange Medallion Program (MNSP); (iii) The Stock Exchange Medallion Program (SEMP); or (iv) such other guarantee program acceptable to the Trustee.</w:t>
      </w:r>
    </w:p>
    <w:p>
      <w:pPr>
        <w:spacing w:after="0" w:line="38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12" w:right="87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p>
    <w:p>
      <w:pPr>
        <w:spacing w:after="0" w:line="234"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196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Amount of</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Authorized</w:t>
            </w:r>
          </w:p>
        </w:tc>
      </w:tr>
      <w:tr>
        <w:trPr>
          <w:trHeight w:val="216"/>
        </w:trPr>
        <w:tc>
          <w:tcPr>
            <w:tcW w:w="196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Decrease in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Officer of</w:t>
            </w:r>
          </w:p>
        </w:tc>
      </w:tr>
      <w:tr>
        <w:trPr>
          <w:trHeight w:val="216"/>
        </w:trPr>
        <w:tc>
          <w:tcPr>
            <w:tcW w:w="196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Principal</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Trustee or</w:t>
            </w:r>
          </w:p>
        </w:tc>
      </w:tr>
      <w:tr>
        <w:trPr>
          <w:trHeight w:val="216"/>
        </w:trPr>
        <w:tc>
          <w:tcPr>
            <w:tcW w:w="196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Amount of this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1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Date of Exchange</w:t>
            </w:r>
          </w:p>
        </w:tc>
        <w:tc>
          <w:tcPr>
            <w:tcW w:w="2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Global Note</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Custodian</w:t>
            </w:r>
          </w:p>
        </w:tc>
      </w:tr>
      <w:tr>
        <w:trPr>
          <w:trHeight w:val="598"/>
        </w:trPr>
        <w:tc>
          <w:tcPr>
            <w:tcW w:w="1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40" w:type="dxa"/>
            <w:vAlign w:val="bottom"/>
          </w:tcPr>
          <w:p>
            <w:pPr>
              <w:jc w:val="right"/>
              <w:ind w:right="633"/>
              <w:spacing w:after="0"/>
              <w:rPr>
                <w:sz w:val="20"/>
                <w:szCs w:val="20"/>
                <w:color w:val="auto"/>
              </w:rPr>
            </w:pPr>
            <w:r>
              <w:rPr>
                <w:rFonts w:ascii="Times New Roman" w:cs="Times New Roman" w:eastAsia="Times New Roman" w:hAnsi="Times New Roman"/>
                <w:sz w:val="14"/>
                <w:szCs w:val="14"/>
                <w:color w:val="auto"/>
              </w:rPr>
              <w:t>9</w:t>
            </w:r>
          </w:p>
        </w:tc>
        <w:tc>
          <w:tcPr>
            <w:tcW w:w="25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98"/>
        </w:trPr>
        <w:tc>
          <w:tcPr>
            <w:tcW w:w="196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2" w:right="239" w:bottom="1440" w:gutter="0" w:footer="0" w:header="0"/>
        </w:sectPr>
      </w:pPr>
    </w:p>
    <w:bookmarkStart w:id="220" w:name="page221"/>
    <w:bookmarkEnd w:id="220"/>
    <w:p>
      <w:pPr>
        <w:ind w:left="103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4.22</w:t>
      </w:r>
    </w:p>
    <w:p>
      <w:pPr>
        <w:spacing w:after="0" w:line="24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A NEW YORK CORPORATION (“</w:t>
      </w:r>
      <w:r>
        <w:rPr>
          <w:rFonts w:ascii="Times New Roman" w:cs="Times New Roman" w:eastAsia="Times New Roman" w:hAnsi="Times New Roman"/>
          <w:sz w:val="21"/>
          <w:szCs w:val="21"/>
          <w:b w:val="1"/>
          <w:bCs w:val="1"/>
          <w:color w:val="auto"/>
        </w:rPr>
        <w:t>DTC</w:t>
      </w:r>
      <w:r>
        <w:rPr>
          <w:rFonts w:ascii="Times New Roman" w:cs="Times New Roman" w:eastAsia="Times New Roman" w:hAnsi="Times New Roman"/>
          <w:sz w:val="21"/>
          <w:szCs w:val="21"/>
          <w:color w:val="auto"/>
        </w:rPr>
        <w:t>”),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900" w:type="dxa"/>
            <w:vAlign w:val="bottom"/>
          </w:tcPr>
          <w:p>
            <w:pPr>
              <w:spacing w:after="0"/>
              <w:rPr>
                <w:sz w:val="24"/>
                <w:szCs w:val="24"/>
                <w:color w:val="auto"/>
              </w:rPr>
            </w:pPr>
          </w:p>
        </w:tc>
        <w:tc>
          <w:tcPr>
            <w:tcW w:w="852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OCCIDENTAL PETROLEUM CORPORATION</w:t>
            </w:r>
          </w:p>
        </w:tc>
      </w:tr>
      <w:tr>
        <w:trPr>
          <w:trHeight w:val="486"/>
        </w:trPr>
        <w:tc>
          <w:tcPr>
            <w:tcW w:w="2900" w:type="dxa"/>
            <w:vAlign w:val="bottom"/>
          </w:tcPr>
          <w:p>
            <w:pPr>
              <w:spacing w:after="0"/>
              <w:rPr>
                <w:sz w:val="24"/>
                <w:szCs w:val="24"/>
                <w:color w:val="auto"/>
              </w:rPr>
            </w:pPr>
          </w:p>
        </w:tc>
        <w:tc>
          <w:tcPr>
            <w:tcW w:w="8520" w:type="dxa"/>
            <w:vAlign w:val="bottom"/>
          </w:tcPr>
          <w:p>
            <w:pPr>
              <w:ind w:left="1200"/>
              <w:spacing w:after="0"/>
              <w:rPr>
                <w:sz w:val="20"/>
                <w:szCs w:val="20"/>
                <w:color w:val="auto"/>
              </w:rPr>
            </w:pPr>
            <w:r>
              <w:rPr>
                <w:rFonts w:ascii="Times New Roman" w:cs="Times New Roman" w:eastAsia="Times New Roman" w:hAnsi="Times New Roman"/>
                <w:sz w:val="22"/>
                <w:szCs w:val="22"/>
                <w:b w:val="1"/>
                <w:bCs w:val="1"/>
                <w:color w:val="auto"/>
              </w:rPr>
              <w:t>7.500% DEBENTURES DUE 2096</w:t>
            </w: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NO.</w:t>
            </w: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AMOUNT:</w:t>
            </w:r>
          </w:p>
        </w:tc>
      </w:tr>
      <w:tr>
        <w:trPr>
          <w:trHeight w:val="234"/>
        </w:trPr>
        <w:tc>
          <w:tcPr>
            <w:tcW w:w="2900" w:type="dxa"/>
            <w:vAlign w:val="bottom"/>
          </w:tcPr>
          <w:p>
            <w:pPr>
              <w:spacing w:after="0"/>
              <w:rPr>
                <w:sz w:val="20"/>
                <w:szCs w:val="20"/>
                <w:color w:val="auto"/>
              </w:rPr>
            </w:pPr>
          </w:p>
        </w:tc>
        <w:tc>
          <w:tcPr>
            <w:tcW w:w="8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 ]</w:t>
            </w:r>
          </w:p>
        </w:tc>
      </w:tr>
      <w:tr>
        <w:trPr>
          <w:trHeight w:val="459"/>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CUSIP: 674599 DX0</w:t>
            </w:r>
          </w:p>
        </w:tc>
        <w:tc>
          <w:tcPr>
            <w:tcW w:w="852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22"/>
                <w:szCs w:val="22"/>
                <w:color w:val="auto"/>
              </w:rPr>
              <w:t>ISIN: US674599DX07</w:t>
            </w:r>
          </w:p>
        </w:tc>
        <w:tc>
          <w:tcPr>
            <w:tcW w:w="8520" w:type="dxa"/>
            <w:vAlign w:val="bottom"/>
          </w:tcPr>
          <w:p>
            <w:pPr>
              <w:spacing w:after="0"/>
              <w:rPr>
                <w:sz w:val="24"/>
                <w:szCs w:val="24"/>
                <w:color w:val="auto"/>
              </w:rPr>
            </w:pPr>
          </w:p>
        </w:tc>
      </w:tr>
      <w:tr>
        <w:trPr>
          <w:trHeight w:val="4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September [18],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November 1, 2096</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7.500% per annum</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May 1 and November 1, commencing November 1, 2019</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April 15 and October 15</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REDEMPTION DATE/PRICE:</w:t>
            </w:r>
          </w:p>
        </w:tc>
        <w:tc>
          <w:tcPr>
            <w:tcW w:w="852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See Further Provisions Set Forth Herein</w:t>
            </w:r>
          </w:p>
        </w:tc>
      </w:tr>
      <w:tr>
        <w:trPr>
          <w:trHeight w:val="426"/>
        </w:trPr>
        <w:tc>
          <w:tcPr>
            <w:tcW w:w="29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21" w:name="page222"/>
    <w:bookmarkEnd w:id="221"/>
    <w:p>
      <w:pPr>
        <w:ind w:firstLine="648"/>
        <w:spacing w:after="0" w:line="243" w:lineRule="auto"/>
        <w:rPr>
          <w:sz w:val="20"/>
          <w:szCs w:val="20"/>
          <w:color w:val="auto"/>
        </w:rPr>
      </w:pPr>
      <w:r>
        <w:rPr>
          <w:rFonts w:ascii="Times New Roman" w:cs="Times New Roman" w:eastAsia="Times New Roman" w:hAnsi="Times New Roman"/>
          <w:sz w:val="21"/>
          <w:szCs w:val="21"/>
          <w:color w:val="auto"/>
        </w:rPr>
        <w:t>OCCIDENTAL PETROLEUM CORPORATION, a corporation duly organized and existing under the laws of the State of Delaware (herein referred to as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xml:space="preserve">,” which term includes any successor under the Indenture hereinafter referred to), for value received, hereby promises to pay to CEDE &amp; CO., or registered assigns, the lesser of (i) the Principal Amount specified above and (ii) the Principal Amount set forth on the Schedule of Exchanges of Interests in the Global Note attached hereto on the Maturity Date specified above and to pay interest thereon from May 1, 2019 or from the most recent Interest Payment Date to which interest has been paid or duly provided for, semi-annually in arrears on May 1 and November 1 in each year, commencing on November 1, 2019, at the rate per annum specified above, until the principal hereof is paid or made available for payment. Interest on this Debenture will be computed on the basis of a 360-day year comprised of twelve 30-day months. Interest payments for this Debenture will include interest accrued to but excluding each Interest Payment Date. The interest so payable, and punctually paid or duly provided for, on any Interest Payment Date will, as provided in the Indenture, be paid to the Person in whose name this Debenture (or one or more Predecessor Securities) is registered at the close of business on the Regular Record Date, which shall be the April 15 or October 15 (whether or not a Business Day), as the case may be, immediately preceding such Interest Payment Date. If any Interest Payment Date or Maturity with respect to this Debenture falls on a day that is not a Business Day, the payment due on such Interest Payment Date or Maturity will be made on the next succeeding Business Day with the same force and effect as if made on such Interest Payment Date or Maturity, and no interest shall accrue on the amount so payable for the period from and after such Interest Payment Date or Maturity, as the case may be, until such following Business Day. Except as otherwise provided in the Indenture, any Defaulted Interest will forthwith cease to be payable to the Holder on the Regular Record Date with respect to such Interest Payment Date by virtue of having been such Holder and may either (1) be paid to the Person in whose name this Debenture (or one or more Predecessor Securities) is registered at the close of business on a Special Record Date for the payment of such Defaulted Interest to be fixed by the Trustee (as defined below), notice of which will be given to Holders of Debentures not less than 10 days prior to such Special Record Date, or (2) be paid at any time in any other lawful manner not inconsistent with the requirements of any securities exchange on which the Debentures may be listed, and upon such notice as may be required by such exchange, all as more fully provided in the Indenture. Payment of the principal of and interest on this Debenture will be made at the Corporate Trust Office of the Trustee in the Borough of Manhattan, The City of New York, or at the office or agency of the Trustee maintained for that purpose in the Borough of Manhattan, The City of New York, or at any other office or agency designated by the Company for such purpose, in such coin or currency of the United States of America as at the time of payment is legal tender for payment of public and private debts;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at the option of the Company, payment of interest due on any Interest Payment Date may be made by check mailed to the address of the Person entitled thereto as such address shall appear in the Security Register or by wire transfer of immediately available funds if appropriate wire transfer instructions have been received in writing by the Trustee not less than 15 days prior to the applicable Interest Payment Date.</w:t>
      </w:r>
    </w:p>
    <w:p>
      <w:pPr>
        <w:spacing w:after="0" w:line="20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Debenture set forth below, which further provisions shall for all purposes have the same effect as if set forth at this place.</w:t>
      </w:r>
    </w:p>
    <w:p>
      <w:pPr>
        <w:spacing w:after="0" w:line="18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or its duly appointed co-authenticating agent by manual signature, this Debenture shall not be entitled to any benefit under the Indenture or be valid or obligatory for any purpose.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222" w:name="page223"/>
    <w:bookmarkEnd w:id="222"/>
    <w:p>
      <w:pPr>
        <w:ind w:firstLine="648"/>
        <w:spacing w:after="0" w:line="259" w:lineRule="auto"/>
        <w:rPr>
          <w:sz w:val="20"/>
          <w:szCs w:val="20"/>
          <w:color w:val="auto"/>
        </w:rPr>
      </w:pPr>
      <w:r>
        <w:rPr>
          <w:rFonts w:ascii="Times New Roman" w:cs="Times New Roman" w:eastAsia="Times New Roman" w:hAnsi="Times New Roman"/>
          <w:sz w:val="22"/>
          <w:szCs w:val="22"/>
          <w:color w:val="auto"/>
        </w:rPr>
        <w:t>IN WITNESS WHEREOF, OCCIDENTAL PETROLEUM CORPORATION has caused this Debenture to be signed by the signature of its Chairman of the Board, its President, a Vice President, its Treasurer or an Assistant Treasurer.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4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OCCIDENTAL PETROLEUM CORPORATION</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12" w:right="319" w:bottom="1440" w:gutter="0" w:footer="0" w:header="0"/>
        </w:sectPr>
      </w:pPr>
    </w:p>
    <w:bookmarkStart w:id="223" w:name="page224"/>
    <w:bookmarkEnd w:id="223"/>
    <w:p>
      <w:pPr>
        <w:ind w:left="3320"/>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 mentioned Indenture.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Bank of New York Mellon Trust Company, N.A., as Trustee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pacing w:after="0" w:line="2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224" w:name="page225"/>
    <w:bookmarkEnd w:id="224"/>
    <w:p>
      <w:pPr>
        <w:ind w:right="40" w:firstLine="648"/>
        <w:spacing w:after="0" w:line="241" w:lineRule="auto"/>
        <w:rPr>
          <w:sz w:val="20"/>
          <w:szCs w:val="20"/>
          <w:color w:val="auto"/>
        </w:rPr>
      </w:pPr>
      <w:r>
        <w:rPr>
          <w:rFonts w:ascii="Times New Roman" w:cs="Times New Roman" w:eastAsia="Times New Roman" w:hAnsi="Times New Roman"/>
          <w:sz w:val="22"/>
          <w:szCs w:val="22"/>
          <w:color w:val="auto"/>
        </w:rPr>
        <w:t>This Debenture is one of a duly authorized issue of securities (herein called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xml:space="preserve">”) of the Company, issued and to be issued pursuant to the Indenture (as defined below). This Debenture is one of a series designated by the Company as its 7.500% Debentures due 2096 (the </w:t>
      </w:r>
      <w:r>
        <w:rPr>
          <w:rFonts w:ascii="Times New Roman" w:cs="Times New Roman" w:eastAsia="Times New Roman" w:hAnsi="Times New Roman"/>
          <w:sz w:val="22"/>
          <w:szCs w:val="22"/>
          <w:b w:val="1"/>
          <w:bCs w:val="1"/>
          <w:color w:val="auto"/>
        </w:rPr>
        <w:t>“Debentures”</w:t>
      </w:r>
      <w:r>
        <w:rPr>
          <w:rFonts w:ascii="Times New Roman" w:cs="Times New Roman" w:eastAsia="Times New Roman" w:hAnsi="Times New Roman"/>
          <w:sz w:val="22"/>
          <w:szCs w:val="22"/>
          <w:color w:val="auto"/>
        </w:rPr>
        <w:t>), limited in initial aggregate principal amount to $[ ]. The Indenture does not limit the aggregate principal amount of the Securities.</w:t>
      </w:r>
    </w:p>
    <w:p>
      <w:pPr>
        <w:spacing w:after="0" w:line="200" w:lineRule="exact"/>
        <w:rPr>
          <w:sz w:val="20"/>
          <w:szCs w:val="20"/>
          <w:color w:val="auto"/>
        </w:rPr>
      </w:pPr>
    </w:p>
    <w:p>
      <w:pPr>
        <w:ind w:right="280" w:firstLine="648"/>
        <w:spacing w:after="0" w:line="236" w:lineRule="auto"/>
        <w:rPr>
          <w:sz w:val="20"/>
          <w:szCs w:val="20"/>
          <w:color w:val="auto"/>
        </w:rPr>
      </w:pPr>
      <w:r>
        <w:rPr>
          <w:rFonts w:ascii="Times New Roman" w:cs="Times New Roman" w:eastAsia="Times New Roman" w:hAnsi="Times New Roman"/>
          <w:sz w:val="22"/>
          <w:szCs w:val="22"/>
          <w:color w:val="auto"/>
        </w:rPr>
        <w:t>The Company issued this Debenture pursuant to an Indenture, dated as of August 8, 2019 (herein called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which term, for the purpose of this Debenture, shall include the Officer’s Certificate dated September [18], 2019, delivered pursuant to Sections 201 and 301 of the Indenture), between the Company and The Bank of New York Mellon Trust Company, N.A., as trustee (herein called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which term includes any successor trustee under the Indenture), to which Indenture and all indentures supplemental thereto reference is hereby made for a statement of the respective rights, limitations of rights, duties and immunities thereunder of the Company, the Trustee and Holders of the Debentures and of the terms upon which the Debentures are, and are to be, authenticated and delivered.</w:t>
      </w:r>
    </w:p>
    <w:p>
      <w:pPr>
        <w:spacing w:after="0" w:line="207"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color w:val="auto"/>
        </w:rPr>
        <w:t>The Debentures are issuable in denominations of $1,000 and any amount in excess thereof which is an integral multiple of $1,000. As provided in the Indenture and subject to certain limitations therein set forth, the Debentures are exchangeable for a like aggregate principal amount of Debentures of like tenor of any authorized denomination, as requested by the Holder surrendering the same, upon surrender of the Debenture or Debentures to be exchanged at any office or agency described below where Debentures may be presented for registration of transfer.</w:t>
      </w:r>
    </w:p>
    <w:p>
      <w:pPr>
        <w:spacing w:after="0" w:line="204" w:lineRule="exact"/>
        <w:rPr>
          <w:sz w:val="20"/>
          <w:szCs w:val="20"/>
          <w:color w:val="auto"/>
        </w:rPr>
      </w:pPr>
    </w:p>
    <w:p>
      <w:pPr>
        <w:ind w:right="760" w:firstLine="648"/>
        <w:spacing w:after="0" w:line="258" w:lineRule="auto"/>
        <w:rPr>
          <w:sz w:val="20"/>
          <w:szCs w:val="20"/>
          <w:color w:val="auto"/>
        </w:rPr>
      </w:pPr>
      <w:r>
        <w:rPr>
          <w:rFonts w:ascii="Times New Roman" w:cs="Times New Roman" w:eastAsia="Times New Roman" w:hAnsi="Times New Roman"/>
          <w:sz w:val="22"/>
          <w:szCs w:val="22"/>
          <w:color w:val="auto"/>
        </w:rPr>
        <w:t>The Company may, from time to time, without notice to or the consent of the Holders of the Debentures, reopen the Debentures and issue additional Debentures.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Debentures are not redeemable prior to the Maturity Date.</w:t>
      </w:r>
    </w:p>
    <w:p>
      <w:pPr>
        <w:spacing w:after="0" w:line="23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22"/>
          <w:szCs w:val="22"/>
          <w:color w:val="auto"/>
        </w:rPr>
        <w:t>If an Event of Default with respect to the Debentures shall occur and be continuing, the principal of and accrued interest on the Debentures may be declared due and payable in the manner and with the effect provided in the Indenture.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Conditional Right to Shorten Maturity.</w:t>
      </w:r>
    </w:p>
    <w:p>
      <w:pPr>
        <w:spacing w:after="0" w:line="233" w:lineRule="exact"/>
        <w:rPr>
          <w:sz w:val="20"/>
          <w:szCs w:val="20"/>
          <w:color w:val="auto"/>
        </w:rPr>
      </w:pPr>
    </w:p>
    <w:p>
      <w:pPr>
        <w:jc w:val="both"/>
        <w:ind w:right="200" w:firstLine="648"/>
        <w:spacing w:after="0" w:line="244" w:lineRule="auto"/>
        <w:rPr>
          <w:sz w:val="20"/>
          <w:szCs w:val="20"/>
          <w:color w:val="auto"/>
        </w:rPr>
      </w:pPr>
      <w:r>
        <w:rPr>
          <w:rFonts w:ascii="Times New Roman" w:cs="Times New Roman" w:eastAsia="Times New Roman" w:hAnsi="Times New Roman"/>
          <w:sz w:val="22"/>
          <w:szCs w:val="22"/>
          <w:color w:val="auto"/>
        </w:rPr>
        <w:t>At the election of the Company, the Debentures may have their maturity shortened upon the occurrence of a Tax Event, to the extent required, in the opinion of a nationally recognized independent tax counsel, so that, after the shortening of the maturity, interest paid on the Debentures will be deductible for federal income tax purposes.</w:t>
      </w:r>
    </w:p>
    <w:p>
      <w:pPr>
        <w:spacing w:after="0" w:line="201"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In the event that the Company elects to exercise its right to shorten the maturity of the Debentures due to the occurrence of a Tax Event, the Company shall mail a notice of shortened maturity to each Holder of record of the Debentures by first-class mail, or otherwise deliver in accordance with the applicable procedures of the Depository, not more than 60 days after the occurrence of such Tax Event, stating the new maturity date of the Debentures. Such notice would be effective upon mailing.</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25" w:name="page226"/>
    <w:bookmarkEnd w:id="225"/>
    <w:p>
      <w:pPr>
        <w:ind w:right="60" w:firstLine="648"/>
        <w:spacing w:after="0" w:line="234" w:lineRule="auto"/>
        <w:rPr>
          <w:sz w:val="20"/>
          <w:szCs w:val="20"/>
          <w:color w:val="auto"/>
        </w:rPr>
      </w:pPr>
      <w:r>
        <w:rPr>
          <w:rFonts w:ascii="Times New Roman" w:cs="Times New Roman" w:eastAsia="Times New Roman" w:hAnsi="Times New Roman"/>
          <w:sz w:val="22"/>
          <w:szCs w:val="22"/>
          <w:color w:val="auto"/>
        </w:rPr>
        <w:t>“Tax Event” means that the Company shall have received an opinion of a nationally recognized independent tax counsel to the effect that on or after the date of the Indenture, as a result of (a) any amendment to, clarification of, or change (including any announced prospective change) in laws, or any regulations thereunder, of the United States, (b) any judicial decision, official administrative pronouncement, ruling, regulatory procedure, notice or announcement, including any notice or announcement of intent to adopt such procedures or regulations (an “Administrative Action”), or (c) any amendment to, clarification of, or change in the official position or the interpretation of an Administrative Action or judicial decision that differs from the theretofore generally accepted position, in each case, on or after the date of the Indenture, such change in tax law creates a more than insubstantial risk that interest paid by the Company on the Debentures is not, or will not be, deductible, in whole or in part, by the Company for purposes of federal income tax.</w:t>
      </w:r>
    </w:p>
    <w:p>
      <w:pPr>
        <w:spacing w:after="0" w:line="211"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22"/>
          <w:szCs w:val="22"/>
          <w:color w:val="auto"/>
        </w:rPr>
        <w:t>The Indenture permits, in certain circumstances therein specified, the amendment thereof without the consent of the Holders of the Securities. The Indenture also permits, with certain exceptions as therein provided, the amendment thereof and the modification of the rights and obligations under the Indenture of the Company and the rights of Holders of the Securities of each series to be affected under the Indenture at any time by the Company and the Trustee with the consent of (i) the Holders of not less than a majority in principal amount of the Outstanding Securities of all series voting as a single class or (ii) if fewer than all of the series of the Outstanding Securities are affected by such addition, change, elimination, or modification, the Holders of not less than a majority in principal amount of the Outstanding Securities of all series so affected voting as a single class (including, for the avoidance of doubt, consents obtained in connection with a purchase of, or tender offer or exchange for, such debt securities). The Indenture also contains provisions permitting the Holders of not less than a majority in aggregate principal amount of the Outstanding Securities of any series, on behalf of the Holders of all Outstanding Securities of such series, to waive compliance by the Company with certain provisions of the Indenture and certain past defaults under the Indenture and their consequences. Any such consent or waiver by the Holder of this Debenture shall be conclusive and binding upon such Holder and upon all future Holders of this Debenture and of any Debenture issued upon the registration of transfer hereof or in exchange herefor or in lieu hereof, whether or not notation of such consent or waiver is made upon this Debenture.</w:t>
      </w:r>
    </w:p>
    <w:p>
      <w:pPr>
        <w:spacing w:after="0" w:line="208"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21"/>
          <w:szCs w:val="21"/>
          <w:color w:val="auto"/>
        </w:rPr>
        <w:t>No reference herein to the Indenture and no provision of this Debenture, subject to the provisions for satisfaction and discharge in Article Four of the Indenture, shall alter or impair the obligation of the Company, which is absolute and unconditional, to pay the principal of and interest on this Debenture at the times, place and rate, and in the coin or currency, herein prescribed.</w:t>
      </w:r>
    </w:p>
    <w:p>
      <w:pPr>
        <w:spacing w:after="0" w:line="182" w:lineRule="exact"/>
        <w:rPr>
          <w:sz w:val="20"/>
          <w:szCs w:val="20"/>
          <w:color w:val="auto"/>
        </w:rPr>
      </w:pPr>
    </w:p>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The Company shall be permitted, by irrevocably depositing cash or U.S. Government Obligations, in amounts and maturities sufficient to pay and discharge at the Stated Maturity the entire indebtedness on all Outstanding Debentures that have become due and payable or will become due and payable within one year, with the Trustee in trust, solely for the benefit of the Holders of all Outstanding Debentures, to defease the Indenture with respect to such Debentures (subject to specified exceptions), and upon such deposit and satisfaction of the other conditions set forth in the Indenture, the Company shall be deemed to have paid and discharged its entire indebtedness on the Debentures.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226" w:name="page227"/>
    <w:bookmarkEnd w:id="226"/>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The Company shall also be permitted to discharge, at any time, its obligations in respect of the Debentures (other than certain limited obligations, such as the obligation to transfer and exchange the Debentures) by (1)(a) delivering all of the outstanding Debentures to the Trustee to be cancelled or (b) depositing with the Trustee in trust funds or non-callable United States government or government-guaranteed obligations sufficient, without investment, to pay all remaining principal and interest on the Debentures and (2) complying with certain other provisions of the Indenture.</w:t>
      </w:r>
    </w:p>
    <w:p>
      <w:pPr>
        <w:spacing w:after="0" w:line="205"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As provided in the Indenture and subject to certain limitations therein set forth, the transfer of Debentures is registrable in the Security Register, upon surrender of a Debenture for registration of transfer at the Corporate Trust Office of the Trustee or at the office or agency of the Trustee maintained for such purpose in the Borough of Manhattan, The City of New York, or at such other offices or agencies as the Company may designate, duly endorsed by, or accompanied by a written instrument of transfer in form satisfactory to the Company and the Security Registrar duly executed by the Holder thereof or his attorney duly authorized in writing, and thereupon one or more new Debentures of like tenor, of authorized denominations and for the same aggregate principal amount, will be issued to the designated transferee or transferees.</w:t>
      </w:r>
    </w:p>
    <w:p>
      <w:pPr>
        <w:spacing w:after="0" w:line="211"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21"/>
          <w:szCs w:val="21"/>
          <w:color w:val="auto"/>
        </w:rPr>
        <w:t>No service charge shall be made by the Company, the Trustee or the Security Registrar for any such registration of transfer or exchange, but the Company may require payment of a sum sufficient to cover any tax or other governmental charge payable in connection therewith (other than exchanges pursuant to Sections 304, 305, 906 or 1107 of the Indenture not involving any transfer).</w:t>
      </w:r>
    </w:p>
    <w:p>
      <w:pPr>
        <w:spacing w:after="0" w:line="182" w:lineRule="exact"/>
        <w:rPr>
          <w:sz w:val="20"/>
          <w:szCs w:val="20"/>
          <w:color w:val="auto"/>
        </w:rPr>
      </w:pPr>
    </w:p>
    <w:p>
      <w:pPr>
        <w:ind w:right="260" w:firstLine="648"/>
        <w:spacing w:after="0" w:line="239" w:lineRule="auto"/>
        <w:rPr>
          <w:sz w:val="20"/>
          <w:szCs w:val="20"/>
          <w:color w:val="auto"/>
        </w:rPr>
      </w:pPr>
      <w:r>
        <w:rPr>
          <w:rFonts w:ascii="Times New Roman" w:cs="Times New Roman" w:eastAsia="Times New Roman" w:hAnsi="Times New Roman"/>
          <w:sz w:val="22"/>
          <w:szCs w:val="22"/>
          <w:color w:val="auto"/>
        </w:rPr>
        <w:t>Prior to due presentment of this Debenture for registration of transfer, the Company, the Trustee and any agent of the Company or the Trustee may treat the Person in whose name this Debenture is registered as the owner hereof for all purposes, whether or not this Debenture be overdue, and neither the Company, the Trustee nor any such agent shall be affected by notice to the contrary.</w:t>
      </w:r>
    </w:p>
    <w:p>
      <w:pPr>
        <w:spacing w:after="0" w:line="20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This Debenture shall be governed by and construed in accordance with the law of the State of New York (without regard to conflicts of laws principles thereof).</w:t>
      </w:r>
    </w:p>
    <w:p>
      <w:pPr>
        <w:spacing w:after="0" w:line="185" w:lineRule="exact"/>
        <w:rPr>
          <w:sz w:val="20"/>
          <w:szCs w:val="20"/>
          <w:color w:val="auto"/>
        </w:rPr>
      </w:pPr>
    </w:p>
    <w:p>
      <w:pPr>
        <w:ind w:right="300" w:firstLine="648"/>
        <w:spacing w:after="0" w:line="244" w:lineRule="auto"/>
        <w:rPr>
          <w:sz w:val="20"/>
          <w:szCs w:val="20"/>
          <w:color w:val="auto"/>
        </w:rPr>
      </w:pPr>
      <w:r>
        <w:rPr>
          <w:rFonts w:ascii="Times New Roman" w:cs="Times New Roman" w:eastAsia="Times New Roman" w:hAnsi="Times New Roman"/>
          <w:sz w:val="22"/>
          <w:szCs w:val="22"/>
          <w:color w:val="auto"/>
        </w:rPr>
        <w:t>Customary abbreviations may be used in the name of a Holder or an assignee, such as TEN COM (=tenants in common), TENENT (=tenants by the entireties), JT TEN (=joint tenants with right of survivorship and not as tenants in common), CUST (=custodian), and U/G/M/A (=Uniform Gift to Minors Act).</w:t>
      </w:r>
    </w:p>
    <w:p>
      <w:pPr>
        <w:spacing w:after="0" w:line="20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All undefined terms (whether or not capitalized) used in this Debenture which are defined in the Indenture shall have the meanings assigned to them in the Indenture.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27" w:name="page228"/>
    <w:bookmarkEnd w:id="227"/>
    <w:p>
      <w:pPr>
        <w:ind w:left="4680"/>
        <w:spacing w:after="0"/>
        <w:rPr>
          <w:sz w:val="20"/>
          <w:szCs w:val="20"/>
          <w:color w:val="auto"/>
        </w:rPr>
      </w:pPr>
      <w:r>
        <w:rPr>
          <w:rFonts w:ascii="Times New Roman" w:cs="Times New Roman" w:eastAsia="Times New Roman" w:hAnsi="Times New Roman"/>
          <w:sz w:val="22"/>
          <w:szCs w:val="22"/>
          <w:color w:val="auto"/>
        </w:rPr>
        <w:t>ASSIGNMENT FORM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assign this Debenture, fill in the form below: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or (we) assign and transfer this Debenture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2466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2466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Debenture on the books of the Company.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6011545"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60115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26035</wp:posOffset>
            </wp:positionV>
            <wp:extent cx="180975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73"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26035</wp:posOffset>
            </wp:positionV>
            <wp:extent cx="347345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(Sign exactly as your name(s)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appear(s) on the face of this Debenture)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The signature must be guaranteed by an institution that is a member of one of the following recognized signature</w:t>
      </w:r>
    </w:p>
    <w:p>
      <w:pPr>
        <w:spacing w:after="0" w:line="26" w:lineRule="exact"/>
        <w:rPr>
          <w:sz w:val="20"/>
          <w:szCs w:val="20"/>
          <w:color w:val="auto"/>
        </w:rPr>
      </w:pPr>
    </w:p>
    <w:p>
      <w:pPr>
        <w:jc w:val="both"/>
        <w:ind w:right="220"/>
        <w:spacing w:after="0" w:line="235" w:lineRule="auto"/>
        <w:rPr>
          <w:sz w:val="20"/>
          <w:szCs w:val="20"/>
          <w:color w:val="auto"/>
        </w:rPr>
      </w:pPr>
      <w:r>
        <w:rPr>
          <w:rFonts w:ascii="Times New Roman" w:cs="Times New Roman" w:eastAsia="Times New Roman" w:hAnsi="Times New Roman"/>
          <w:sz w:val="22"/>
          <w:szCs w:val="22"/>
          <w:color w:val="auto"/>
        </w:rPr>
        <w:t>guarantee programs: (i) The Securities Transfer Agent Medallion Program (STAMP); (ii) The New York Stock Exchange Medallion Program (MNSP); (iii) The Stock Exchange Medallion Program (SEMP); or (iv) such other guarantee program acceptable to the Trustee.</w:t>
      </w:r>
    </w:p>
    <w:p>
      <w:pPr>
        <w:spacing w:after="0" w:line="38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12" w:right="879" w:bottom="1440" w:gutter="0" w:footer="0" w:header="0"/>
        </w:sectPr>
      </w:pPr>
    </w:p>
    <w:bookmarkStart w:id="228" w:name="page229"/>
    <w:bookmarkEnd w:id="228"/>
    <w:p>
      <w:pPr>
        <w:jc w:val="center"/>
        <w:spacing w:after="0"/>
        <w:rPr>
          <w:sz w:val="20"/>
          <w:szCs w:val="20"/>
          <w:color w:val="auto"/>
        </w:rPr>
      </w:pPr>
      <w:r>
        <w:rPr>
          <w:rFonts w:ascii="Times New Roman" w:cs="Times New Roman" w:eastAsia="Times New Roman" w:hAnsi="Times New Roman"/>
          <w:sz w:val="22"/>
          <w:szCs w:val="22"/>
          <w:color w:val="auto"/>
        </w:rPr>
        <w:t>SCHEDULE OF EXCHANGES OF INTERESTS IN THE GLOBAL NOTE</w:t>
      </w:r>
    </w:p>
    <w:p>
      <w:pPr>
        <w:spacing w:after="0" w:line="234" w:lineRule="exact"/>
        <w:rPr>
          <w:sz w:val="20"/>
          <w:szCs w:val="20"/>
          <w:color w:val="auto"/>
        </w:rPr>
      </w:pPr>
    </w:p>
    <w:p>
      <w:pPr>
        <w:jc w:val="both"/>
        <w:ind w:right="140" w:firstLine="648"/>
        <w:spacing w:after="0" w:line="244" w:lineRule="auto"/>
        <w:rPr>
          <w:sz w:val="20"/>
          <w:szCs w:val="20"/>
          <w:color w:val="auto"/>
        </w:rPr>
      </w:pPr>
      <w:r>
        <w:rPr>
          <w:rFonts w:ascii="Times New Roman" w:cs="Times New Roman" w:eastAsia="Times New Roman" w:hAnsi="Times New Roman"/>
          <w:sz w:val="22"/>
          <w:szCs w:val="22"/>
          <w:color w:val="auto"/>
        </w:rPr>
        <w:t>The initial outstanding principal amount of this Global Note is $ . The following exchanges of an interest in this Global Note for an interest in another Global Note or for a Definitive Note, or exchanges of an interest in another Global Note or Definitive Notes for an interest in this Global Note, have been made: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196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Amount of</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 of</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Amount</w:t>
            </w: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Authorized</w:t>
            </w:r>
          </w:p>
        </w:tc>
      </w:tr>
      <w:tr>
        <w:trPr>
          <w:trHeight w:val="216"/>
        </w:trPr>
        <w:tc>
          <w:tcPr>
            <w:tcW w:w="196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Decrease in</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Increase in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this Global</w:t>
            </w: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Officer of</w:t>
            </w:r>
          </w:p>
        </w:tc>
      </w:tr>
      <w:tr>
        <w:trPr>
          <w:trHeight w:val="216"/>
        </w:trPr>
        <w:tc>
          <w:tcPr>
            <w:tcW w:w="196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Principal</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Note Following</w:t>
            </w: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Trustee or</w:t>
            </w:r>
          </w:p>
        </w:tc>
      </w:tr>
      <w:tr>
        <w:trPr>
          <w:trHeight w:val="216"/>
        </w:trPr>
        <w:tc>
          <w:tcPr>
            <w:tcW w:w="196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Amount of this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this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Such Decrease</w:t>
            </w:r>
          </w:p>
        </w:tc>
        <w:tc>
          <w:tcPr>
            <w:tcW w:w="2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Security</w:t>
            </w:r>
          </w:p>
        </w:tc>
      </w:tr>
      <w:tr>
        <w:trPr>
          <w:trHeight w:val="241"/>
        </w:trPr>
        <w:tc>
          <w:tcPr>
            <w:tcW w:w="1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Date of Exchange</w:t>
            </w:r>
          </w:p>
        </w:tc>
        <w:tc>
          <w:tcPr>
            <w:tcW w:w="2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Global Note</w:t>
            </w: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Global Note</w:t>
            </w: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 Increase)</w:t>
            </w:r>
          </w:p>
        </w:tc>
        <w:tc>
          <w:tcPr>
            <w:tcW w:w="23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Custodian</w:t>
            </w:r>
          </w:p>
        </w:tc>
      </w:tr>
      <w:tr>
        <w:trPr>
          <w:trHeight w:val="598"/>
        </w:trPr>
        <w:tc>
          <w:tcPr>
            <w:tcW w:w="1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340" w:type="dxa"/>
            <w:vAlign w:val="bottom"/>
          </w:tcPr>
          <w:p>
            <w:pPr>
              <w:jc w:val="right"/>
              <w:ind w:right="633"/>
              <w:spacing w:after="0"/>
              <w:rPr>
                <w:sz w:val="20"/>
                <w:szCs w:val="20"/>
                <w:color w:val="auto"/>
              </w:rPr>
            </w:pPr>
            <w:r>
              <w:rPr>
                <w:rFonts w:ascii="Times New Roman" w:cs="Times New Roman" w:eastAsia="Times New Roman" w:hAnsi="Times New Roman"/>
                <w:sz w:val="14"/>
                <w:szCs w:val="14"/>
                <w:color w:val="auto"/>
              </w:rPr>
              <w:t>9</w:t>
            </w:r>
          </w:p>
        </w:tc>
        <w:tc>
          <w:tcPr>
            <w:tcW w:w="25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98"/>
        </w:trPr>
        <w:tc>
          <w:tcPr>
            <w:tcW w:w="1960" w:type="dxa"/>
            <w:vAlign w:val="bottom"/>
            <w:tcBorders>
              <w:bottom w:val="single" w:sz="8" w:color="auto"/>
            </w:tcBorders>
          </w:tcPr>
          <w:p>
            <w:pPr>
              <w:spacing w:after="0"/>
              <w:rPr>
                <w:sz w:val="8"/>
                <w:szCs w:val="8"/>
                <w:color w:val="auto"/>
              </w:rPr>
            </w:pPr>
          </w:p>
        </w:tc>
        <w:tc>
          <w:tcPr>
            <w:tcW w:w="2160" w:type="dxa"/>
            <w:vAlign w:val="bottom"/>
            <w:tcBorders>
              <w:bottom w:val="single" w:sz="8" w:color="auto"/>
            </w:tcBorders>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12" w:right="239" w:bottom="1440" w:gutter="0" w:footer="0" w:header="0"/>
        </w:sectPr>
      </w:pPr>
    </w:p>
    <w:bookmarkStart w:id="229" w:name="page230"/>
    <w:bookmarkEnd w:id="229"/>
    <w:p>
      <w:pPr>
        <w:ind w:left="1030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45" w:lineRule="exact"/>
        <w:rPr>
          <w:sz w:val="20"/>
          <w:szCs w:val="20"/>
          <w:color w:val="auto"/>
        </w:rPr>
      </w:pPr>
    </w:p>
    <w:p>
      <w:pPr>
        <w:jc w:val="center"/>
        <w:ind w:left="260" w:right="20"/>
        <w:spacing w:after="0" w:line="246" w:lineRule="auto"/>
        <w:rPr>
          <w:sz w:val="20"/>
          <w:szCs w:val="20"/>
          <w:color w:val="auto"/>
        </w:rPr>
      </w:pPr>
      <w:r>
        <w:rPr>
          <w:rFonts w:ascii="Times New Roman" w:cs="Times New Roman" w:eastAsia="Times New Roman" w:hAnsi="Times New Roman"/>
          <w:sz w:val="22"/>
          <w:szCs w:val="22"/>
          <w:b w:val="1"/>
          <w:bCs w:val="1"/>
          <w:color w:val="auto"/>
        </w:rPr>
        <w:t>Occidental Announces Final Results in its Offers to Exchange Twenty-Three Series of Notes Issued by Anadarko Petroleum Corporation, Anadarko Holding Company, Anadarko Finance Company and Kerr-McGee Corporation For Occidental Notes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HOUSTON, September 16, 2019 – Occidental Petroleum Corporation (“</w:t>
      </w:r>
      <w:r>
        <w:rPr>
          <w:rFonts w:ascii="Times New Roman" w:cs="Times New Roman" w:eastAsia="Times New Roman" w:hAnsi="Times New Roman"/>
          <w:sz w:val="22"/>
          <w:szCs w:val="22"/>
          <w:u w:val="single" w:color="auto"/>
          <w:color w:val="auto"/>
        </w:rPr>
        <w:t>Occidental</w:t>
      </w:r>
      <w:r>
        <w:rPr>
          <w:rFonts w:ascii="Times New Roman" w:cs="Times New Roman" w:eastAsia="Times New Roman" w:hAnsi="Times New Roman"/>
          <w:sz w:val="22"/>
          <w:szCs w:val="22"/>
          <w:color w:val="auto"/>
        </w:rPr>
        <w:t>”) (NYSE: OXY) today announced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expiration and final results of (i) the offers to exchange any and all validly tendered (and not validly withdrawn) and accepted notes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the 23 series of notes described in the table below (collectively, the “</w:t>
      </w:r>
      <w:r>
        <w:rPr>
          <w:rFonts w:ascii="Times New Roman" w:cs="Times New Roman" w:eastAsia="Times New Roman" w:hAnsi="Times New Roman"/>
          <w:sz w:val="21"/>
          <w:szCs w:val="21"/>
          <w:u w:val="single" w:color="auto"/>
          <w:color w:val="auto"/>
        </w:rPr>
        <w:t>Old Notes</w:t>
      </w:r>
      <w:r>
        <w:rPr>
          <w:rFonts w:ascii="Times New Roman" w:cs="Times New Roman" w:eastAsia="Times New Roman" w:hAnsi="Times New Roman"/>
          <w:sz w:val="21"/>
          <w:szCs w:val="21"/>
          <w:color w:val="auto"/>
        </w:rPr>
        <w:t>”) for the new notes of a corresponding series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 issued by Occidental as described in the table below (collectively, the “</w:t>
      </w:r>
      <w:r>
        <w:rPr>
          <w:rFonts w:ascii="Times New Roman" w:cs="Times New Roman" w:eastAsia="Times New Roman" w:hAnsi="Times New Roman"/>
          <w:sz w:val="21"/>
          <w:szCs w:val="21"/>
          <w:u w:val="single" w:color="auto"/>
          <w:color w:val="auto"/>
        </w:rPr>
        <w:t>Oxy Notes</w:t>
      </w:r>
      <w:r>
        <w:rPr>
          <w:rFonts w:ascii="Times New Roman" w:cs="Times New Roman" w:eastAsia="Times New Roman" w:hAnsi="Times New Roman"/>
          <w:sz w:val="21"/>
          <w:szCs w:val="21"/>
          <w:color w:val="auto"/>
        </w:rPr>
        <w:t>”) and cash and (ii) the related solicitation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consents (together with the offers to exchange, the “</w:t>
      </w:r>
      <w:r>
        <w:rPr>
          <w:rFonts w:ascii="Times New Roman" w:cs="Times New Roman" w:eastAsia="Times New Roman" w:hAnsi="Times New Roman"/>
          <w:sz w:val="21"/>
          <w:szCs w:val="21"/>
          <w:u w:val="single" w:color="auto"/>
          <w:color w:val="auto"/>
        </w:rPr>
        <w:t>Exchange Offers</w:t>
      </w:r>
      <w:r>
        <w:rPr>
          <w:rFonts w:ascii="Times New Roman" w:cs="Times New Roman" w:eastAsia="Times New Roman" w:hAnsi="Times New Roman"/>
          <w:sz w:val="21"/>
          <w:szCs w:val="21"/>
          <w:color w:val="auto"/>
        </w:rPr>
        <w:t>”) being made by Occidental on behalf of Anadarko Petroleum</w:t>
      </w:r>
    </w:p>
    <w:p>
      <w:pPr>
        <w:spacing w:after="0" w:line="232" w:lineRule="auto"/>
        <w:rPr>
          <w:sz w:val="20"/>
          <w:szCs w:val="20"/>
          <w:color w:val="auto"/>
        </w:rPr>
      </w:pPr>
      <w:r>
        <w:rPr>
          <w:rFonts w:ascii="Times New Roman" w:cs="Times New Roman" w:eastAsia="Times New Roman" w:hAnsi="Times New Roman"/>
          <w:sz w:val="22"/>
          <w:szCs w:val="22"/>
          <w:color w:val="auto"/>
        </w:rPr>
        <w:t>Corporation (“</w:t>
      </w:r>
      <w:r>
        <w:rPr>
          <w:rFonts w:ascii="Times New Roman" w:cs="Times New Roman" w:eastAsia="Times New Roman" w:hAnsi="Times New Roman"/>
          <w:sz w:val="22"/>
          <w:szCs w:val="22"/>
          <w:u w:val="single" w:color="auto"/>
          <w:color w:val="auto"/>
        </w:rPr>
        <w:t>Anadarko</w:t>
      </w:r>
      <w:r>
        <w:rPr>
          <w:rFonts w:ascii="Times New Roman" w:cs="Times New Roman" w:eastAsia="Times New Roman" w:hAnsi="Times New Roman"/>
          <w:sz w:val="22"/>
          <w:szCs w:val="22"/>
          <w:color w:val="auto"/>
        </w:rPr>
        <w:t>”), Anadarko Holding Company, as successor in interest to Union Pacific Resources Group Inc.</w:t>
      </w: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Anadarko HoldCo</w:t>
      </w:r>
      <w:r>
        <w:rPr>
          <w:rFonts w:ascii="Times New Roman" w:cs="Times New Roman" w:eastAsia="Times New Roman" w:hAnsi="Times New Roman"/>
          <w:sz w:val="21"/>
          <w:szCs w:val="21"/>
          <w:color w:val="auto"/>
        </w:rPr>
        <w:t>”), Anadarko Finance Company (“</w:t>
      </w:r>
      <w:r>
        <w:rPr>
          <w:rFonts w:ascii="Times New Roman" w:cs="Times New Roman" w:eastAsia="Times New Roman" w:hAnsi="Times New Roman"/>
          <w:sz w:val="21"/>
          <w:szCs w:val="21"/>
          <w:u w:val="single" w:color="auto"/>
          <w:color w:val="auto"/>
        </w:rPr>
        <w:t>Anadarko Finance</w:t>
      </w:r>
      <w:r>
        <w:rPr>
          <w:rFonts w:ascii="Times New Roman" w:cs="Times New Roman" w:eastAsia="Times New Roman" w:hAnsi="Times New Roman"/>
          <w:sz w:val="21"/>
          <w:szCs w:val="21"/>
          <w:color w:val="auto"/>
        </w:rPr>
        <w:t>”) and Kerr-McGee Corporation (“</w:t>
      </w:r>
      <w:r>
        <w:rPr>
          <w:rFonts w:ascii="Times New Roman" w:cs="Times New Roman" w:eastAsia="Times New Roman" w:hAnsi="Times New Roman"/>
          <w:sz w:val="21"/>
          <w:szCs w:val="21"/>
          <w:u w:val="single" w:color="auto"/>
          <w:color w:val="auto"/>
        </w:rPr>
        <w:t>Kerr-McGee</w:t>
      </w:r>
      <w:r>
        <w:rPr>
          <w:rFonts w:ascii="Times New Roman" w:cs="Times New Roman" w:eastAsia="Times New Roman" w:hAnsi="Times New Roman"/>
          <w:sz w:val="21"/>
          <w:szCs w:val="21"/>
          <w:color w:val="auto"/>
        </w:rPr>
        <w:t>”) to adopt</w:t>
      </w:r>
    </w:p>
    <w:p>
      <w:pPr>
        <w:spacing w:after="0" w:line="232" w:lineRule="auto"/>
        <w:rPr>
          <w:sz w:val="20"/>
          <w:szCs w:val="20"/>
          <w:color w:val="auto"/>
        </w:rPr>
      </w:pPr>
      <w:r>
        <w:rPr>
          <w:rFonts w:ascii="Times New Roman" w:cs="Times New Roman" w:eastAsia="Times New Roman" w:hAnsi="Times New Roman"/>
          <w:sz w:val="22"/>
          <w:szCs w:val="22"/>
          <w:color w:val="auto"/>
        </w:rPr>
        <w:t>certain proposed amendments (the “</w:t>
      </w:r>
      <w:r>
        <w:rPr>
          <w:rFonts w:ascii="Times New Roman" w:cs="Times New Roman" w:eastAsia="Times New Roman" w:hAnsi="Times New Roman"/>
          <w:sz w:val="22"/>
          <w:szCs w:val="22"/>
          <w:u w:val="single" w:color="auto"/>
          <w:color w:val="auto"/>
        </w:rPr>
        <w:t>Proposed Amendments</w:t>
      </w:r>
      <w:r>
        <w:rPr>
          <w:rFonts w:ascii="Times New Roman" w:cs="Times New Roman" w:eastAsia="Times New Roman" w:hAnsi="Times New Roman"/>
          <w:sz w:val="22"/>
          <w:szCs w:val="22"/>
          <w:color w:val="auto"/>
        </w:rPr>
        <w:t>”) to the terms of the indentures governing the Old Notes (the “</w:t>
      </w:r>
      <w:r>
        <w:rPr>
          <w:rFonts w:ascii="Times New Roman" w:cs="Times New Roman" w:eastAsia="Times New Roman" w:hAnsi="Times New Roman"/>
          <w:sz w:val="22"/>
          <w:szCs w:val="22"/>
          <w:u w:val="single" w:color="auto"/>
          <w:color w:val="auto"/>
        </w:rPr>
        <w:t>Old</w:t>
      </w:r>
    </w:p>
    <w:p>
      <w:pPr>
        <w:spacing w:after="0"/>
        <w:rPr>
          <w:sz w:val="20"/>
          <w:szCs w:val="20"/>
          <w:color w:val="auto"/>
        </w:rPr>
      </w:pPr>
      <w:r>
        <w:rPr>
          <w:rFonts w:ascii="Times New Roman" w:cs="Times New Roman" w:eastAsia="Times New Roman" w:hAnsi="Times New Roman"/>
          <w:sz w:val="22"/>
          <w:szCs w:val="22"/>
          <w:u w:val="single" w:color="auto"/>
          <w:color w:val="auto"/>
        </w:rPr>
        <w:t>Notes Indentures</w:t>
      </w:r>
      <w:r>
        <w:rPr>
          <w:rFonts w:ascii="Times New Roman" w:cs="Times New Roman" w:eastAsia="Times New Roman" w:hAnsi="Times New Roman"/>
          <w:sz w:val="22"/>
          <w:szCs w:val="22"/>
          <w:color w:val="auto"/>
        </w:rPr>
        <w:t>”).</w:t>
      </w:r>
    </w:p>
    <w:p>
      <w:pPr>
        <w:spacing w:after="0" w:line="209"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The Exchange Offers commenced on August 15, 2019 and expired at 12:01 a.m., New York City time, on September 13, 2019 (the “</w:t>
      </w: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As of the Expiration Date, the principal amounts of Old Notes set forth in the table below had been validly tendered and not validly withdrawn: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2466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Series of</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Series of Old</w:t>
            </w:r>
          </w:p>
        </w:tc>
        <w:tc>
          <w:tcPr>
            <w:tcW w:w="10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CUSIP/ISIN</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Oxy</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6"/>
              </w:rPr>
              <w:t>Total Consideration</w:t>
            </w:r>
            <w:r>
              <w:rPr>
                <w:rFonts w:ascii="Times New Roman" w:cs="Times New Roman" w:eastAsia="Times New Roman" w:hAnsi="Times New Roman"/>
                <w:sz w:val="30"/>
                <w:szCs w:val="30"/>
                <w:b w:val="1"/>
                <w:bCs w:val="1"/>
                <w:color w:val="auto"/>
                <w:w w:val="96"/>
                <w:vertAlign w:val="superscript"/>
              </w:rPr>
              <w:t>(1)(2)</w:t>
            </w:r>
          </w:p>
        </w:tc>
        <w:tc>
          <w:tcPr>
            <w:tcW w:w="160" w:type="dxa"/>
            <w:vAlign w:val="bottom"/>
          </w:tcPr>
          <w:p>
            <w:pPr>
              <w:spacing w:after="0"/>
              <w:rPr>
                <w:sz w:val="18"/>
                <w:szCs w:val="18"/>
                <w:color w:val="auto"/>
              </w:rPr>
            </w:pPr>
          </w:p>
        </w:tc>
        <w:tc>
          <w:tcPr>
            <w:tcW w:w="24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Old Notes Tendered at the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Issuer</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60" w:type="dxa"/>
            <w:vAlign w:val="bottom"/>
            <w:gridSpan w:val="4"/>
            <w:vMerge w:val="continue"/>
          </w:tcPr>
          <w:p>
            <w:pPr>
              <w:spacing w:after="0"/>
              <w:rPr>
                <w:sz w:val="21"/>
                <w:szCs w:val="21"/>
                <w:color w:val="auto"/>
              </w:rPr>
            </w:pPr>
          </w:p>
        </w:tc>
        <w:tc>
          <w:tcPr>
            <w:tcW w:w="160" w:type="dxa"/>
            <w:vAlign w:val="bottom"/>
          </w:tcPr>
          <w:p>
            <w:pPr>
              <w:spacing w:after="0"/>
              <w:rPr>
                <w:sz w:val="21"/>
                <w:szCs w:val="21"/>
                <w:color w:val="auto"/>
              </w:rPr>
            </w:pPr>
          </w:p>
        </w:tc>
        <w:tc>
          <w:tcPr>
            <w:tcW w:w="24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Oxy Notes</w:t>
            </w:r>
          </w:p>
        </w:tc>
        <w:tc>
          <w:tcPr>
            <w:tcW w:w="3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(principal</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00" w:type="dxa"/>
            <w:vAlign w:val="bottom"/>
          </w:tcPr>
          <w:p>
            <w:pPr>
              <w:spacing w:after="0"/>
              <w:rPr>
                <w:sz w:val="21"/>
                <w:szCs w:val="21"/>
                <w:color w:val="auto"/>
              </w:rPr>
            </w:pPr>
          </w:p>
        </w:tc>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rPr>
              <w:t>677,035,000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4.850% Senior Notes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032511BM8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4.850%</w:t>
            </w:r>
          </w:p>
        </w:tc>
        <w:tc>
          <w:tcPr>
            <w:tcW w:w="2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653,019,000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2021</w:t>
            </w:r>
          </w:p>
        </w:tc>
        <w:tc>
          <w:tcPr>
            <w:tcW w:w="10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US032511BM81 Senior Notes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rPr>
              <w:t>247,965,000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3.450% Senior Notes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032511BJ5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3.450%</w:t>
            </w:r>
          </w:p>
        </w:tc>
        <w:tc>
          <w:tcPr>
            <w:tcW w:w="2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233,062,000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2024</w:t>
            </w:r>
          </w:p>
        </w:tc>
        <w:tc>
          <w:tcPr>
            <w:tcW w:w="10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US032511BJ52 Senior Notes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rPr>
              <w:t>650,000,000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6.950% Senior Notes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Kerr-McGee</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492386AU1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6.950%</w:t>
            </w:r>
          </w:p>
        </w:tc>
        <w:tc>
          <w:tcPr>
            <w:tcW w:w="2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582,523,000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89.62%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2024</w:t>
            </w:r>
          </w:p>
        </w:tc>
        <w:tc>
          <w:tcPr>
            <w:tcW w:w="10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US492386AU15 Senior Notes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rPr>
              <w:t>310,000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7.250% Debentures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032511AH0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7.250%</w:t>
            </w:r>
          </w:p>
        </w:tc>
        <w:tc>
          <w:tcPr>
            <w:tcW w:w="2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25,000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2025</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US032511AH06</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Debentures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2025</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w w:val="98"/>
              </w:rPr>
              <w:t>1,100,000,000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5.550% Senior Notes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032511BN6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5.550%</w:t>
            </w:r>
          </w:p>
        </w:tc>
        <w:tc>
          <w:tcPr>
            <w:tcW w:w="2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1,081,892,000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2026</w:t>
            </w:r>
          </w:p>
        </w:tc>
        <w:tc>
          <w:tcPr>
            <w:tcW w:w="10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US032511BN64 Senior Notes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2026</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rPr>
              <w:t>111,856,000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7.500% Debentures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907834AB1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7.500%</w:t>
            </w:r>
          </w:p>
        </w:tc>
        <w:tc>
          <w:tcPr>
            <w:tcW w:w="2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88,208,000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78.86%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2026</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HoldCo</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US907834AB13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Debentures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2026</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rPr>
              <w:t>47,750,000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7.000% Debentures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032511AL1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7.000%</w:t>
            </w:r>
          </w:p>
        </w:tc>
        <w:tc>
          <w:tcPr>
            <w:tcW w:w="2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29,802,000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2027</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US032511AL18</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Debentures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2027</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rPr>
              <w:t>150,000,000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7.125% Debentures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Kerr-McGee</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492386AK3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7.125%</w:t>
            </w:r>
          </w:p>
        </w:tc>
        <w:tc>
          <w:tcPr>
            <w:tcW w:w="2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122,636,000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81.76%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2027</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US492386AK33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Debentures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2027</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rPr>
              <w:t>235,133,000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7.150% Debentures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907834AG0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7.150%</w:t>
            </w:r>
          </w:p>
        </w:tc>
        <w:tc>
          <w:tcPr>
            <w:tcW w:w="2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224,267,000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2028</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HoldCo</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US907834AG00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Debentures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2028</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rPr>
              <w:t>14,153,000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6.625% Debentures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032511AM9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6.625%</w:t>
            </w:r>
          </w:p>
        </w:tc>
        <w:tc>
          <w:tcPr>
            <w:tcW w:w="2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13,811,000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2028</w:t>
            </w:r>
          </w:p>
        </w:tc>
        <w:tc>
          <w:tcPr>
            <w:tcW w:w="10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US032511AM90 Debentures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2028</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rPr>
              <w:t>135,005,000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7.200% Debentures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032511AN7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7.200%</w:t>
            </w:r>
          </w:p>
        </w:tc>
        <w:tc>
          <w:tcPr>
            <w:tcW w:w="2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126,005,000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2029</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US032511AN73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Debentures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2029</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rPr>
              <w:t>116,275,000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7.950% Debentures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907834AJ4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7.950%</w:t>
            </w:r>
          </w:p>
        </w:tc>
        <w:tc>
          <w:tcPr>
            <w:tcW w:w="2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80,881,000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69.56%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2029</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HoldCo</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US907834AJ49</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Debentures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2029</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rPr>
              <w:t>900,000,000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7.500% Senior Notes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032479AD9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7.500%</w:t>
            </w:r>
          </w:p>
        </w:tc>
        <w:tc>
          <w:tcPr>
            <w:tcW w:w="2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869,550,000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2031</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Finance</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US032479AD91 Senior Notes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2031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rPr>
              <w:t>500,000,000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7.875% Senior Notes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Kerr-McGee</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492386AT4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7.875%</w:t>
            </w:r>
          </w:p>
        </w:tc>
        <w:tc>
          <w:tcPr>
            <w:tcW w:w="2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484,677,000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2031</w:t>
            </w:r>
          </w:p>
        </w:tc>
        <w:tc>
          <w:tcPr>
            <w:tcW w:w="10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US492386AT42 Senior Notes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2031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w w:val="98"/>
              </w:rPr>
              <w:t>1,750,000,000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6.450% Senior Notes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032511AY3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6.450%</w:t>
            </w:r>
          </w:p>
        </w:tc>
        <w:tc>
          <w:tcPr>
            <w:tcW w:w="2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1,734,194,000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2036</w:t>
            </w:r>
          </w:p>
        </w:tc>
        <w:tc>
          <w:tcPr>
            <w:tcW w:w="10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US032511AY39 Senior Notes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2036</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4"/>
                <w:szCs w:val="14"/>
                <w:color w:val="auto"/>
              </w:rPr>
              <w:t>2,270,600,000</w:t>
            </w:r>
            <w:r>
              <w:rPr>
                <w:rFonts w:ascii="Times New Roman" w:cs="Times New Roman" w:eastAsia="Times New Roman" w:hAnsi="Times New Roman"/>
                <w:sz w:val="22"/>
                <w:szCs w:val="22"/>
                <w:color w:val="auto"/>
                <w:vertAlign w:val="superscript"/>
              </w:rPr>
              <w:t>(3)</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Zero Coupon Senior</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032511BB2 /</w:t>
            </w:r>
          </w:p>
        </w:tc>
        <w:tc>
          <w:tcPr>
            <w:tcW w:w="1180" w:type="dxa"/>
            <w:vAlign w:val="bottom"/>
            <w:gridSpan w:val="3"/>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Zero Coupon $</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2,270,292,000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Notes due 2036 (the</w:t>
            </w:r>
          </w:p>
        </w:tc>
        <w:tc>
          <w:tcPr>
            <w:tcW w:w="10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US032511BB27 Senior Notes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“Zero Coupon</w:t>
            </w:r>
          </w:p>
        </w:tc>
        <w:tc>
          <w:tcPr>
            <w:tcW w:w="10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Notes”)</w:t>
            </w: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rPr>
              <w:t>325,000,000</w:t>
            </w:r>
          </w:p>
        </w:tc>
        <w:tc>
          <w:tcPr>
            <w:tcW w:w="1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7.950% Senior Notes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3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032511BG1 /</w:t>
            </w:r>
          </w:p>
        </w:tc>
        <w:tc>
          <w:tcPr>
            <w:tcW w:w="9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7.950%</w:t>
            </w:r>
          </w:p>
        </w:tc>
        <w:tc>
          <w:tcPr>
            <w:tcW w:w="200" w:type="dxa"/>
            <w:vAlign w:val="bottom"/>
            <w:gridSpan w:val="2"/>
            <w:shd w:val="clear" w:color="auto" w:fill="CCEEFF"/>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321,591,000</w:t>
            </w:r>
          </w:p>
        </w:tc>
        <w:tc>
          <w:tcPr>
            <w:tcW w:w="116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2039</w:t>
            </w:r>
          </w:p>
        </w:tc>
        <w:tc>
          <w:tcPr>
            <w:tcW w:w="104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US032511BG14 Senior Notes</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2039</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3" w:right="239" w:bottom="0" w:gutter="0" w:footer="0" w:header="0"/>
        </w:sectPr>
      </w:pPr>
    </w:p>
    <w:bookmarkStart w:id="231" w:name="page232"/>
    <w:bookmarkEnd w:id="2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750,000,000   6.200% Senior Notes   Anadarko</w:t>
            </w:r>
          </w:p>
        </w:tc>
        <w:tc>
          <w:tcPr>
            <w:tcW w:w="1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032510AC3 /</w:t>
            </w:r>
          </w:p>
        </w:tc>
        <w:tc>
          <w:tcPr>
            <w:tcW w:w="1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6.200%   $</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737,496,000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98.33%</w:t>
            </w:r>
          </w:p>
        </w:tc>
      </w:tr>
      <w:tr>
        <w:trPr>
          <w:trHeight w:val="216"/>
        </w:trPr>
        <w:tc>
          <w:tcPr>
            <w:tcW w:w="4000" w:type="dxa"/>
            <w:vAlign w:val="bottom"/>
            <w:shd w:val="clear" w:color="auto" w:fill="CCEEFF"/>
          </w:tcPr>
          <w:p>
            <w:pPr>
              <w:ind w:left="1840"/>
              <w:spacing w:after="0"/>
              <w:rPr>
                <w:sz w:val="20"/>
                <w:szCs w:val="20"/>
                <w:color w:val="auto"/>
              </w:rPr>
            </w:pPr>
            <w:r>
              <w:rPr>
                <w:rFonts w:ascii="Times New Roman" w:cs="Times New Roman" w:eastAsia="Times New Roman" w:hAnsi="Times New Roman"/>
                <w:sz w:val="18"/>
                <w:szCs w:val="18"/>
                <w:color w:val="auto"/>
              </w:rPr>
              <w:t>due 2040</w:t>
            </w:r>
          </w:p>
        </w:tc>
        <w:tc>
          <w:tcPr>
            <w:tcW w:w="27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US032510AC36 Senior Notes</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4"/>
        </w:trPr>
        <w:tc>
          <w:tcPr>
            <w:tcW w:w="40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due 2040</w:t>
            </w:r>
          </w:p>
        </w:tc>
        <w:tc>
          <w:tcPr>
            <w:tcW w:w="7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426"/>
        </w:trPr>
        <w:tc>
          <w:tcPr>
            <w:tcW w:w="40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46" w:right="239" w:bottom="1440" w:gutter="0" w:footer="0" w:header="0"/>
        </w:sectPr>
      </w:pPr>
    </w:p>
    <w:bookmarkStart w:id="232" w:name="page233"/>
    <w:bookmarkEnd w:id="2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Series of</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Series of Old</w:t>
            </w:r>
          </w:p>
        </w:tc>
        <w:tc>
          <w:tcPr>
            <w:tcW w:w="1040" w:type="dxa"/>
            <w:vAlign w:val="bottom"/>
          </w:tcPr>
          <w:p>
            <w:pPr>
              <w:spacing w:after="0"/>
              <w:rPr>
                <w:sz w:val="18"/>
                <w:szCs w:val="18"/>
                <w:color w:val="auto"/>
              </w:rPr>
            </w:pP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CUSIP/ISIN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Oxy</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Total Consideration</w:t>
            </w:r>
            <w:r>
              <w:rPr>
                <w:rFonts w:ascii="Times New Roman" w:cs="Times New Roman" w:eastAsia="Times New Roman" w:hAnsi="Times New Roman"/>
                <w:sz w:val="30"/>
                <w:szCs w:val="30"/>
                <w:b w:val="1"/>
                <w:bCs w:val="1"/>
                <w:color w:val="auto"/>
                <w:w w:val="99"/>
                <w:vertAlign w:val="superscript"/>
              </w:rPr>
              <w:t>(1)(2)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Old Notes Tendered at the</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Issuer</w:t>
            </w:r>
          </w:p>
        </w:tc>
        <w:tc>
          <w:tcPr>
            <w:tcW w:w="14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60" w:type="dxa"/>
            <w:vAlign w:val="bottom"/>
            <w:gridSpan w:val="4"/>
            <w:vMerge w:val="continue"/>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Oxy Notes</w:t>
            </w:r>
          </w:p>
        </w:tc>
        <w:tc>
          <w:tcPr>
            <w:tcW w:w="3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10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Cash</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625,000,000</w:t>
            </w:r>
          </w:p>
        </w:tc>
        <w:tc>
          <w:tcPr>
            <w:tcW w:w="1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4.500% Senior Notes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42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8"/>
              </w:rPr>
              <w:t>032511BK2 /</w:t>
            </w:r>
          </w:p>
        </w:tc>
        <w:tc>
          <w:tcPr>
            <w:tcW w:w="1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4.500%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623,462,000</w:t>
            </w:r>
          </w:p>
        </w:tc>
        <w:tc>
          <w:tcPr>
            <w:tcW w:w="120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2044</w:t>
            </w:r>
          </w:p>
        </w:tc>
        <w:tc>
          <w:tcPr>
            <w:tcW w:w="104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US032511BK26 Senior Notes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2044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1,100,000,000</w:t>
            </w:r>
          </w:p>
        </w:tc>
        <w:tc>
          <w:tcPr>
            <w:tcW w:w="1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6.600% Senior Notes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42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032511BP1 /</w:t>
            </w:r>
          </w:p>
        </w:tc>
        <w:tc>
          <w:tcPr>
            <w:tcW w:w="1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6.600%</w:t>
            </w:r>
          </w:p>
        </w:tc>
        <w:tc>
          <w:tcPr>
            <w:tcW w:w="2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1,099,221,000</w:t>
            </w:r>
          </w:p>
        </w:tc>
        <w:tc>
          <w:tcPr>
            <w:tcW w:w="120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2046</w:t>
            </w:r>
          </w:p>
        </w:tc>
        <w:tc>
          <w:tcPr>
            <w:tcW w:w="104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US032511BP13</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Senior Notes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2046</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48,800,000</w:t>
            </w:r>
          </w:p>
        </w:tc>
        <w:tc>
          <w:tcPr>
            <w:tcW w:w="1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7.250% Debentures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420" w:type="dxa"/>
            <w:vAlign w:val="bottom"/>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032511AK3 /</w:t>
            </w:r>
          </w:p>
        </w:tc>
        <w:tc>
          <w:tcPr>
            <w:tcW w:w="1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7.250%</w:t>
            </w:r>
          </w:p>
        </w:tc>
        <w:tc>
          <w:tcPr>
            <w:tcW w:w="2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3,790,000</w:t>
            </w:r>
          </w:p>
        </w:tc>
        <w:tc>
          <w:tcPr>
            <w:tcW w:w="120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2096</w:t>
            </w:r>
          </w:p>
        </w:tc>
        <w:tc>
          <w:tcPr>
            <w:tcW w:w="104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US032511AK35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Debentures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2096</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60,500,000</w:t>
            </w:r>
          </w:p>
        </w:tc>
        <w:tc>
          <w:tcPr>
            <w:tcW w:w="1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7.730% Debentures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42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9"/>
              </w:rPr>
              <w:t>032511AJ6 /</w:t>
            </w:r>
          </w:p>
        </w:tc>
        <w:tc>
          <w:tcPr>
            <w:tcW w:w="1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7.730%</w:t>
            </w:r>
          </w:p>
        </w:tc>
        <w:tc>
          <w:tcPr>
            <w:tcW w:w="2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54,624,000</w:t>
            </w:r>
          </w:p>
        </w:tc>
        <w:tc>
          <w:tcPr>
            <w:tcW w:w="120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90.29%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2096</w:t>
            </w:r>
          </w:p>
        </w:tc>
        <w:tc>
          <w:tcPr>
            <w:tcW w:w="104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US032511AJ61</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Debentures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2096</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77,970,000</w:t>
            </w:r>
          </w:p>
        </w:tc>
        <w:tc>
          <w:tcPr>
            <w:tcW w:w="1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7.500% Debentures</w:t>
            </w:r>
          </w:p>
        </w:tc>
        <w:tc>
          <w:tcPr>
            <w:tcW w:w="10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Anadarko</w:t>
            </w:r>
          </w:p>
        </w:tc>
        <w:tc>
          <w:tcPr>
            <w:tcW w:w="1420" w:type="dxa"/>
            <w:vAlign w:val="bottom"/>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8"/>
              </w:rPr>
              <w:t>907834AC9 /</w:t>
            </w:r>
          </w:p>
        </w:tc>
        <w:tc>
          <w:tcPr>
            <w:tcW w:w="10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7.500%</w:t>
            </w:r>
          </w:p>
        </w:tc>
        <w:tc>
          <w:tcPr>
            <w:tcW w:w="22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340" w:type="dxa"/>
            <w:vAlign w:val="bottom"/>
            <w:shd w:val="clear" w:color="auto" w:fill="CCEEFF"/>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59,783,000</w:t>
            </w:r>
          </w:p>
        </w:tc>
        <w:tc>
          <w:tcPr>
            <w:tcW w:w="120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76.67%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2096</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HoldCo</w:t>
            </w:r>
          </w:p>
        </w:tc>
        <w:tc>
          <w:tcPr>
            <w:tcW w:w="142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US907834AC95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Debentures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due 2096</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line="261"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per $1,000 principal amount of Old Notes validly tendered and accepted for exchange. No additional payment will be made for a holder’s consent to the Proposed Amendments.</w:t>
      </w:r>
    </w:p>
    <w:p>
      <w:pPr>
        <w:ind w:left="500" w:hanging="492"/>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“Oxy Notes” in this column refers, in each case, to the series of Oxy Notes corresponding to the series of Old Notes of like tenor and coupon.</w:t>
      </w:r>
    </w:p>
    <w:p>
      <w:pPr>
        <w:spacing w:after="0" w:line="9" w:lineRule="exact"/>
        <w:rPr>
          <w:rFonts w:ascii="Times New Roman" w:cs="Times New Roman" w:eastAsia="Times New Roman" w:hAnsi="Times New Roman"/>
          <w:sz w:val="18"/>
          <w:szCs w:val="18"/>
          <w:color w:val="auto"/>
        </w:rPr>
      </w:pPr>
    </w:p>
    <w:p>
      <w:pPr>
        <w:jc w:val="both"/>
        <w:ind w:left="500" w:hanging="492"/>
        <w:spacing w:after="0" w:line="254"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at maturity. The accreted amount as of September 18, 2019, the anticipated settlement date of the applicable Exchange Offer, will be approximately $413,739.22 per $1,000,000 aggregate principal amount at maturity of Zero Coupon Notes. Except where otherwise indicated, the term “aggregate principal amount,” when used in reference to the Zero Coupon Notes, refers to the accreted amount as of the anticipated settlement date.</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Exchange Offers were made pursuant to the terms and conditions set forth in Occidental’s prospectus, dated as of August 15, 2019 (the “</w:t>
      </w:r>
      <w:r>
        <w:rPr>
          <w:rFonts w:ascii="Times New Roman" w:cs="Times New Roman" w:eastAsia="Times New Roman" w:hAnsi="Times New Roman"/>
          <w:sz w:val="22"/>
          <w:szCs w:val="22"/>
          <w:u w:val="single" w:color="auto"/>
          <w:color w:val="auto"/>
        </w:rPr>
        <w:t>Prospectus</w:t>
      </w:r>
      <w:r>
        <w:rPr>
          <w:rFonts w:ascii="Times New Roman" w:cs="Times New Roman" w:eastAsia="Times New Roman" w:hAnsi="Times New Roman"/>
          <w:sz w:val="22"/>
          <w:szCs w:val="22"/>
          <w:color w:val="auto"/>
        </w:rPr>
        <w:t>”), as amended by a press release issued by Occidental on August 29, 2019, and the related Letter of Transmittal and Consent (the “</w:t>
      </w:r>
      <w:r>
        <w:rPr>
          <w:rFonts w:ascii="Times New Roman" w:cs="Times New Roman" w:eastAsia="Times New Roman" w:hAnsi="Times New Roman"/>
          <w:sz w:val="22"/>
          <w:szCs w:val="22"/>
          <w:u w:val="single" w:color="auto"/>
          <w:color w:val="auto"/>
        </w:rPr>
        <w:t>Letter of Transmittal</w:t>
      </w:r>
      <w:r>
        <w:rPr>
          <w:rFonts w:ascii="Times New Roman" w:cs="Times New Roman" w:eastAsia="Times New Roman" w:hAnsi="Times New Roman"/>
          <w:sz w:val="22"/>
          <w:szCs w:val="22"/>
          <w:color w:val="auto"/>
        </w:rPr>
        <w:t>”). The Prospectus forms a part of the Registration Statement on Form S-4, which was filed with the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on August 1, 2019, as amended by Amendment No. 1 thereto filed with the SEC on August 13, 2019 (the “</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and declared effective on August 15, 2019.</w:t>
      </w:r>
    </w:p>
    <w:p>
      <w:pPr>
        <w:spacing w:after="0" w:line="20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Following the Expiration Date, tenders of Old Notes may not be validly withdrawn. As of the Expiration Date, all conditions to the Exchange Offers were satisfied, other than (a) the conditions that Occidental obtains (i) the requisite consents applicable to each series of Old Notes to adopt the Proposed Amendments for all series of Old Notes at or by the Expiration Date (the “</w:t>
      </w:r>
      <w:r>
        <w:rPr>
          <w:rFonts w:ascii="Times New Roman" w:cs="Times New Roman" w:eastAsia="Times New Roman" w:hAnsi="Times New Roman"/>
          <w:sz w:val="22"/>
          <w:szCs w:val="22"/>
          <w:u w:val="single" w:color="auto"/>
          <w:color w:val="auto"/>
        </w:rPr>
        <w:t>Requisite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Consents</w:t>
      </w:r>
      <w:r>
        <w:rPr>
          <w:rFonts w:ascii="Times New Roman" w:cs="Times New Roman" w:eastAsia="Times New Roman" w:hAnsi="Times New Roman"/>
          <w:sz w:val="22"/>
          <w:szCs w:val="22"/>
          <w:color w:val="auto"/>
        </w:rPr>
        <w:t>”) and (ii) the valid tender (without valid withdrawal) of a majority in aggregate principal amount of the Old Notes of all series at or by the Expiration Date, each of which Occidental waived as announced on August 29, 2019, and (b) the condition that Occidental obtains the receipt of the Requisite Consents for the 7.250% Debentures due 2025 issued by Anadarko and the 7.250% Debentures due 2096 issued by Anadarko (together, the “</w:t>
      </w:r>
      <w:r>
        <w:rPr>
          <w:rFonts w:ascii="Times New Roman" w:cs="Times New Roman" w:eastAsia="Times New Roman" w:hAnsi="Times New Roman"/>
          <w:sz w:val="22"/>
          <w:szCs w:val="22"/>
          <w:u w:val="single" w:color="auto"/>
          <w:color w:val="auto"/>
        </w:rPr>
        <w:t>Specified Old Notes</w:t>
      </w:r>
      <w:r>
        <w:rPr>
          <w:rFonts w:ascii="Times New Roman" w:cs="Times New Roman" w:eastAsia="Times New Roman" w:hAnsi="Times New Roman"/>
          <w:sz w:val="22"/>
          <w:szCs w:val="22"/>
          <w:color w:val="auto"/>
        </w:rPr>
        <w:t>”). Occidental currently anticipates that the settlement date of the Exchange Offers will be September 18, 2019. Eligible holders of Old Notes other than the Specified Old Notes who validly tendered and did not validly withdraw such notes at or prior to the Expiration Date are eligible to receive the total consideration set forth in the table above. Occidental will not accept any Specified Old Notes tendered for exchange in the Exchange Offers.</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With respect to the Old Notes other than the Specified Old Notes, at 5:00 p.m., New York City time, on August 28, 2019, Occidental had obtained the Requisite Consents. Accordingly, supplemental indentures to the applicable Old Notes Indentures that implement the Proposed Amendments were executed by Anadarko, Anadarko HoldCo, Anadarko Finance and Kerr-McGee on August 29, 2019. Such supplemental indentures will become operative upon the settlement of the Exchange Offers.</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press release is not an offer to sell or a solicitation of an offer to buy any of the securities described herein and is also not a solicitation of the related consents. The Exchange Offers were made solely pursuant to the terms and conditions of the Prospectus, the Letter of Transmittal and the other related materials. The Exchange Offers were not made in any state or jurisdiction in which such offers would have been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466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4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communication contains forward-looking statements within the meaning of the federal securities laws, including Section 27A of the Securities Act of 1933, as amended, and Section 21E of the Securities Exchange Act of 1934, as amended. In this context, forward-looking statements often address expected future business and financial performance and financial condition, and often contain words such as “expect,” “anticipate,” “intend,” “plan,” “believe,” “seek,” “will,” “would,” “target,” similar expressions, and variations or negatives of these words. Forward-looking statements by their nature address matters that are, to different degrees, uncertain, such as the expected timing of completion of the Exchange Offers. These and other forward-looking statements are not guarantees of future results and are subject to risks, uncertainties and assumptions that could cause actual results to differ materially from those expressed in any forward-looking statements, including the failure to make any filing or take other action required to consummate the Exchange Offers in a timely matter or at all.</w:t>
      </w:r>
    </w:p>
    <w:p>
      <w:pPr>
        <w:spacing w:after="0" w:line="2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Factors that could cause actual results to differ and that may affect Occidental’s results of operations and financial position appear in Part I, Item 1A “Risk Factors” of Occidental’s Annual Report on Form 10-K for the year ended December 31, 2018, and in Occidental’s other filings with the SEC. Additional factors related to the Exchange Offers appear in the Registration Statement.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230" w:lineRule="auto"/>
        <w:rPr>
          <w:sz w:val="20"/>
          <w:szCs w:val="20"/>
          <w:color w:val="auto"/>
        </w:rPr>
      </w:pPr>
      <w:r>
        <w:rPr>
          <w:rFonts w:ascii="Times New Roman" w:cs="Times New Roman" w:eastAsia="Times New Roman" w:hAnsi="Times New Roman"/>
          <w:sz w:val="22"/>
          <w:szCs w:val="22"/>
          <w:color w:val="auto"/>
        </w:rPr>
        <w:t>Melissa E. Schoeb</w:t>
      </w:r>
    </w:p>
    <w:p>
      <w:pPr>
        <w:spacing w:after="0" w:line="231" w:lineRule="auto"/>
        <w:rPr>
          <w:sz w:val="20"/>
          <w:szCs w:val="20"/>
          <w:color w:val="auto"/>
        </w:rPr>
      </w:pPr>
      <w:r>
        <w:rPr>
          <w:rFonts w:ascii="Times New Roman" w:cs="Times New Roman" w:eastAsia="Times New Roman" w:hAnsi="Times New Roman"/>
          <w:sz w:val="22"/>
          <w:szCs w:val="22"/>
          <w:color w:val="auto"/>
        </w:rPr>
        <w:t>Vice President, Corporate Affairs</w:t>
      </w:r>
    </w:p>
    <w:p>
      <w:pPr>
        <w:spacing w:after="0"/>
        <w:rPr>
          <w:sz w:val="20"/>
          <w:szCs w:val="20"/>
          <w:color w:val="auto"/>
        </w:rPr>
      </w:pPr>
      <w:r>
        <w:rPr>
          <w:rFonts w:ascii="Times New Roman" w:cs="Times New Roman" w:eastAsia="Times New Roman" w:hAnsi="Times New Roman"/>
          <w:sz w:val="22"/>
          <w:szCs w:val="22"/>
          <w:color w:val="auto"/>
        </w:rPr>
        <w:t>713-366-5615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Jeff Alvarez</w:t>
      </w:r>
    </w:p>
    <w:p>
      <w:pPr>
        <w:spacing w:after="0" w:line="230" w:lineRule="auto"/>
        <w:rPr>
          <w:sz w:val="20"/>
          <w:szCs w:val="20"/>
          <w:color w:val="auto"/>
        </w:rPr>
      </w:pPr>
      <w:r>
        <w:rPr>
          <w:rFonts w:ascii="Times New Roman" w:cs="Times New Roman" w:eastAsia="Times New Roman" w:hAnsi="Times New Roman"/>
          <w:sz w:val="22"/>
          <w:szCs w:val="22"/>
          <w:color w:val="auto"/>
        </w:rPr>
        <w:t>Vice President,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713-215-7864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 the web: 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466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lowerRoman"/>
      <w:start w:val="1"/>
    </w:lvl>
  </w:abstractNum>
  <w:abstractNum w:abstractNumId="2">
    <w:nsid w:val="41A7C4C9"/>
    <w:multiLevelType w:val="hybridMultilevel"/>
    <w:lvl w:ilvl="0">
      <w:lvlJc w:val="left"/>
      <w:lvlText w:val="(%1)"/>
      <w:numFmt w:val="lowerRoman"/>
      <w:start w:val="1"/>
    </w:lvl>
  </w:abstractNum>
  <w:abstractNum w:abstractNumId="3">
    <w:nsid w:val="6B68079A"/>
    <w:multiLevelType w:val="hybridMultilevel"/>
    <w:lvl w:ilvl="0">
      <w:lvlJc w:val="left"/>
      <w:lvlText w:val="(%1)"/>
      <w:numFmt w:val="lowerRoman"/>
      <w:start w:val="6"/>
    </w:lvl>
  </w:abstractNum>
  <w:abstractNum w:abstractNumId="4">
    <w:nsid w:val="4E6AFB66"/>
    <w:multiLevelType w:val="hybridMultilevel"/>
    <w:lvl w:ilvl="0">
      <w:lvlJc w:val="left"/>
      <w:lvlText w:val="(%1)"/>
      <w:numFmt w:val="lowerLetter"/>
      <w:start w:val="4"/>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lowerRoman"/>
      <w:start w:val="2"/>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1)"/>
      <w:numFmt w:val="lowerRoman"/>
      <w:start w:val="2"/>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lowerRoman"/>
      <w:start w:val="2"/>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lowerRoman"/>
      <w:start w:val="2"/>
    </w:lvl>
  </w:abstractNum>
  <w:abstractNum w:abstractNumId="13">
    <w:nsid w:val="628C895D"/>
    <w:multiLevelType w:val="hybridMultilevel"/>
    <w:lvl w:ilvl="0">
      <w:lvlJc w:val="left"/>
      <w:lvlText w:val="(%1)"/>
      <w:numFmt w:val="lowerRoman"/>
      <w:start w:val="2"/>
    </w:lvl>
  </w:abstractNum>
  <w:abstractNum w:abstractNumId="14">
    <w:nsid w:val="333AB105"/>
    <w:multiLevelType w:val="hybridMultilevel"/>
    <w:lvl w:ilvl="0">
      <w:lvlJc w:val="left"/>
      <w:lvlText w:val="(%1)"/>
      <w:numFmt w:val="lowerRoman"/>
      <w:start w:val="2"/>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lowerRoman"/>
      <w:start w:val="2"/>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lowerRoman"/>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19" Type="http://schemas.openxmlformats.org/officeDocument/2006/relationships/hyperlink" Target="http://www.sec.gov/Archives/edgar/data/797468/000114036119014611/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2019-12-28T06:10:11Z</dcterms:created>
  <dcterms:modified xsi:type="dcterms:W3CDTF">2019-12-28T06:10:11Z</dcterms:modified>
</cp:coreProperties>
</file>