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1"/>
          <w:szCs w:val="21"/>
          <w:color w:val="auto"/>
        </w:rPr>
        <w:t>UNITED STATES SECURITIES AND EXCHANGE COMMISSION</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21"/>
          <w:szCs w:val="21"/>
          <w:color w:val="auto"/>
        </w:rPr>
        <w:t>Washington, D.C. 20549</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28"/>
          <w:szCs w:val="28"/>
          <w:b w:val="1"/>
          <w:bCs w:val="1"/>
          <w:color w:val="00539B"/>
        </w:rPr>
        <w:t>FORM 10-Q</w:t>
      </w:r>
    </w:p>
    <w:p>
      <w:pPr>
        <w:spacing w:after="0" w:line="63" w:lineRule="exact"/>
        <w:rPr>
          <w:sz w:val="24"/>
          <w:szCs w:val="24"/>
          <w:color w:val="auto"/>
        </w:rPr>
      </w:pPr>
    </w:p>
    <w:p>
      <w:pPr>
        <w:ind w:left="3440" w:hanging="201"/>
        <w:spacing w:after="0"/>
        <w:tabs>
          <w:tab w:leader="none" w:pos="344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QUARTERLY REPORT PURSUANT TO SECTION 13 OR 15(d)</w:t>
      </w:r>
    </w:p>
    <w:p>
      <w:pPr>
        <w:spacing w:after="0" w:line="6" w:lineRule="exact"/>
        <w:rPr>
          <w:rFonts w:ascii="MS PGothic" w:cs="MS PGothic" w:eastAsia="MS PGothic" w:hAnsi="MS PGothic"/>
          <w:sz w:val="16"/>
          <w:szCs w:val="16"/>
          <w:color w:val="auto"/>
        </w:rPr>
      </w:pPr>
    </w:p>
    <w:p>
      <w:pPr>
        <w:ind w:left="3840"/>
        <w:spacing w:after="0"/>
        <w:rPr>
          <w:rFonts w:ascii="MS PGothic" w:cs="MS PGothic" w:eastAsia="MS PGothic" w:hAnsi="MS PGothic"/>
          <w:sz w:val="16"/>
          <w:szCs w:val="16"/>
          <w:color w:val="auto"/>
        </w:rPr>
      </w:pPr>
      <w:r>
        <w:rPr>
          <w:rFonts w:ascii="Arial" w:cs="Arial" w:eastAsia="Arial" w:hAnsi="Arial"/>
          <w:sz w:val="16"/>
          <w:szCs w:val="16"/>
          <w:b w:val="1"/>
          <w:bCs w:val="1"/>
          <w:color w:val="auto"/>
        </w:rPr>
        <w:t>OF THE SECURITIES EXCHANGE ACT OF 1934</w:t>
      </w:r>
    </w:p>
    <w:p>
      <w:pPr>
        <w:spacing w:after="0" w:line="244"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For the quarterly period ended June 30, 2023</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12" w:lineRule="exact"/>
        <w:rPr>
          <w:sz w:val="24"/>
          <w:szCs w:val="24"/>
          <w:color w:val="auto"/>
        </w:rPr>
      </w:pPr>
    </w:p>
    <w:p>
      <w:pPr>
        <w:ind w:left="3440" w:hanging="201"/>
        <w:spacing w:after="0"/>
        <w:tabs>
          <w:tab w:leader="none" w:pos="344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w:t>
      </w:r>
    </w:p>
    <w:p>
      <w:pPr>
        <w:spacing w:after="0" w:line="6" w:lineRule="exact"/>
        <w:rPr>
          <w:rFonts w:ascii="MS PGothic" w:cs="MS PGothic" w:eastAsia="MS PGothic" w:hAnsi="MS PGothic"/>
          <w:sz w:val="16"/>
          <w:szCs w:val="16"/>
          <w:color w:val="auto"/>
        </w:rPr>
      </w:pPr>
    </w:p>
    <w:p>
      <w:pPr>
        <w:ind w:left="3840"/>
        <w:spacing w:after="0"/>
        <w:rPr>
          <w:rFonts w:ascii="MS PGothic" w:cs="MS PGothic" w:eastAsia="MS PGothic" w:hAnsi="MS PGothic"/>
          <w:sz w:val="16"/>
          <w:szCs w:val="16"/>
          <w:color w:val="auto"/>
        </w:rPr>
      </w:pPr>
      <w:r>
        <w:rPr>
          <w:rFonts w:ascii="Arial" w:cs="Arial" w:eastAsia="Arial" w:hAnsi="Arial"/>
          <w:sz w:val="16"/>
          <w:szCs w:val="16"/>
          <w:b w:val="1"/>
          <w:bCs w:val="1"/>
          <w:color w:val="auto"/>
        </w:rPr>
        <w:t>OF THE SECURITIES EXCHANGE ACT OF 1934</w:t>
      </w:r>
    </w:p>
    <w:p>
      <w:pPr>
        <w:spacing w:after="0" w:line="231" w:lineRule="exact"/>
        <w:rPr>
          <w:sz w:val="24"/>
          <w:szCs w:val="24"/>
          <w:color w:val="auto"/>
        </w:rPr>
      </w:pPr>
    </w:p>
    <w:p>
      <w:pPr>
        <w:ind w:left="3480"/>
        <w:spacing w:after="0"/>
        <w:rPr>
          <w:sz w:val="20"/>
          <w:szCs w:val="20"/>
          <w:color w:val="auto"/>
        </w:rPr>
      </w:pPr>
      <w:r>
        <w:rPr>
          <w:rFonts w:ascii="Arial" w:cs="Arial" w:eastAsia="Arial" w:hAnsi="Arial"/>
          <w:sz w:val="16"/>
          <w:szCs w:val="16"/>
          <w:color w:val="auto"/>
        </w:rPr>
        <w:t>For the transition period from ___________ to ___________</w:t>
      </w:r>
    </w:p>
    <w:p>
      <w:pPr>
        <w:spacing w:after="0" w:line="256"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Commission file number 1-9210</w:t>
      </w:r>
    </w:p>
    <w:p>
      <w:pPr>
        <w:spacing w:after="0" w:line="15" w:lineRule="exact"/>
        <w:rPr>
          <w:sz w:val="24"/>
          <w:szCs w:val="24"/>
          <w:color w:val="auto"/>
        </w:rPr>
      </w:pPr>
    </w:p>
    <w:p>
      <w:pPr>
        <w:ind w:left="4680"/>
        <w:spacing w:after="0"/>
        <w:rPr>
          <w:sz w:val="20"/>
          <w:szCs w:val="20"/>
          <w:color w:val="auto"/>
        </w:rPr>
      </w:pPr>
      <w:r>
        <w:rPr>
          <w:rFonts w:ascii="Arial" w:cs="Arial" w:eastAsia="Arial" w:hAnsi="Arial"/>
          <w:sz w:val="16"/>
          <w:szCs w:val="16"/>
          <w:b w:val="1"/>
          <w:bCs w:val="1"/>
          <w:color w:val="auto"/>
        </w:rPr>
        <w:t>_____________________</w:t>
      </w:r>
    </w:p>
    <w:p>
      <w:pPr>
        <w:spacing w:after="0" w:line="201" w:lineRule="exact"/>
        <w:rPr>
          <w:sz w:val="24"/>
          <w:szCs w:val="24"/>
          <w:color w:val="auto"/>
        </w:rPr>
      </w:pPr>
    </w:p>
    <w:p>
      <w:pPr>
        <w:jc w:val="center"/>
        <w:spacing w:after="0"/>
        <w:rPr>
          <w:sz w:val="20"/>
          <w:szCs w:val="20"/>
          <w:color w:val="auto"/>
        </w:rPr>
      </w:pPr>
      <w:r>
        <w:rPr>
          <w:rFonts w:ascii="Arial" w:cs="Arial" w:eastAsia="Arial" w:hAnsi="Arial"/>
          <w:sz w:val="28"/>
          <w:szCs w:val="28"/>
          <w:b w:val="1"/>
          <w:bCs w:val="1"/>
          <w:color w:val="00539B"/>
        </w:rPr>
        <w:t>OCCIDENTAL PETROLEUM CORPORATION</w:t>
      </w:r>
    </w:p>
    <w:p>
      <w:pPr>
        <w:spacing w:after="0" w:line="67" w:lineRule="exact"/>
        <w:rPr>
          <w:sz w:val="24"/>
          <w:szCs w:val="24"/>
          <w:color w:val="auto"/>
        </w:rPr>
      </w:pPr>
    </w:p>
    <w:tbl>
      <w:tblPr>
        <w:tblLayout w:type="fixed"/>
        <w:tblInd w:w="280" w:type="dxa"/>
        <w:tblCellMar>
          <w:top w:w="0" w:type="dxa"/>
          <w:left w:w="0" w:type="dxa"/>
          <w:bottom w:w="0" w:type="dxa"/>
          <w:right w:w="0" w:type="dxa"/>
        </w:tblCellMar>
      </w:tblPr>
      <w:tr>
        <w:trPr>
          <w:trHeight w:val="205"/>
        </w:trPr>
        <w:tc>
          <w:tcPr>
            <w:tcW w:w="3100" w:type="dxa"/>
            <w:vAlign w:val="bottom"/>
          </w:tcPr>
          <w:p>
            <w:pPr>
              <w:spacing w:after="0"/>
              <w:rPr>
                <w:sz w:val="17"/>
                <w:szCs w:val="17"/>
                <w:color w:val="auto"/>
              </w:rPr>
            </w:pPr>
          </w:p>
        </w:tc>
        <w:tc>
          <w:tcPr>
            <w:tcW w:w="4280" w:type="dxa"/>
            <w:vAlign w:val="bottom"/>
          </w:tcPr>
          <w:p>
            <w:pPr>
              <w:jc w:val="center"/>
              <w:ind w:left="120"/>
              <w:spacing w:after="0"/>
              <w:rPr>
                <w:sz w:val="20"/>
                <w:szCs w:val="20"/>
                <w:color w:val="auto"/>
              </w:rPr>
            </w:pPr>
            <w:r>
              <w:rPr>
                <w:rFonts w:ascii="Arial" w:cs="Arial" w:eastAsia="Arial" w:hAnsi="Arial"/>
                <w:sz w:val="16"/>
                <w:szCs w:val="16"/>
                <w:color w:val="auto"/>
                <w:w w:val="99"/>
              </w:rPr>
              <w:t>(Exact name of registrant as specified in its charter)</w:t>
            </w:r>
          </w:p>
        </w:tc>
        <w:tc>
          <w:tcPr>
            <w:tcW w:w="3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100" w:type="dxa"/>
            <w:vAlign w:val="bottom"/>
          </w:tcPr>
          <w:p>
            <w:pPr>
              <w:jc w:val="center"/>
              <w:ind w:left="1920"/>
              <w:spacing w:after="0"/>
              <w:rPr>
                <w:sz w:val="20"/>
                <w:szCs w:val="20"/>
                <w:color w:val="auto"/>
              </w:rPr>
            </w:pPr>
            <w:r>
              <w:rPr>
                <w:rFonts w:ascii="Arial" w:cs="Arial" w:eastAsia="Arial" w:hAnsi="Arial"/>
                <w:sz w:val="16"/>
                <w:szCs w:val="16"/>
                <w:b w:val="1"/>
                <w:bCs w:val="1"/>
                <w:color w:val="auto"/>
                <w:w w:val="99"/>
              </w:rPr>
              <w:t>Delaware</w:t>
            </w:r>
          </w:p>
        </w:tc>
        <w:tc>
          <w:tcPr>
            <w:tcW w:w="4280" w:type="dxa"/>
            <w:vAlign w:val="bottom"/>
          </w:tcPr>
          <w:p>
            <w:pPr>
              <w:spacing w:after="0"/>
              <w:rPr>
                <w:sz w:val="19"/>
                <w:szCs w:val="19"/>
                <w:color w:val="auto"/>
              </w:rPr>
            </w:pPr>
          </w:p>
        </w:tc>
        <w:tc>
          <w:tcPr>
            <w:tcW w:w="3160" w:type="dxa"/>
            <w:vAlign w:val="bottom"/>
          </w:tcPr>
          <w:p>
            <w:pPr>
              <w:jc w:val="center"/>
              <w:ind w:right="1200"/>
              <w:spacing w:after="0"/>
              <w:rPr>
                <w:sz w:val="20"/>
                <w:szCs w:val="20"/>
                <w:color w:val="auto"/>
              </w:rPr>
            </w:pPr>
            <w:r>
              <w:rPr>
                <w:rFonts w:ascii="Arial" w:cs="Arial" w:eastAsia="Arial" w:hAnsi="Arial"/>
                <w:sz w:val="16"/>
                <w:szCs w:val="16"/>
                <w:b w:val="1"/>
                <w:bCs w:val="1"/>
                <w:color w:val="auto"/>
                <w:w w:val="98"/>
              </w:rPr>
              <w:t>95-4035997</w:t>
            </w:r>
          </w:p>
        </w:tc>
        <w:tc>
          <w:tcPr>
            <w:tcW w:w="0" w:type="dxa"/>
            <w:vAlign w:val="bottom"/>
          </w:tcPr>
          <w:p>
            <w:pPr>
              <w:spacing w:after="0"/>
              <w:rPr>
                <w:sz w:val="1"/>
                <w:szCs w:val="1"/>
                <w:color w:val="auto"/>
              </w:rPr>
            </w:pPr>
          </w:p>
        </w:tc>
      </w:tr>
      <w:tr>
        <w:trPr>
          <w:trHeight w:val="160"/>
        </w:trPr>
        <w:tc>
          <w:tcPr>
            <w:tcW w:w="7380" w:type="dxa"/>
            <w:vAlign w:val="bottom"/>
            <w:gridSpan w:val="2"/>
          </w:tcPr>
          <w:p>
            <w:pPr>
              <w:jc w:val="center"/>
              <w:ind w:right="2180"/>
              <w:spacing w:after="0" w:line="160" w:lineRule="exact"/>
              <w:rPr>
                <w:sz w:val="20"/>
                <w:szCs w:val="20"/>
                <w:color w:val="auto"/>
              </w:rPr>
            </w:pPr>
            <w:r>
              <w:rPr>
                <w:rFonts w:ascii="Arial" w:cs="Arial" w:eastAsia="Arial" w:hAnsi="Arial"/>
                <w:sz w:val="16"/>
                <w:szCs w:val="16"/>
                <w:color w:val="auto"/>
                <w:w w:val="99"/>
              </w:rPr>
              <w:t>(State or other jurisdiction of</w:t>
            </w:r>
          </w:p>
        </w:tc>
        <w:tc>
          <w:tcPr>
            <w:tcW w:w="3160" w:type="dxa"/>
            <w:vAlign w:val="bottom"/>
          </w:tcPr>
          <w:p>
            <w:pPr>
              <w:jc w:val="center"/>
              <w:ind w:right="1200"/>
              <w:spacing w:after="0" w:line="160" w:lineRule="exact"/>
              <w:rPr>
                <w:sz w:val="20"/>
                <w:szCs w:val="20"/>
                <w:color w:val="auto"/>
              </w:rPr>
            </w:pPr>
            <w:r>
              <w:rPr>
                <w:rFonts w:ascii="Arial" w:cs="Arial" w:eastAsia="Arial" w:hAnsi="Arial"/>
                <w:sz w:val="16"/>
                <w:szCs w:val="16"/>
                <w:color w:val="auto"/>
                <w:w w:val="98"/>
              </w:rPr>
              <w:t>(I.R.S. Employer</w:t>
            </w:r>
          </w:p>
        </w:tc>
        <w:tc>
          <w:tcPr>
            <w:tcW w:w="0" w:type="dxa"/>
            <w:vAlign w:val="bottom"/>
          </w:tcPr>
          <w:p>
            <w:pPr>
              <w:spacing w:after="0"/>
              <w:rPr>
                <w:sz w:val="1"/>
                <w:szCs w:val="1"/>
                <w:color w:val="auto"/>
              </w:rPr>
            </w:pPr>
          </w:p>
        </w:tc>
      </w:tr>
      <w:tr>
        <w:trPr>
          <w:trHeight w:val="205"/>
        </w:trPr>
        <w:tc>
          <w:tcPr>
            <w:tcW w:w="7380" w:type="dxa"/>
            <w:vAlign w:val="bottom"/>
            <w:gridSpan w:val="2"/>
          </w:tcPr>
          <w:p>
            <w:pPr>
              <w:jc w:val="center"/>
              <w:ind w:right="2180"/>
              <w:spacing w:after="0"/>
              <w:rPr>
                <w:sz w:val="20"/>
                <w:szCs w:val="20"/>
                <w:color w:val="auto"/>
              </w:rPr>
            </w:pPr>
            <w:r>
              <w:rPr>
                <w:rFonts w:ascii="Arial" w:cs="Arial" w:eastAsia="Arial" w:hAnsi="Arial"/>
                <w:sz w:val="16"/>
                <w:szCs w:val="16"/>
                <w:color w:val="auto"/>
                <w:w w:val="99"/>
              </w:rPr>
              <w:t>incorporation or organization)</w:t>
            </w:r>
          </w:p>
        </w:tc>
        <w:tc>
          <w:tcPr>
            <w:tcW w:w="3160" w:type="dxa"/>
            <w:vAlign w:val="bottom"/>
          </w:tcPr>
          <w:p>
            <w:pPr>
              <w:jc w:val="center"/>
              <w:ind w:right="1200"/>
              <w:spacing w:after="0"/>
              <w:rPr>
                <w:sz w:val="20"/>
                <w:szCs w:val="20"/>
                <w:color w:val="auto"/>
              </w:rPr>
            </w:pPr>
            <w:r>
              <w:rPr>
                <w:rFonts w:ascii="Arial" w:cs="Arial" w:eastAsia="Arial" w:hAnsi="Arial"/>
                <w:sz w:val="16"/>
                <w:szCs w:val="16"/>
                <w:color w:val="auto"/>
                <w:w w:val="99"/>
              </w:rPr>
              <w:t>Identification No.)</w:t>
            </w:r>
          </w:p>
        </w:tc>
        <w:tc>
          <w:tcPr>
            <w:tcW w:w="0" w:type="dxa"/>
            <w:vAlign w:val="bottom"/>
          </w:tcPr>
          <w:p>
            <w:pPr>
              <w:spacing w:after="0"/>
              <w:rPr>
                <w:sz w:val="1"/>
                <w:szCs w:val="1"/>
                <w:color w:val="auto"/>
              </w:rPr>
            </w:pPr>
          </w:p>
        </w:tc>
      </w:tr>
      <w:tr>
        <w:trPr>
          <w:trHeight w:val="214"/>
        </w:trPr>
        <w:tc>
          <w:tcPr>
            <w:tcW w:w="3100" w:type="dxa"/>
            <w:vAlign w:val="bottom"/>
          </w:tcPr>
          <w:p>
            <w:pPr>
              <w:spacing w:after="0"/>
              <w:rPr>
                <w:sz w:val="18"/>
                <w:szCs w:val="18"/>
                <w:color w:val="auto"/>
              </w:rPr>
            </w:pPr>
          </w:p>
        </w:tc>
        <w:tc>
          <w:tcPr>
            <w:tcW w:w="4280" w:type="dxa"/>
            <w:vAlign w:val="bottom"/>
          </w:tcPr>
          <w:p>
            <w:pPr>
              <w:jc w:val="center"/>
              <w:ind w:left="140"/>
              <w:spacing w:after="0"/>
              <w:rPr>
                <w:sz w:val="20"/>
                <w:szCs w:val="20"/>
                <w:color w:val="auto"/>
              </w:rPr>
            </w:pPr>
            <w:r>
              <w:rPr>
                <w:rFonts w:ascii="Arial" w:cs="Arial" w:eastAsia="Arial" w:hAnsi="Arial"/>
                <w:sz w:val="16"/>
                <w:szCs w:val="16"/>
                <w:b w:val="1"/>
                <w:bCs w:val="1"/>
                <w:color w:val="auto"/>
                <w:w w:val="99"/>
              </w:rPr>
              <w:t>5 Greenway Plaza, Suite 110</w:t>
            </w:r>
          </w:p>
        </w:tc>
        <w:tc>
          <w:tcPr>
            <w:tcW w:w="3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100" w:type="dxa"/>
            <w:vAlign w:val="bottom"/>
          </w:tcPr>
          <w:p>
            <w:pPr>
              <w:spacing w:after="0"/>
              <w:rPr>
                <w:sz w:val="19"/>
                <w:szCs w:val="19"/>
                <w:color w:val="auto"/>
              </w:rPr>
            </w:pPr>
          </w:p>
        </w:tc>
        <w:tc>
          <w:tcPr>
            <w:tcW w:w="4280" w:type="dxa"/>
            <w:vAlign w:val="bottom"/>
          </w:tcPr>
          <w:p>
            <w:pPr>
              <w:ind w:left="1380"/>
              <w:spacing w:after="0"/>
              <w:rPr>
                <w:sz w:val="20"/>
                <w:szCs w:val="20"/>
                <w:color w:val="auto"/>
              </w:rPr>
            </w:pPr>
            <w:r>
              <w:rPr>
                <w:rFonts w:ascii="Arial" w:cs="Arial" w:eastAsia="Arial" w:hAnsi="Arial"/>
                <w:sz w:val="16"/>
                <w:szCs w:val="16"/>
                <w:b w:val="1"/>
                <w:bCs w:val="1"/>
                <w:color w:val="auto"/>
              </w:rPr>
              <w:t>Houston,  Texas  77046</w:t>
            </w:r>
          </w:p>
        </w:tc>
        <w:tc>
          <w:tcPr>
            <w:tcW w:w="3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3100" w:type="dxa"/>
            <w:vAlign w:val="bottom"/>
          </w:tcPr>
          <w:p>
            <w:pPr>
              <w:spacing w:after="0"/>
              <w:rPr>
                <w:sz w:val="17"/>
                <w:szCs w:val="17"/>
                <w:color w:val="auto"/>
              </w:rPr>
            </w:pPr>
          </w:p>
        </w:tc>
        <w:tc>
          <w:tcPr>
            <w:tcW w:w="4280" w:type="dxa"/>
            <w:vAlign w:val="bottom"/>
          </w:tcPr>
          <w:p>
            <w:pPr>
              <w:jc w:val="center"/>
              <w:ind w:left="140"/>
              <w:spacing w:after="0"/>
              <w:rPr>
                <w:sz w:val="20"/>
                <w:szCs w:val="20"/>
                <w:color w:val="auto"/>
              </w:rPr>
            </w:pPr>
            <w:r>
              <w:rPr>
                <w:rFonts w:ascii="Arial" w:cs="Arial" w:eastAsia="Arial" w:hAnsi="Arial"/>
                <w:sz w:val="16"/>
                <w:szCs w:val="16"/>
                <w:color w:val="auto"/>
              </w:rPr>
              <w:t>(Address of principal executive offices) (Zip Code)</w:t>
            </w:r>
          </w:p>
        </w:tc>
        <w:tc>
          <w:tcPr>
            <w:tcW w:w="3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9"/>
        </w:trPr>
        <w:tc>
          <w:tcPr>
            <w:tcW w:w="3100" w:type="dxa"/>
            <w:vAlign w:val="bottom"/>
          </w:tcPr>
          <w:p>
            <w:pPr>
              <w:spacing w:after="0"/>
              <w:rPr>
                <w:sz w:val="24"/>
                <w:szCs w:val="24"/>
                <w:color w:val="auto"/>
              </w:rPr>
            </w:pPr>
          </w:p>
        </w:tc>
        <w:tc>
          <w:tcPr>
            <w:tcW w:w="4280" w:type="dxa"/>
            <w:vAlign w:val="bottom"/>
          </w:tcPr>
          <w:p>
            <w:pPr>
              <w:jc w:val="center"/>
              <w:ind w:left="140"/>
              <w:spacing w:after="0"/>
              <w:rPr>
                <w:sz w:val="20"/>
                <w:szCs w:val="20"/>
                <w:color w:val="auto"/>
              </w:rPr>
            </w:pPr>
            <w:r>
              <w:rPr>
                <w:rFonts w:ascii="Arial" w:cs="Arial" w:eastAsia="Arial" w:hAnsi="Arial"/>
                <w:sz w:val="16"/>
                <w:szCs w:val="16"/>
                <w:b w:val="1"/>
                <w:bCs w:val="1"/>
                <w:color w:val="auto"/>
              </w:rPr>
              <w:t>(713) 215-7000</w:t>
            </w:r>
          </w:p>
        </w:tc>
        <w:tc>
          <w:tcPr>
            <w:tcW w:w="3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3100" w:type="dxa"/>
            <w:vAlign w:val="bottom"/>
          </w:tcPr>
          <w:p>
            <w:pPr>
              <w:spacing w:after="0"/>
              <w:rPr>
                <w:sz w:val="16"/>
                <w:szCs w:val="16"/>
                <w:color w:val="auto"/>
              </w:rPr>
            </w:pPr>
          </w:p>
        </w:tc>
        <w:tc>
          <w:tcPr>
            <w:tcW w:w="4280" w:type="dxa"/>
            <w:vAlign w:val="bottom"/>
          </w:tcPr>
          <w:p>
            <w:pPr>
              <w:jc w:val="center"/>
              <w:ind w:left="120"/>
              <w:spacing w:after="0"/>
              <w:rPr>
                <w:sz w:val="20"/>
                <w:szCs w:val="20"/>
                <w:color w:val="auto"/>
              </w:rPr>
            </w:pPr>
            <w:r>
              <w:rPr>
                <w:rFonts w:ascii="Arial" w:cs="Arial" w:eastAsia="Arial" w:hAnsi="Arial"/>
                <w:sz w:val="16"/>
                <w:szCs w:val="16"/>
                <w:color w:val="auto"/>
                <w:w w:val="99"/>
              </w:rPr>
              <w:t>(Registrant’s telephone number, including area code)</w:t>
            </w:r>
          </w:p>
        </w:tc>
        <w:tc>
          <w:tcPr>
            <w:tcW w:w="3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3100" w:type="dxa"/>
            <w:vAlign w:val="bottom"/>
          </w:tcPr>
          <w:p>
            <w:pPr>
              <w:spacing w:after="0"/>
              <w:rPr>
                <w:sz w:val="17"/>
                <w:szCs w:val="17"/>
                <w:color w:val="auto"/>
              </w:rPr>
            </w:pPr>
          </w:p>
        </w:tc>
        <w:tc>
          <w:tcPr>
            <w:tcW w:w="4280" w:type="dxa"/>
            <w:vAlign w:val="bottom"/>
          </w:tcPr>
          <w:p>
            <w:pPr>
              <w:jc w:val="center"/>
              <w:ind w:left="140"/>
              <w:spacing w:after="0"/>
              <w:rPr>
                <w:sz w:val="20"/>
                <w:szCs w:val="20"/>
                <w:color w:val="auto"/>
              </w:rPr>
            </w:pPr>
            <w:r>
              <w:rPr>
                <w:rFonts w:ascii="Arial" w:cs="Arial" w:eastAsia="Arial" w:hAnsi="Arial"/>
                <w:sz w:val="16"/>
                <w:szCs w:val="16"/>
                <w:color w:val="auto"/>
                <w:w w:val="99"/>
              </w:rPr>
              <w:t>Securities registered pursuant to Section 12(b) of the Act:</w:t>
            </w:r>
          </w:p>
        </w:tc>
        <w:tc>
          <w:tcPr>
            <w:tcW w:w="3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3100" w:type="dxa"/>
            <w:vAlign w:val="bottom"/>
          </w:tcPr>
          <w:p>
            <w:pPr>
              <w:jc w:val="center"/>
              <w:ind w:left="280"/>
              <w:spacing w:after="0"/>
              <w:rPr>
                <w:sz w:val="20"/>
                <w:szCs w:val="20"/>
                <w:color w:val="auto"/>
              </w:rPr>
            </w:pPr>
            <w:r>
              <w:rPr>
                <w:rFonts w:ascii="Arial" w:cs="Arial" w:eastAsia="Arial" w:hAnsi="Arial"/>
                <w:sz w:val="16"/>
                <w:szCs w:val="16"/>
                <w:color w:val="auto"/>
                <w:w w:val="98"/>
              </w:rPr>
              <w:t>Title of each class</w:t>
            </w:r>
          </w:p>
        </w:tc>
        <w:tc>
          <w:tcPr>
            <w:tcW w:w="4280" w:type="dxa"/>
            <w:vAlign w:val="bottom"/>
          </w:tcPr>
          <w:p>
            <w:pPr>
              <w:jc w:val="center"/>
              <w:ind w:left="140"/>
              <w:spacing w:after="0"/>
              <w:rPr>
                <w:sz w:val="20"/>
                <w:szCs w:val="20"/>
                <w:color w:val="auto"/>
              </w:rPr>
            </w:pPr>
            <w:r>
              <w:rPr>
                <w:rFonts w:ascii="Arial" w:cs="Arial" w:eastAsia="Arial" w:hAnsi="Arial"/>
                <w:sz w:val="16"/>
                <w:szCs w:val="16"/>
                <w:color w:val="auto"/>
                <w:w w:val="99"/>
              </w:rPr>
              <w:t>Trading Symbol(s)</w:t>
            </w:r>
          </w:p>
        </w:tc>
        <w:tc>
          <w:tcPr>
            <w:tcW w:w="3160" w:type="dxa"/>
            <w:vAlign w:val="bottom"/>
          </w:tcPr>
          <w:p>
            <w:pPr>
              <w:jc w:val="center"/>
              <w:spacing w:after="0"/>
              <w:rPr>
                <w:sz w:val="20"/>
                <w:szCs w:val="20"/>
                <w:color w:val="auto"/>
              </w:rPr>
            </w:pPr>
            <w:r>
              <w:rPr>
                <w:rFonts w:ascii="Arial" w:cs="Arial" w:eastAsia="Arial" w:hAnsi="Arial"/>
                <w:sz w:val="16"/>
                <w:szCs w:val="16"/>
                <w:color w:val="auto"/>
                <w:w w:val="99"/>
              </w:rPr>
              <w:t>Name of each exchange on which registered</w:t>
            </w:r>
          </w:p>
        </w:tc>
        <w:tc>
          <w:tcPr>
            <w:tcW w:w="0" w:type="dxa"/>
            <w:vAlign w:val="bottom"/>
          </w:tcPr>
          <w:p>
            <w:pPr>
              <w:spacing w:after="0"/>
              <w:rPr>
                <w:sz w:val="1"/>
                <w:szCs w:val="1"/>
                <w:color w:val="auto"/>
              </w:rPr>
            </w:pPr>
          </w:p>
        </w:tc>
      </w:tr>
      <w:tr>
        <w:trPr>
          <w:trHeight w:val="213"/>
        </w:trPr>
        <w:tc>
          <w:tcPr>
            <w:tcW w:w="3100" w:type="dxa"/>
            <w:vAlign w:val="bottom"/>
          </w:tcPr>
          <w:p>
            <w:pPr>
              <w:jc w:val="center"/>
              <w:ind w:left="280"/>
              <w:spacing w:after="0"/>
              <w:rPr>
                <w:sz w:val="20"/>
                <w:szCs w:val="20"/>
                <w:color w:val="auto"/>
              </w:rPr>
            </w:pPr>
            <w:r>
              <w:rPr>
                <w:rFonts w:ascii="Arial" w:cs="Arial" w:eastAsia="Arial" w:hAnsi="Arial"/>
                <w:sz w:val="16"/>
                <w:szCs w:val="16"/>
                <w:color w:val="auto"/>
              </w:rPr>
              <w:t>Common Stock, $0.20 par value</w:t>
            </w:r>
          </w:p>
        </w:tc>
        <w:tc>
          <w:tcPr>
            <w:tcW w:w="4280" w:type="dxa"/>
            <w:vAlign w:val="bottom"/>
          </w:tcPr>
          <w:p>
            <w:pPr>
              <w:jc w:val="center"/>
              <w:ind w:left="140"/>
              <w:spacing w:after="0"/>
              <w:rPr>
                <w:sz w:val="20"/>
                <w:szCs w:val="20"/>
                <w:color w:val="auto"/>
              </w:rPr>
            </w:pPr>
            <w:r>
              <w:rPr>
                <w:rFonts w:ascii="Arial" w:cs="Arial" w:eastAsia="Arial" w:hAnsi="Arial"/>
                <w:sz w:val="16"/>
                <w:szCs w:val="16"/>
                <w:color w:val="auto"/>
              </w:rPr>
              <w:t>OXY</w:t>
            </w:r>
          </w:p>
        </w:tc>
        <w:tc>
          <w:tcPr>
            <w:tcW w:w="3160" w:type="dxa"/>
            <w:vAlign w:val="bottom"/>
          </w:tcPr>
          <w:p>
            <w:pPr>
              <w:jc w:val="center"/>
              <w:spacing w:after="0"/>
              <w:rPr>
                <w:sz w:val="20"/>
                <w:szCs w:val="20"/>
                <w:color w:val="auto"/>
              </w:rPr>
            </w:pPr>
            <w:r>
              <w:rPr>
                <w:rFonts w:ascii="Arial" w:cs="Arial" w:eastAsia="Arial" w:hAnsi="Arial"/>
                <w:sz w:val="16"/>
                <w:szCs w:val="16"/>
                <w:color w:val="auto"/>
                <w:w w:val="99"/>
              </w:rPr>
              <w:t>New York Stock Exchange</w:t>
            </w:r>
          </w:p>
        </w:tc>
        <w:tc>
          <w:tcPr>
            <w:tcW w:w="0" w:type="dxa"/>
            <w:vAlign w:val="bottom"/>
          </w:tcPr>
          <w:p>
            <w:pPr>
              <w:spacing w:after="0"/>
              <w:rPr>
                <w:sz w:val="1"/>
                <w:szCs w:val="1"/>
                <w:color w:val="auto"/>
              </w:rPr>
            </w:pPr>
          </w:p>
        </w:tc>
      </w:tr>
      <w:tr>
        <w:trPr>
          <w:trHeight w:val="169"/>
        </w:trPr>
        <w:tc>
          <w:tcPr>
            <w:tcW w:w="7380" w:type="dxa"/>
            <w:vAlign w:val="bottom"/>
            <w:gridSpan w:val="2"/>
          </w:tcPr>
          <w:p>
            <w:pPr>
              <w:jc w:val="center"/>
              <w:ind w:right="3840"/>
              <w:spacing w:after="0" w:line="169" w:lineRule="exact"/>
              <w:rPr>
                <w:sz w:val="20"/>
                <w:szCs w:val="20"/>
                <w:color w:val="auto"/>
              </w:rPr>
            </w:pPr>
            <w:r>
              <w:rPr>
                <w:rFonts w:ascii="Arial" w:cs="Arial" w:eastAsia="Arial" w:hAnsi="Arial"/>
                <w:sz w:val="16"/>
                <w:szCs w:val="16"/>
                <w:color w:val="auto"/>
              </w:rPr>
              <w:t>Warrants to Purchase Common Stock, $0.20 par</w:t>
            </w:r>
          </w:p>
        </w:tc>
        <w:tc>
          <w:tcPr>
            <w:tcW w:w="3160" w:type="dxa"/>
            <w:vAlign w:val="bottom"/>
            <w:vMerge w:val="restart"/>
          </w:tcPr>
          <w:p>
            <w:pPr>
              <w:jc w:val="center"/>
              <w:spacing w:after="0"/>
              <w:rPr>
                <w:sz w:val="20"/>
                <w:szCs w:val="20"/>
                <w:color w:val="auto"/>
              </w:rPr>
            </w:pPr>
            <w:r>
              <w:rPr>
                <w:rFonts w:ascii="Arial" w:cs="Arial" w:eastAsia="Arial" w:hAnsi="Arial"/>
                <w:sz w:val="16"/>
                <w:szCs w:val="16"/>
                <w:color w:val="auto"/>
                <w:w w:val="99"/>
              </w:rPr>
              <w:t>New York Stock Exchange</w:t>
            </w:r>
          </w:p>
        </w:tc>
        <w:tc>
          <w:tcPr>
            <w:tcW w:w="0" w:type="dxa"/>
            <w:vAlign w:val="bottom"/>
          </w:tcPr>
          <w:p>
            <w:pPr>
              <w:spacing w:after="0"/>
              <w:rPr>
                <w:sz w:val="1"/>
                <w:szCs w:val="1"/>
                <w:color w:val="auto"/>
              </w:rPr>
            </w:pPr>
          </w:p>
        </w:tc>
      </w:tr>
      <w:tr>
        <w:trPr>
          <w:trHeight w:val="205"/>
        </w:trPr>
        <w:tc>
          <w:tcPr>
            <w:tcW w:w="3100" w:type="dxa"/>
            <w:vAlign w:val="bottom"/>
          </w:tcPr>
          <w:p>
            <w:pPr>
              <w:jc w:val="center"/>
              <w:ind w:left="280"/>
              <w:spacing w:after="0"/>
              <w:rPr>
                <w:sz w:val="20"/>
                <w:szCs w:val="20"/>
                <w:color w:val="auto"/>
              </w:rPr>
            </w:pPr>
            <w:r>
              <w:rPr>
                <w:rFonts w:ascii="Arial" w:cs="Arial" w:eastAsia="Arial" w:hAnsi="Arial"/>
                <w:sz w:val="16"/>
                <w:szCs w:val="16"/>
                <w:color w:val="auto"/>
                <w:w w:val="99"/>
              </w:rPr>
              <w:t>value</w:t>
            </w:r>
          </w:p>
        </w:tc>
        <w:tc>
          <w:tcPr>
            <w:tcW w:w="4280" w:type="dxa"/>
            <w:vAlign w:val="bottom"/>
          </w:tcPr>
          <w:p>
            <w:pPr>
              <w:jc w:val="center"/>
              <w:ind w:left="120"/>
              <w:spacing w:after="0"/>
              <w:rPr>
                <w:sz w:val="20"/>
                <w:szCs w:val="20"/>
                <w:color w:val="auto"/>
              </w:rPr>
            </w:pPr>
            <w:r>
              <w:rPr>
                <w:rFonts w:ascii="Arial" w:cs="Arial" w:eastAsia="Arial" w:hAnsi="Arial"/>
                <w:sz w:val="16"/>
                <w:szCs w:val="16"/>
                <w:color w:val="auto"/>
                <w:w w:val="99"/>
              </w:rPr>
              <w:t>OXY WS</w:t>
            </w:r>
          </w:p>
        </w:tc>
        <w:tc>
          <w:tcPr>
            <w:tcW w:w="3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89" w:lineRule="exact"/>
        <w:rPr>
          <w:sz w:val="24"/>
          <w:szCs w:val="24"/>
          <w:color w:val="auto"/>
        </w:rPr>
      </w:pPr>
    </w:p>
    <w:p>
      <w:pPr>
        <w:jc w:val="both"/>
        <w:spacing w:after="0" w:line="253"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200" w:hanging="193"/>
        <w:spacing w:after="0" w:line="184" w:lineRule="exact"/>
        <w:tabs>
          <w:tab w:leader="none" w:pos="20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248" w:lineRule="exact"/>
        <w:rPr>
          <w:sz w:val="24"/>
          <w:szCs w:val="24"/>
          <w:color w:val="auto"/>
        </w:rPr>
      </w:pPr>
    </w:p>
    <w:p>
      <w:pPr>
        <w:spacing w:after="0" w:line="249"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ind w:left="200" w:hanging="193"/>
        <w:spacing w:after="0" w:line="184" w:lineRule="exact"/>
        <w:tabs>
          <w:tab w:leader="none" w:pos="200" w:val="left"/>
        </w:tabs>
        <w:numPr>
          <w:ilvl w:val="0"/>
          <w:numId w:val="4"/>
        </w:numPr>
        <w:rPr>
          <w:rFonts w:ascii="MS PGothic" w:cs="MS PGothic" w:eastAsia="MS PGothic" w:hAnsi="MS PGothic"/>
          <w:sz w:val="16"/>
          <w:szCs w:val="16"/>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248" w:lineRule="exact"/>
        <w:rPr>
          <w:sz w:val="24"/>
          <w:szCs w:val="24"/>
          <w:color w:val="auto"/>
        </w:rPr>
      </w:pPr>
    </w:p>
    <w:p>
      <w:pPr>
        <w:jc w:val="both"/>
        <w:spacing w:after="0" w:line="25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p>
      <w:pPr>
        <w:jc w:val="center"/>
        <w:spacing w:after="0" w:line="184" w:lineRule="exact"/>
        <w:tabs>
          <w:tab w:leader="none" w:pos="340" w:val="left"/>
          <w:tab w:leader="none" w:pos="340" w:val="left"/>
          <w:tab w:leader="none" w:pos="200" w:val="left"/>
        </w:tabs>
        <w:rPr>
          <w:sz w:val="20"/>
          <w:szCs w:val="20"/>
          <w:color w:val="auto"/>
        </w:rPr>
      </w:pPr>
      <w:r>
        <w:rPr>
          <w:rFonts w:ascii="Arial" w:cs="Arial" w:eastAsia="Arial" w:hAnsi="Arial"/>
          <w:sz w:val="16"/>
          <w:szCs w:val="16"/>
          <w:color w:val="auto"/>
        </w:rPr>
        <w:t>Large Accelerated Filer</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Accelerated Filer</w:t>
      </w:r>
      <w:r>
        <w:rPr>
          <w:rFonts w:ascii="MS PGothic" w:cs="MS PGothic" w:eastAsia="MS PGothic" w:hAnsi="MS PGothic"/>
          <w:sz w:val="16"/>
          <w:szCs w:val="16"/>
          <w:color w:val="auto"/>
        </w:rPr>
        <w:tab/>
        <w:t xml:space="preserve">☐  </w:t>
      </w:r>
      <w:r>
        <w:rPr>
          <w:rFonts w:ascii="Arial" w:cs="Arial" w:eastAsia="Arial" w:hAnsi="Arial"/>
          <w:sz w:val="16"/>
          <w:szCs w:val="16"/>
          <w:color w:val="auto"/>
        </w:rPr>
        <w:t>Non-Accelerated Filer</w:t>
      </w:r>
      <w:r>
        <w:rPr>
          <w:sz w:val="20"/>
          <w:szCs w:val="20"/>
          <w:color w:val="auto"/>
        </w:rPr>
        <w:tab/>
      </w:r>
      <w:r>
        <w:rPr>
          <w:rFonts w:ascii="MS PGothic" w:cs="MS PGothic" w:eastAsia="MS PGothic" w:hAnsi="MS PGothic"/>
          <w:sz w:val="14"/>
          <w:szCs w:val="14"/>
          <w:color w:val="auto"/>
        </w:rPr>
        <w:t>☐</w:t>
      </w:r>
    </w:p>
    <w:p>
      <w:pPr>
        <w:spacing w:after="0" w:line="6" w:lineRule="exact"/>
        <w:rPr>
          <w:sz w:val="24"/>
          <w:szCs w:val="24"/>
          <w:color w:val="auto"/>
        </w:rPr>
      </w:pPr>
    </w:p>
    <w:p>
      <w:pPr>
        <w:jc w:val="center"/>
        <w:spacing w:after="0" w:line="184" w:lineRule="exact"/>
        <w:tabs>
          <w:tab w:leader="none" w:pos="160" w:val="left"/>
        </w:tabs>
        <w:rPr>
          <w:sz w:val="20"/>
          <w:szCs w:val="20"/>
          <w:color w:val="auto"/>
        </w:rPr>
      </w:pPr>
      <w:r>
        <w:rPr>
          <w:rFonts w:ascii="Arial" w:cs="Arial" w:eastAsia="Arial" w:hAnsi="Arial"/>
          <w:sz w:val="16"/>
          <w:szCs w:val="16"/>
          <w:color w:val="auto"/>
        </w:rPr>
        <w:t>Smaller Reporting Company</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Emerging Growth Company</w:t>
      </w:r>
      <w:r>
        <w:rPr>
          <w:rFonts w:ascii="MS PGothic" w:cs="MS PGothic" w:eastAsia="MS PGothic" w:hAnsi="MS PGothic"/>
          <w:sz w:val="16"/>
          <w:szCs w:val="16"/>
          <w:color w:val="auto"/>
        </w:rPr>
        <w:t xml:space="preserve">  ☐</w:t>
      </w:r>
    </w:p>
    <w:p>
      <w:pPr>
        <w:spacing w:after="0" w:line="20" w:lineRule="exact"/>
        <w:rPr>
          <w:sz w:val="24"/>
          <w:szCs w:val="24"/>
          <w:color w:val="auto"/>
        </w:rPr>
      </w:pPr>
    </w:p>
    <w:p>
      <w:pPr>
        <w:jc w:val="both"/>
        <w:spacing w:after="0" w:line="241"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72"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11" w:lineRule="exact"/>
        <w:rPr>
          <w:sz w:val="24"/>
          <w:szCs w:val="24"/>
          <w:color w:val="auto"/>
        </w:rPr>
      </w:pPr>
    </w:p>
    <w:p>
      <w:pPr>
        <w:ind w:left="200" w:hanging="193"/>
        <w:spacing w:after="0" w:line="184" w:lineRule="exact"/>
        <w:tabs>
          <w:tab w:leader="none" w:pos="20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248" w:lineRule="exact"/>
        <w:rPr>
          <w:sz w:val="24"/>
          <w:szCs w:val="24"/>
          <w:color w:val="auto"/>
        </w:rPr>
      </w:pPr>
    </w:p>
    <w:p>
      <w:pPr>
        <w:spacing w:after="0"/>
        <w:rPr>
          <w:sz w:val="20"/>
          <w:szCs w:val="20"/>
          <w:color w:val="auto"/>
        </w:rPr>
      </w:pPr>
      <w:r>
        <w:rPr>
          <w:rFonts w:ascii="Arial" w:cs="Arial" w:eastAsia="Arial" w:hAnsi="Arial"/>
          <w:sz w:val="16"/>
          <w:szCs w:val="16"/>
          <w:color w:val="auto"/>
        </w:rPr>
        <w:t>Indicate the number of shares outstanding of each of the issuer’s classes of common stock, as of the latest practicable date.</w:t>
      </w:r>
    </w:p>
    <w:p>
      <w:pPr>
        <w:spacing w:after="0" w:line="43" w:lineRule="exact"/>
        <w:rPr>
          <w:sz w:val="24"/>
          <w:szCs w:val="24"/>
          <w:color w:val="auto"/>
        </w:rPr>
      </w:pPr>
    </w:p>
    <w:tbl>
      <w:tblPr>
        <w:tblLayout w:type="fixed"/>
        <w:tblInd w:w="0" w:type="dxa"/>
        <w:tblCellMar>
          <w:top w:w="0" w:type="dxa"/>
          <w:left w:w="0" w:type="dxa"/>
          <w:bottom w:w="0" w:type="dxa"/>
          <w:right w:w="0" w:type="dxa"/>
        </w:tblCellMar>
      </w:tblPr>
      <w:tr>
        <w:trPr>
          <w:trHeight w:val="248"/>
        </w:trPr>
        <w:tc>
          <w:tcPr>
            <w:tcW w:w="560" w:type="dxa"/>
            <w:vAlign w:val="bottom"/>
          </w:tcPr>
          <w:p>
            <w:pPr>
              <w:spacing w:after="0"/>
              <w:rPr>
                <w:sz w:val="21"/>
                <w:szCs w:val="21"/>
                <w:color w:val="auto"/>
              </w:rPr>
            </w:pPr>
          </w:p>
        </w:tc>
        <w:tc>
          <w:tcPr>
            <w:tcW w:w="37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Class</w:t>
            </w:r>
          </w:p>
        </w:tc>
        <w:tc>
          <w:tcPr>
            <w:tcW w:w="2260" w:type="dxa"/>
            <w:vAlign w:val="bottom"/>
          </w:tcPr>
          <w:p>
            <w:pPr>
              <w:spacing w:after="0"/>
              <w:rPr>
                <w:sz w:val="21"/>
                <w:szCs w:val="21"/>
                <w:color w:val="auto"/>
              </w:rPr>
            </w:pPr>
          </w:p>
        </w:tc>
        <w:tc>
          <w:tcPr>
            <w:tcW w:w="37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Outstanding as of June 30, 2023</w:t>
            </w: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4"/>
        </w:trPr>
        <w:tc>
          <w:tcPr>
            <w:tcW w:w="560" w:type="dxa"/>
            <w:vAlign w:val="bottom"/>
          </w:tcPr>
          <w:p>
            <w:pPr>
              <w:spacing w:after="0"/>
              <w:rPr>
                <w:sz w:val="17"/>
                <w:szCs w:val="17"/>
                <w:color w:val="auto"/>
              </w:rPr>
            </w:pPr>
          </w:p>
        </w:tc>
        <w:tc>
          <w:tcPr>
            <w:tcW w:w="3740" w:type="dxa"/>
            <w:vAlign w:val="bottom"/>
          </w:tcPr>
          <w:p>
            <w:pPr>
              <w:jc w:val="center"/>
              <w:spacing w:after="0"/>
              <w:rPr>
                <w:sz w:val="20"/>
                <w:szCs w:val="20"/>
                <w:color w:val="auto"/>
              </w:rPr>
            </w:pPr>
            <w:r>
              <w:rPr>
                <w:rFonts w:ascii="Arial" w:cs="Arial" w:eastAsia="Arial" w:hAnsi="Arial"/>
                <w:sz w:val="16"/>
                <w:szCs w:val="16"/>
                <w:color w:val="auto"/>
                <w:w w:val="99"/>
              </w:rPr>
              <w:t>Common Stock, $0.20 par value</w:t>
            </w:r>
          </w:p>
        </w:tc>
        <w:tc>
          <w:tcPr>
            <w:tcW w:w="6000" w:type="dxa"/>
            <w:vAlign w:val="bottom"/>
            <w:gridSpan w:val="2"/>
            <w:vMerge w:val="restart"/>
          </w:tcPr>
          <w:p>
            <w:pPr>
              <w:jc w:val="right"/>
              <w:ind w:right="1340"/>
              <w:spacing w:after="0"/>
              <w:rPr>
                <w:sz w:val="20"/>
                <w:szCs w:val="20"/>
                <w:color w:val="auto"/>
              </w:rPr>
            </w:pPr>
            <w:r>
              <w:rPr>
                <w:rFonts w:ascii="Arial" w:cs="Arial" w:eastAsia="Arial" w:hAnsi="Arial"/>
                <w:sz w:val="16"/>
                <w:szCs w:val="16"/>
                <w:color w:val="auto"/>
              </w:rPr>
              <w:t>884,681,888</w:t>
            </w: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
        </w:trPr>
        <w:tc>
          <w:tcPr>
            <w:tcW w:w="560" w:type="dxa"/>
            <w:vAlign w:val="bottom"/>
          </w:tcPr>
          <w:p>
            <w:pPr>
              <w:spacing w:after="0"/>
              <w:rPr>
                <w:sz w:val="4"/>
                <w:szCs w:val="4"/>
                <w:color w:val="auto"/>
              </w:rPr>
            </w:pPr>
          </w:p>
        </w:tc>
        <w:tc>
          <w:tcPr>
            <w:tcW w:w="3740" w:type="dxa"/>
            <w:vAlign w:val="bottom"/>
          </w:tcPr>
          <w:p>
            <w:pPr>
              <w:spacing w:after="0"/>
              <w:rPr>
                <w:sz w:val="4"/>
                <w:szCs w:val="4"/>
                <w:color w:val="auto"/>
              </w:rPr>
            </w:pPr>
          </w:p>
        </w:tc>
        <w:tc>
          <w:tcPr>
            <w:tcW w:w="6000" w:type="dxa"/>
            <w:vAlign w:val="bottom"/>
            <w:gridSpan w:val="2"/>
            <w:vMerge w:val="continue"/>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33"/>
        </w:trPr>
        <w:tc>
          <w:tcPr>
            <w:tcW w:w="560" w:type="dxa"/>
            <w:vAlign w:val="bottom"/>
            <w:tcBorders>
              <w:bottom w:val="single" w:sz="8" w:color="9A9A9A"/>
            </w:tcBorders>
          </w:tcPr>
          <w:p>
            <w:pPr>
              <w:spacing w:after="0"/>
              <w:rPr>
                <w:sz w:val="24"/>
                <w:szCs w:val="24"/>
                <w:color w:val="auto"/>
              </w:rPr>
            </w:pPr>
          </w:p>
        </w:tc>
        <w:tc>
          <w:tcPr>
            <w:tcW w:w="3740" w:type="dxa"/>
            <w:vAlign w:val="bottom"/>
            <w:tcBorders>
              <w:bottom w:val="single" w:sz="8" w:color="9A9A9A"/>
            </w:tcBorders>
          </w:tcPr>
          <w:p>
            <w:pPr>
              <w:spacing w:after="0"/>
              <w:rPr>
                <w:sz w:val="24"/>
                <w:szCs w:val="24"/>
                <w:color w:val="auto"/>
              </w:rPr>
            </w:pPr>
          </w:p>
        </w:tc>
        <w:tc>
          <w:tcPr>
            <w:tcW w:w="2260" w:type="dxa"/>
            <w:vAlign w:val="bottom"/>
            <w:tcBorders>
              <w:bottom w:val="single" w:sz="8" w:color="9A9A9A"/>
            </w:tcBorders>
          </w:tcPr>
          <w:p>
            <w:pPr>
              <w:spacing w:after="0"/>
              <w:rPr>
                <w:sz w:val="24"/>
                <w:szCs w:val="24"/>
                <w:color w:val="auto"/>
              </w:rPr>
            </w:pPr>
          </w:p>
        </w:tc>
        <w:tc>
          <w:tcPr>
            <w:tcW w:w="374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878"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73"/>
        </w:trPr>
        <w:tc>
          <w:tcPr>
            <w:tcW w:w="8980" w:type="dxa"/>
            <w:vAlign w:val="bottom"/>
          </w:tcPr>
          <w:p>
            <w:pPr>
              <w:ind w:left="20"/>
              <w:spacing w:after="0"/>
              <w:rPr>
                <w:sz w:val="20"/>
                <w:szCs w:val="20"/>
                <w:color w:val="auto"/>
              </w:rPr>
            </w:pPr>
            <w:r>
              <w:rPr>
                <w:rFonts w:ascii="Arial" w:cs="Arial" w:eastAsia="Arial" w:hAnsi="Arial"/>
                <w:sz w:val="21"/>
                <w:szCs w:val="21"/>
                <w:b w:val="1"/>
                <w:bCs w:val="1"/>
                <w:color w:val="00539B"/>
              </w:rPr>
              <w:t>TABLE OF CONTENTS</w:t>
            </w:r>
          </w:p>
        </w:tc>
        <w:tc>
          <w:tcPr>
            <w:tcW w:w="840" w:type="dxa"/>
            <w:vAlign w:val="bottom"/>
          </w:tcPr>
          <w:p>
            <w:pPr>
              <w:ind w:left="140"/>
              <w:spacing w:after="0"/>
              <w:rPr>
                <w:sz w:val="20"/>
                <w:szCs w:val="20"/>
                <w:color w:val="auto"/>
              </w:rPr>
            </w:pPr>
            <w:r>
              <w:rPr>
                <w:rFonts w:ascii="Arial" w:cs="Arial" w:eastAsia="Arial" w:hAnsi="Arial"/>
                <w:sz w:val="21"/>
                <w:szCs w:val="21"/>
                <w:b w:val="1"/>
                <w:bCs w:val="1"/>
                <w:color w:val="00539B"/>
              </w:rPr>
              <w:t>PAGE</w:t>
            </w:r>
          </w:p>
        </w:tc>
      </w:tr>
      <w:tr>
        <w:trPr>
          <w:trHeight w:val="246"/>
        </w:trPr>
        <w:tc>
          <w:tcPr>
            <w:tcW w:w="8980" w:type="dxa"/>
            <w:vAlign w:val="bottom"/>
            <w:tcBorders>
              <w:bottom w:val="single" w:sz="8" w:color="00539B"/>
            </w:tcBorders>
          </w:tcPr>
          <w:p>
            <w:pPr>
              <w:ind w:left="20"/>
              <w:spacing w:after="0"/>
              <w:rPr>
                <w:sz w:val="20"/>
                <w:szCs w:val="20"/>
                <w:color w:val="auto"/>
              </w:rPr>
            </w:pPr>
            <w:r>
              <w:rPr>
                <w:rFonts w:ascii="Arial" w:cs="Arial" w:eastAsia="Arial" w:hAnsi="Arial"/>
                <w:sz w:val="17"/>
                <w:szCs w:val="17"/>
                <w:b w:val="1"/>
                <w:bCs w:val="1"/>
                <w:color w:val="auto"/>
              </w:rPr>
              <w:t>Part I - Financial Information</w:t>
            </w:r>
          </w:p>
        </w:tc>
        <w:tc>
          <w:tcPr>
            <w:tcW w:w="840" w:type="dxa"/>
            <w:vAlign w:val="bottom"/>
            <w:tcBorders>
              <w:bottom w:val="single" w:sz="8" w:color="00539B"/>
            </w:tcBorders>
          </w:tcPr>
          <w:p>
            <w:pPr>
              <w:spacing w:after="0"/>
              <w:rPr>
                <w:sz w:val="21"/>
                <w:szCs w:val="21"/>
                <w:color w:val="auto"/>
              </w:rPr>
            </w:pPr>
          </w:p>
        </w:tc>
      </w:tr>
      <w:tr>
        <w:trPr>
          <w:trHeight w:val="209"/>
        </w:trPr>
        <w:tc>
          <w:tcPr>
            <w:tcW w:w="8980" w:type="dxa"/>
            <w:vAlign w:val="bottom"/>
          </w:tcPr>
          <w:p>
            <w:pPr>
              <w:ind w:left="20"/>
              <w:spacing w:after="0"/>
              <w:rPr>
                <w:sz w:val="20"/>
                <w:szCs w:val="20"/>
                <w:color w:val="auto"/>
              </w:rPr>
            </w:pPr>
            <w:r>
              <w:rPr>
                <w:rFonts w:ascii="Arial" w:cs="Arial" w:eastAsia="Arial" w:hAnsi="Arial"/>
                <w:sz w:val="17"/>
                <w:szCs w:val="17"/>
                <w:b w:val="1"/>
                <w:bCs w:val="1"/>
                <w:color w:val="auto"/>
              </w:rPr>
              <w:t>Item 1. Financial Statements (unaudited)</w:t>
            </w:r>
          </w:p>
        </w:tc>
        <w:tc>
          <w:tcPr>
            <w:tcW w:w="840" w:type="dxa"/>
            <w:vAlign w:val="bottom"/>
          </w:tcPr>
          <w:p>
            <w:pPr>
              <w:spacing w:after="0"/>
              <w:rPr>
                <w:sz w:val="18"/>
                <w:szCs w:val="18"/>
                <w:color w:val="auto"/>
              </w:rPr>
            </w:pPr>
          </w:p>
        </w:tc>
      </w:tr>
      <w:tr>
        <w:trPr>
          <w:trHeight w:val="215"/>
        </w:trPr>
        <w:tc>
          <w:tcPr>
            <w:tcW w:w="8980" w:type="dxa"/>
            <w:vAlign w:val="bottom"/>
          </w:tcPr>
          <w:p>
            <w:pPr>
              <w:ind w:left="400"/>
              <w:spacing w:after="0"/>
              <w:rPr>
                <w:sz w:val="20"/>
                <w:szCs w:val="20"/>
                <w:color w:val="auto"/>
              </w:rPr>
            </w:pPr>
            <w:r>
              <w:rPr>
                <w:rFonts w:ascii="Arial" w:cs="Arial" w:eastAsia="Arial" w:hAnsi="Arial"/>
                <w:sz w:val="17"/>
                <w:szCs w:val="17"/>
                <w:color w:val="auto"/>
              </w:rPr>
              <w:t>Consolidated Condensed Balance Sheets — June 30, 2023 and December 31, 2022</w:t>
            </w:r>
          </w:p>
        </w:tc>
        <w:tc>
          <w:tcPr>
            <w:tcW w:w="840" w:type="dxa"/>
            <w:vAlign w:val="bottom"/>
          </w:tcPr>
          <w:p>
            <w:pPr>
              <w:jc w:val="center"/>
              <w:spacing w:after="0"/>
              <w:rPr>
                <w:sz w:val="20"/>
                <w:szCs w:val="20"/>
                <w:color w:val="auto"/>
              </w:rPr>
            </w:pPr>
            <w:r>
              <w:rPr>
                <w:rFonts w:ascii="Arial" w:cs="Arial" w:eastAsia="Arial" w:hAnsi="Arial"/>
                <w:sz w:val="17"/>
                <w:szCs w:val="17"/>
                <w:color w:val="auto"/>
              </w:rPr>
              <w:t>3</w:t>
            </w:r>
          </w:p>
        </w:tc>
      </w:tr>
      <w:tr>
        <w:trPr>
          <w:trHeight w:val="227"/>
        </w:trPr>
        <w:tc>
          <w:tcPr>
            <w:tcW w:w="8980" w:type="dxa"/>
            <w:vAlign w:val="bottom"/>
          </w:tcPr>
          <w:p>
            <w:pPr>
              <w:ind w:left="400"/>
              <w:spacing w:after="0"/>
              <w:rPr>
                <w:sz w:val="20"/>
                <w:szCs w:val="20"/>
                <w:color w:val="auto"/>
              </w:rPr>
            </w:pPr>
            <w:r>
              <w:rPr>
                <w:rFonts w:ascii="Arial" w:cs="Arial" w:eastAsia="Arial" w:hAnsi="Arial"/>
                <w:sz w:val="17"/>
                <w:szCs w:val="17"/>
                <w:color w:val="auto"/>
              </w:rPr>
              <w:t>Consolidated Condensed Statements of Operations — Three and six months ended June 30, 2023 and 2022</w:t>
            </w:r>
          </w:p>
        </w:tc>
        <w:tc>
          <w:tcPr>
            <w:tcW w:w="840" w:type="dxa"/>
            <w:vAlign w:val="bottom"/>
          </w:tcPr>
          <w:p>
            <w:pPr>
              <w:jc w:val="center"/>
              <w:spacing w:after="0"/>
              <w:rPr>
                <w:sz w:val="20"/>
                <w:szCs w:val="20"/>
                <w:color w:val="auto"/>
              </w:rPr>
            </w:pPr>
            <w:r>
              <w:rPr>
                <w:rFonts w:ascii="Arial" w:cs="Arial" w:eastAsia="Arial" w:hAnsi="Arial"/>
                <w:sz w:val="17"/>
                <w:szCs w:val="17"/>
                <w:color w:val="auto"/>
              </w:rPr>
              <w:t>5</w:t>
            </w:r>
          </w:p>
        </w:tc>
      </w:tr>
      <w:tr>
        <w:trPr>
          <w:trHeight w:val="177"/>
        </w:trPr>
        <w:tc>
          <w:tcPr>
            <w:tcW w:w="8980" w:type="dxa"/>
            <w:vAlign w:val="bottom"/>
          </w:tcPr>
          <w:p>
            <w:pPr>
              <w:ind w:left="400"/>
              <w:spacing w:after="0" w:line="177" w:lineRule="exact"/>
              <w:rPr>
                <w:sz w:val="20"/>
                <w:szCs w:val="20"/>
                <w:color w:val="auto"/>
              </w:rPr>
            </w:pPr>
            <w:r>
              <w:rPr>
                <w:rFonts w:ascii="Arial" w:cs="Arial" w:eastAsia="Arial" w:hAnsi="Arial"/>
                <w:sz w:val="17"/>
                <w:szCs w:val="17"/>
                <w:color w:val="auto"/>
              </w:rPr>
              <w:t>Consolidated Condensed Statements of Comprehensive Income (Loss) — Three and six months ended June 30,</w:t>
            </w:r>
          </w:p>
        </w:tc>
        <w:tc>
          <w:tcPr>
            <w:tcW w:w="840" w:type="dxa"/>
            <w:vAlign w:val="bottom"/>
          </w:tcPr>
          <w:p>
            <w:pPr>
              <w:jc w:val="center"/>
              <w:spacing w:after="0" w:line="177" w:lineRule="exact"/>
              <w:rPr>
                <w:sz w:val="20"/>
                <w:szCs w:val="20"/>
                <w:color w:val="auto"/>
              </w:rPr>
            </w:pPr>
            <w:r>
              <w:rPr>
                <w:rFonts w:ascii="Arial" w:cs="Arial" w:eastAsia="Arial" w:hAnsi="Arial"/>
                <w:sz w:val="17"/>
                <w:szCs w:val="17"/>
                <w:color w:val="auto"/>
              </w:rPr>
              <w:t>6</w:t>
            </w:r>
          </w:p>
        </w:tc>
      </w:tr>
      <w:tr>
        <w:trPr>
          <w:trHeight w:val="215"/>
        </w:trPr>
        <w:tc>
          <w:tcPr>
            <w:tcW w:w="8980" w:type="dxa"/>
            <w:vAlign w:val="bottom"/>
          </w:tcPr>
          <w:p>
            <w:pPr>
              <w:ind w:left="640"/>
              <w:spacing w:after="0"/>
              <w:rPr>
                <w:sz w:val="20"/>
                <w:szCs w:val="20"/>
                <w:color w:val="auto"/>
              </w:rPr>
            </w:pPr>
            <w:r>
              <w:rPr>
                <w:rFonts w:ascii="Arial" w:cs="Arial" w:eastAsia="Arial" w:hAnsi="Arial"/>
                <w:sz w:val="17"/>
                <w:szCs w:val="17"/>
                <w:color w:val="auto"/>
              </w:rPr>
              <w:t>2023 and 2022</w:t>
            </w:r>
          </w:p>
        </w:tc>
        <w:tc>
          <w:tcPr>
            <w:tcW w:w="840" w:type="dxa"/>
            <w:vAlign w:val="bottom"/>
          </w:tcPr>
          <w:p>
            <w:pPr>
              <w:spacing w:after="0"/>
              <w:rPr>
                <w:sz w:val="18"/>
                <w:szCs w:val="18"/>
                <w:color w:val="auto"/>
              </w:rPr>
            </w:pPr>
          </w:p>
        </w:tc>
      </w:tr>
      <w:tr>
        <w:trPr>
          <w:trHeight w:val="222"/>
        </w:trPr>
        <w:tc>
          <w:tcPr>
            <w:tcW w:w="8980" w:type="dxa"/>
            <w:vAlign w:val="bottom"/>
          </w:tcPr>
          <w:p>
            <w:pPr>
              <w:ind w:left="400"/>
              <w:spacing w:after="0"/>
              <w:rPr>
                <w:sz w:val="20"/>
                <w:szCs w:val="20"/>
                <w:color w:val="auto"/>
              </w:rPr>
            </w:pPr>
            <w:r>
              <w:rPr>
                <w:rFonts w:ascii="Arial" w:cs="Arial" w:eastAsia="Arial" w:hAnsi="Arial"/>
                <w:sz w:val="17"/>
                <w:szCs w:val="17"/>
                <w:color w:val="auto"/>
              </w:rPr>
              <w:t>Consolidated Condensed Statements of Cash Flows — Six months ended June 30, 2023 and 2022</w:t>
            </w:r>
          </w:p>
        </w:tc>
        <w:tc>
          <w:tcPr>
            <w:tcW w:w="840" w:type="dxa"/>
            <w:vAlign w:val="bottom"/>
          </w:tcPr>
          <w:p>
            <w:pPr>
              <w:jc w:val="center"/>
              <w:spacing w:after="0"/>
              <w:rPr>
                <w:sz w:val="20"/>
                <w:szCs w:val="20"/>
                <w:color w:val="auto"/>
              </w:rPr>
            </w:pPr>
            <w:r>
              <w:rPr>
                <w:rFonts w:ascii="Arial" w:cs="Arial" w:eastAsia="Arial" w:hAnsi="Arial"/>
                <w:sz w:val="17"/>
                <w:szCs w:val="17"/>
                <w:color w:val="auto"/>
              </w:rPr>
              <w:t>7</w:t>
            </w:r>
          </w:p>
        </w:tc>
      </w:tr>
      <w:tr>
        <w:trPr>
          <w:trHeight w:val="225"/>
        </w:trPr>
        <w:tc>
          <w:tcPr>
            <w:tcW w:w="8980" w:type="dxa"/>
            <w:vAlign w:val="bottom"/>
          </w:tcPr>
          <w:p>
            <w:pPr>
              <w:ind w:left="400"/>
              <w:spacing w:after="0"/>
              <w:rPr>
                <w:sz w:val="20"/>
                <w:szCs w:val="20"/>
                <w:color w:val="auto"/>
              </w:rPr>
            </w:pPr>
            <w:r>
              <w:rPr>
                <w:rFonts w:ascii="Arial" w:cs="Arial" w:eastAsia="Arial" w:hAnsi="Arial"/>
                <w:sz w:val="17"/>
                <w:szCs w:val="17"/>
                <w:color w:val="auto"/>
              </w:rPr>
              <w:t>Consolidated Condensed Statements of Equity — Three and six months ended June 30, 2023 and 2022</w:t>
            </w:r>
          </w:p>
        </w:tc>
        <w:tc>
          <w:tcPr>
            <w:tcW w:w="840" w:type="dxa"/>
            <w:vAlign w:val="bottom"/>
          </w:tcPr>
          <w:p>
            <w:pPr>
              <w:jc w:val="center"/>
              <w:spacing w:after="0"/>
              <w:rPr>
                <w:sz w:val="20"/>
                <w:szCs w:val="20"/>
                <w:color w:val="auto"/>
              </w:rPr>
            </w:pPr>
            <w:r>
              <w:rPr>
                <w:rFonts w:ascii="Arial" w:cs="Arial" w:eastAsia="Arial" w:hAnsi="Arial"/>
                <w:sz w:val="17"/>
                <w:szCs w:val="17"/>
                <w:color w:val="auto"/>
              </w:rPr>
              <w:t>8</w:t>
            </w:r>
          </w:p>
        </w:tc>
      </w:tr>
      <w:tr>
        <w:trPr>
          <w:trHeight w:val="215"/>
        </w:trPr>
        <w:tc>
          <w:tcPr>
            <w:tcW w:w="8980" w:type="dxa"/>
            <w:vAlign w:val="bottom"/>
          </w:tcPr>
          <w:p>
            <w:pPr>
              <w:ind w:left="400"/>
              <w:spacing w:after="0"/>
              <w:rPr>
                <w:sz w:val="20"/>
                <w:szCs w:val="20"/>
                <w:color w:val="auto"/>
              </w:rPr>
            </w:pPr>
            <w:r>
              <w:rPr>
                <w:rFonts w:ascii="Arial" w:cs="Arial" w:eastAsia="Arial" w:hAnsi="Arial"/>
                <w:sz w:val="17"/>
                <w:szCs w:val="17"/>
                <w:color w:val="auto"/>
              </w:rPr>
              <w:t>Notes to Consolidated Condensed Financial Statements</w:t>
            </w:r>
          </w:p>
        </w:tc>
        <w:tc>
          <w:tcPr>
            <w:tcW w:w="840" w:type="dxa"/>
            <w:vAlign w:val="bottom"/>
          </w:tcPr>
          <w:p>
            <w:pPr>
              <w:spacing w:after="0"/>
              <w:rPr>
                <w:sz w:val="18"/>
                <w:szCs w:val="18"/>
                <w:color w:val="auto"/>
              </w:rPr>
            </w:pPr>
          </w:p>
        </w:tc>
      </w:tr>
      <w:tr>
        <w:trPr>
          <w:trHeight w:val="227"/>
        </w:trPr>
        <w:tc>
          <w:tcPr>
            <w:tcW w:w="8980" w:type="dxa"/>
            <w:vAlign w:val="bottom"/>
          </w:tcPr>
          <w:p>
            <w:pPr>
              <w:ind w:left="600"/>
              <w:spacing w:after="0"/>
              <w:rPr>
                <w:sz w:val="20"/>
                <w:szCs w:val="20"/>
                <w:color w:val="auto"/>
              </w:rPr>
            </w:pPr>
            <w:r>
              <w:rPr>
                <w:rFonts w:ascii="Arial" w:cs="Arial" w:eastAsia="Arial" w:hAnsi="Arial"/>
                <w:sz w:val="17"/>
                <w:szCs w:val="17"/>
                <w:color w:val="auto"/>
              </w:rPr>
              <w:t>Note 1—General</w:t>
            </w:r>
          </w:p>
        </w:tc>
        <w:tc>
          <w:tcPr>
            <w:tcW w:w="840" w:type="dxa"/>
            <w:vAlign w:val="bottom"/>
          </w:tcPr>
          <w:p>
            <w:pPr>
              <w:jc w:val="center"/>
              <w:spacing w:after="0"/>
              <w:rPr>
                <w:sz w:val="20"/>
                <w:szCs w:val="20"/>
                <w:color w:val="auto"/>
              </w:rPr>
            </w:pPr>
            <w:r>
              <w:rPr>
                <w:rFonts w:ascii="Arial" w:cs="Arial" w:eastAsia="Arial" w:hAnsi="Arial"/>
                <w:sz w:val="17"/>
                <w:szCs w:val="17"/>
                <w:color w:val="auto"/>
                <w:w w:val="94"/>
              </w:rPr>
              <w:t>10</w:t>
            </w:r>
          </w:p>
        </w:tc>
      </w:tr>
      <w:tr>
        <w:trPr>
          <w:trHeight w:val="225"/>
        </w:trPr>
        <w:tc>
          <w:tcPr>
            <w:tcW w:w="8980" w:type="dxa"/>
            <w:vAlign w:val="bottom"/>
          </w:tcPr>
          <w:p>
            <w:pPr>
              <w:ind w:left="600"/>
              <w:spacing w:after="0"/>
              <w:rPr>
                <w:sz w:val="20"/>
                <w:szCs w:val="20"/>
                <w:color w:val="auto"/>
              </w:rPr>
            </w:pPr>
            <w:r>
              <w:rPr>
                <w:rFonts w:ascii="Arial" w:cs="Arial" w:eastAsia="Arial" w:hAnsi="Arial"/>
                <w:sz w:val="17"/>
                <w:szCs w:val="17"/>
                <w:color w:val="auto"/>
              </w:rPr>
              <w:t>Note 2—Revenue</w:t>
            </w:r>
          </w:p>
        </w:tc>
        <w:tc>
          <w:tcPr>
            <w:tcW w:w="840" w:type="dxa"/>
            <w:vAlign w:val="bottom"/>
          </w:tcPr>
          <w:p>
            <w:pPr>
              <w:jc w:val="center"/>
              <w:spacing w:after="0"/>
              <w:rPr>
                <w:sz w:val="20"/>
                <w:szCs w:val="20"/>
                <w:color w:val="auto"/>
              </w:rPr>
            </w:pPr>
            <w:r>
              <w:rPr>
                <w:rFonts w:ascii="Arial" w:cs="Arial" w:eastAsia="Arial" w:hAnsi="Arial"/>
                <w:sz w:val="17"/>
                <w:szCs w:val="17"/>
                <w:color w:val="auto"/>
                <w:w w:val="94"/>
              </w:rPr>
              <w:t>11</w:t>
            </w:r>
          </w:p>
        </w:tc>
      </w:tr>
      <w:tr>
        <w:trPr>
          <w:trHeight w:val="215"/>
        </w:trPr>
        <w:tc>
          <w:tcPr>
            <w:tcW w:w="8980" w:type="dxa"/>
            <w:vAlign w:val="bottom"/>
          </w:tcPr>
          <w:p>
            <w:pPr>
              <w:ind w:left="600"/>
              <w:spacing w:after="0"/>
              <w:rPr>
                <w:sz w:val="20"/>
                <w:szCs w:val="20"/>
                <w:color w:val="auto"/>
              </w:rPr>
            </w:pPr>
            <w:r>
              <w:rPr>
                <w:rFonts w:ascii="Arial" w:cs="Arial" w:eastAsia="Arial" w:hAnsi="Arial"/>
                <w:sz w:val="17"/>
                <w:szCs w:val="17"/>
                <w:color w:val="auto"/>
              </w:rPr>
              <w:t>Note 3—Inventories</w:t>
            </w:r>
          </w:p>
        </w:tc>
        <w:tc>
          <w:tcPr>
            <w:tcW w:w="840" w:type="dxa"/>
            <w:vAlign w:val="bottom"/>
          </w:tcPr>
          <w:p>
            <w:pPr>
              <w:jc w:val="center"/>
              <w:spacing w:after="0"/>
              <w:rPr>
                <w:sz w:val="20"/>
                <w:szCs w:val="20"/>
                <w:color w:val="auto"/>
              </w:rPr>
            </w:pPr>
            <w:r>
              <w:rPr>
                <w:rFonts w:ascii="Arial" w:cs="Arial" w:eastAsia="Arial" w:hAnsi="Arial"/>
                <w:sz w:val="17"/>
                <w:szCs w:val="17"/>
                <w:color w:val="auto"/>
                <w:w w:val="94"/>
              </w:rPr>
              <w:t>12</w:t>
            </w:r>
          </w:p>
        </w:tc>
      </w:tr>
      <w:tr>
        <w:trPr>
          <w:trHeight w:val="227"/>
        </w:trPr>
        <w:tc>
          <w:tcPr>
            <w:tcW w:w="8980" w:type="dxa"/>
            <w:vAlign w:val="bottom"/>
          </w:tcPr>
          <w:p>
            <w:pPr>
              <w:ind w:left="600"/>
              <w:spacing w:after="0"/>
              <w:rPr>
                <w:sz w:val="20"/>
                <w:szCs w:val="20"/>
                <w:color w:val="auto"/>
              </w:rPr>
            </w:pPr>
            <w:r>
              <w:rPr>
                <w:rFonts w:ascii="Arial" w:cs="Arial" w:eastAsia="Arial" w:hAnsi="Arial"/>
                <w:sz w:val="17"/>
                <w:szCs w:val="17"/>
                <w:color w:val="auto"/>
              </w:rPr>
              <w:t>Note 4—Long-Term Debt</w:t>
            </w:r>
          </w:p>
        </w:tc>
        <w:tc>
          <w:tcPr>
            <w:tcW w:w="840" w:type="dxa"/>
            <w:vAlign w:val="bottom"/>
          </w:tcPr>
          <w:p>
            <w:pPr>
              <w:jc w:val="center"/>
              <w:spacing w:after="0"/>
              <w:rPr>
                <w:sz w:val="20"/>
                <w:szCs w:val="20"/>
                <w:color w:val="auto"/>
              </w:rPr>
            </w:pPr>
            <w:r>
              <w:rPr>
                <w:rFonts w:ascii="Arial" w:cs="Arial" w:eastAsia="Arial" w:hAnsi="Arial"/>
                <w:sz w:val="17"/>
                <w:szCs w:val="17"/>
                <w:color w:val="auto"/>
                <w:w w:val="94"/>
              </w:rPr>
              <w:t>13</w:t>
            </w:r>
          </w:p>
        </w:tc>
      </w:tr>
      <w:tr>
        <w:trPr>
          <w:trHeight w:val="225"/>
        </w:trPr>
        <w:tc>
          <w:tcPr>
            <w:tcW w:w="8980" w:type="dxa"/>
            <w:vAlign w:val="bottom"/>
          </w:tcPr>
          <w:p>
            <w:pPr>
              <w:ind w:left="600"/>
              <w:spacing w:after="0"/>
              <w:rPr>
                <w:sz w:val="20"/>
                <w:szCs w:val="20"/>
                <w:color w:val="auto"/>
              </w:rPr>
            </w:pPr>
            <w:r>
              <w:rPr>
                <w:rFonts w:ascii="Arial" w:cs="Arial" w:eastAsia="Arial" w:hAnsi="Arial"/>
                <w:sz w:val="17"/>
                <w:szCs w:val="17"/>
                <w:color w:val="auto"/>
              </w:rPr>
              <w:t>Note 5—Derivatives</w:t>
            </w:r>
          </w:p>
        </w:tc>
        <w:tc>
          <w:tcPr>
            <w:tcW w:w="840" w:type="dxa"/>
            <w:vAlign w:val="bottom"/>
          </w:tcPr>
          <w:p>
            <w:pPr>
              <w:jc w:val="center"/>
              <w:spacing w:after="0"/>
              <w:rPr>
                <w:sz w:val="20"/>
                <w:szCs w:val="20"/>
                <w:color w:val="auto"/>
              </w:rPr>
            </w:pPr>
            <w:r>
              <w:rPr>
                <w:rFonts w:ascii="Arial" w:cs="Arial" w:eastAsia="Arial" w:hAnsi="Arial"/>
                <w:sz w:val="17"/>
                <w:szCs w:val="17"/>
                <w:color w:val="auto"/>
                <w:w w:val="94"/>
              </w:rPr>
              <w:t>15</w:t>
            </w:r>
          </w:p>
        </w:tc>
      </w:tr>
      <w:tr>
        <w:trPr>
          <w:trHeight w:val="215"/>
        </w:trPr>
        <w:tc>
          <w:tcPr>
            <w:tcW w:w="8980" w:type="dxa"/>
            <w:vAlign w:val="bottom"/>
          </w:tcPr>
          <w:p>
            <w:pPr>
              <w:ind w:left="600"/>
              <w:spacing w:after="0"/>
              <w:rPr>
                <w:sz w:val="20"/>
                <w:szCs w:val="20"/>
                <w:color w:val="auto"/>
              </w:rPr>
            </w:pPr>
            <w:r>
              <w:rPr>
                <w:rFonts w:ascii="Arial" w:cs="Arial" w:eastAsia="Arial" w:hAnsi="Arial"/>
                <w:sz w:val="17"/>
                <w:szCs w:val="17"/>
                <w:color w:val="auto"/>
              </w:rPr>
              <w:t>Note 6—Income Taxes</w:t>
            </w:r>
          </w:p>
        </w:tc>
        <w:tc>
          <w:tcPr>
            <w:tcW w:w="840" w:type="dxa"/>
            <w:vAlign w:val="bottom"/>
          </w:tcPr>
          <w:p>
            <w:pPr>
              <w:jc w:val="center"/>
              <w:spacing w:after="0"/>
              <w:rPr>
                <w:sz w:val="20"/>
                <w:szCs w:val="20"/>
                <w:color w:val="auto"/>
              </w:rPr>
            </w:pPr>
            <w:r>
              <w:rPr>
                <w:rFonts w:ascii="Arial" w:cs="Arial" w:eastAsia="Arial" w:hAnsi="Arial"/>
                <w:sz w:val="17"/>
                <w:szCs w:val="17"/>
                <w:color w:val="auto"/>
                <w:w w:val="94"/>
              </w:rPr>
              <w:t>17</w:t>
            </w:r>
          </w:p>
        </w:tc>
      </w:tr>
      <w:tr>
        <w:trPr>
          <w:trHeight w:val="227"/>
        </w:trPr>
        <w:tc>
          <w:tcPr>
            <w:tcW w:w="8980" w:type="dxa"/>
            <w:vAlign w:val="bottom"/>
          </w:tcPr>
          <w:p>
            <w:pPr>
              <w:ind w:left="600"/>
              <w:spacing w:after="0"/>
              <w:rPr>
                <w:sz w:val="20"/>
                <w:szCs w:val="20"/>
                <w:color w:val="auto"/>
              </w:rPr>
            </w:pPr>
            <w:r>
              <w:rPr>
                <w:rFonts w:ascii="Arial" w:cs="Arial" w:eastAsia="Arial" w:hAnsi="Arial"/>
                <w:sz w:val="17"/>
                <w:szCs w:val="17"/>
                <w:color w:val="auto"/>
              </w:rPr>
              <w:t>Note 7—Environmental Liabilities and Expenditures</w:t>
            </w:r>
          </w:p>
        </w:tc>
        <w:tc>
          <w:tcPr>
            <w:tcW w:w="840" w:type="dxa"/>
            <w:vAlign w:val="bottom"/>
          </w:tcPr>
          <w:p>
            <w:pPr>
              <w:jc w:val="center"/>
              <w:spacing w:after="0"/>
              <w:rPr>
                <w:sz w:val="20"/>
                <w:szCs w:val="20"/>
                <w:color w:val="auto"/>
              </w:rPr>
            </w:pPr>
            <w:r>
              <w:rPr>
                <w:rFonts w:ascii="Arial" w:cs="Arial" w:eastAsia="Arial" w:hAnsi="Arial"/>
                <w:sz w:val="17"/>
                <w:szCs w:val="17"/>
                <w:color w:val="auto"/>
                <w:w w:val="94"/>
              </w:rPr>
              <w:t>18</w:t>
            </w:r>
          </w:p>
        </w:tc>
      </w:tr>
      <w:tr>
        <w:trPr>
          <w:trHeight w:val="225"/>
        </w:trPr>
        <w:tc>
          <w:tcPr>
            <w:tcW w:w="8980" w:type="dxa"/>
            <w:vAlign w:val="bottom"/>
          </w:tcPr>
          <w:p>
            <w:pPr>
              <w:ind w:left="600"/>
              <w:spacing w:after="0"/>
              <w:rPr>
                <w:sz w:val="20"/>
                <w:szCs w:val="20"/>
                <w:color w:val="auto"/>
              </w:rPr>
            </w:pPr>
            <w:r>
              <w:rPr>
                <w:rFonts w:ascii="Arial" w:cs="Arial" w:eastAsia="Arial" w:hAnsi="Arial"/>
                <w:sz w:val="17"/>
                <w:szCs w:val="17"/>
                <w:color w:val="auto"/>
              </w:rPr>
              <w:t>Note 8—Lawsuits, Claims, Commitments and Contingencies</w:t>
            </w:r>
          </w:p>
        </w:tc>
        <w:tc>
          <w:tcPr>
            <w:tcW w:w="840" w:type="dxa"/>
            <w:vAlign w:val="bottom"/>
          </w:tcPr>
          <w:p>
            <w:pPr>
              <w:jc w:val="center"/>
              <w:spacing w:after="0"/>
              <w:rPr>
                <w:sz w:val="20"/>
                <w:szCs w:val="20"/>
                <w:color w:val="auto"/>
              </w:rPr>
            </w:pPr>
            <w:r>
              <w:rPr>
                <w:rFonts w:ascii="Arial" w:cs="Arial" w:eastAsia="Arial" w:hAnsi="Arial"/>
                <w:sz w:val="17"/>
                <w:szCs w:val="17"/>
                <w:color w:val="auto"/>
                <w:w w:val="94"/>
              </w:rPr>
              <w:t>20</w:t>
            </w:r>
          </w:p>
        </w:tc>
      </w:tr>
      <w:tr>
        <w:trPr>
          <w:trHeight w:val="215"/>
        </w:trPr>
        <w:tc>
          <w:tcPr>
            <w:tcW w:w="8980" w:type="dxa"/>
            <w:vAlign w:val="bottom"/>
          </w:tcPr>
          <w:p>
            <w:pPr>
              <w:ind w:left="600"/>
              <w:spacing w:after="0"/>
              <w:rPr>
                <w:sz w:val="20"/>
                <w:szCs w:val="20"/>
                <w:color w:val="auto"/>
              </w:rPr>
            </w:pPr>
            <w:r>
              <w:rPr>
                <w:rFonts w:ascii="Arial" w:cs="Arial" w:eastAsia="Arial" w:hAnsi="Arial"/>
                <w:sz w:val="17"/>
                <w:szCs w:val="17"/>
                <w:color w:val="auto"/>
              </w:rPr>
              <w:t>Note 9—Earnings per Share and Stockholders' Equity</w:t>
            </w:r>
          </w:p>
        </w:tc>
        <w:tc>
          <w:tcPr>
            <w:tcW w:w="840" w:type="dxa"/>
            <w:vAlign w:val="bottom"/>
          </w:tcPr>
          <w:p>
            <w:pPr>
              <w:jc w:val="center"/>
              <w:spacing w:after="0"/>
              <w:rPr>
                <w:sz w:val="20"/>
                <w:szCs w:val="20"/>
                <w:color w:val="auto"/>
              </w:rPr>
            </w:pPr>
            <w:r>
              <w:rPr>
                <w:rFonts w:ascii="Arial" w:cs="Arial" w:eastAsia="Arial" w:hAnsi="Arial"/>
                <w:sz w:val="17"/>
                <w:szCs w:val="17"/>
                <w:color w:val="auto"/>
                <w:w w:val="94"/>
              </w:rPr>
              <w:t>23</w:t>
            </w:r>
          </w:p>
        </w:tc>
      </w:tr>
      <w:tr>
        <w:trPr>
          <w:trHeight w:val="217"/>
        </w:trPr>
        <w:tc>
          <w:tcPr>
            <w:tcW w:w="8980" w:type="dxa"/>
            <w:vAlign w:val="bottom"/>
          </w:tcPr>
          <w:p>
            <w:pPr>
              <w:ind w:left="600"/>
              <w:spacing w:after="0"/>
              <w:rPr>
                <w:sz w:val="20"/>
                <w:szCs w:val="20"/>
                <w:color w:val="auto"/>
              </w:rPr>
            </w:pPr>
            <w:r>
              <w:rPr>
                <w:rFonts w:ascii="Arial" w:cs="Arial" w:eastAsia="Arial" w:hAnsi="Arial"/>
                <w:sz w:val="17"/>
                <w:szCs w:val="17"/>
                <w:color w:val="auto"/>
              </w:rPr>
              <w:t>Note 10—Segments</w:t>
            </w:r>
          </w:p>
        </w:tc>
        <w:tc>
          <w:tcPr>
            <w:tcW w:w="840" w:type="dxa"/>
            <w:vAlign w:val="bottom"/>
          </w:tcPr>
          <w:p>
            <w:pPr>
              <w:jc w:val="center"/>
              <w:spacing w:after="0"/>
              <w:rPr>
                <w:sz w:val="20"/>
                <w:szCs w:val="20"/>
                <w:color w:val="auto"/>
              </w:rPr>
            </w:pPr>
            <w:r>
              <w:rPr>
                <w:rFonts w:ascii="Arial" w:cs="Arial" w:eastAsia="Arial" w:hAnsi="Arial"/>
                <w:sz w:val="17"/>
                <w:szCs w:val="17"/>
                <w:color w:val="auto"/>
                <w:w w:val="94"/>
              </w:rPr>
              <w:t>25</w:t>
            </w:r>
          </w:p>
        </w:tc>
      </w:tr>
      <w:tr>
        <w:trPr>
          <w:trHeight w:val="235"/>
        </w:trPr>
        <w:tc>
          <w:tcPr>
            <w:tcW w:w="8980" w:type="dxa"/>
            <w:vAlign w:val="bottom"/>
          </w:tcPr>
          <w:p>
            <w:pPr>
              <w:ind w:left="20"/>
              <w:spacing w:after="0"/>
              <w:rPr>
                <w:sz w:val="20"/>
                <w:szCs w:val="20"/>
                <w:color w:val="auto"/>
              </w:rPr>
            </w:pPr>
            <w:r>
              <w:rPr>
                <w:rFonts w:ascii="Arial" w:cs="Arial" w:eastAsia="Arial" w:hAnsi="Arial"/>
                <w:sz w:val="17"/>
                <w:szCs w:val="17"/>
                <w:b w:val="1"/>
                <w:bCs w:val="1"/>
                <w:color w:val="auto"/>
              </w:rPr>
              <w:t>Item 2. Management’s Discussion and Analysis of Financial Condition and Results of Operations</w:t>
            </w:r>
          </w:p>
        </w:tc>
        <w:tc>
          <w:tcPr>
            <w:tcW w:w="840" w:type="dxa"/>
            <w:vAlign w:val="bottom"/>
          </w:tcPr>
          <w:p>
            <w:pPr>
              <w:jc w:val="center"/>
              <w:spacing w:after="0"/>
              <w:rPr>
                <w:sz w:val="20"/>
                <w:szCs w:val="20"/>
                <w:color w:val="auto"/>
              </w:rPr>
            </w:pPr>
            <w:r>
              <w:rPr>
                <w:rFonts w:ascii="Arial" w:cs="Arial" w:eastAsia="Arial" w:hAnsi="Arial"/>
                <w:sz w:val="17"/>
                <w:szCs w:val="17"/>
                <w:color w:val="auto"/>
                <w:w w:val="94"/>
              </w:rPr>
              <w:t>26</w:t>
            </w:r>
          </w:p>
        </w:tc>
      </w:tr>
      <w:tr>
        <w:trPr>
          <w:trHeight w:val="215"/>
        </w:trPr>
        <w:tc>
          <w:tcPr>
            <w:tcW w:w="8980" w:type="dxa"/>
            <w:vAlign w:val="bottom"/>
          </w:tcPr>
          <w:p>
            <w:pPr>
              <w:ind w:left="400"/>
              <w:spacing w:after="0"/>
              <w:rPr>
                <w:sz w:val="20"/>
                <w:szCs w:val="20"/>
                <w:color w:val="auto"/>
              </w:rPr>
            </w:pPr>
            <w:r>
              <w:rPr>
                <w:rFonts w:ascii="Arial" w:cs="Arial" w:eastAsia="Arial" w:hAnsi="Arial"/>
                <w:sz w:val="17"/>
                <w:szCs w:val="17"/>
                <w:color w:val="auto"/>
              </w:rPr>
              <w:t>Cautionary Statement Regarding Forward-Looking Statements</w:t>
            </w:r>
          </w:p>
        </w:tc>
        <w:tc>
          <w:tcPr>
            <w:tcW w:w="840" w:type="dxa"/>
            <w:vAlign w:val="bottom"/>
          </w:tcPr>
          <w:p>
            <w:pPr>
              <w:jc w:val="center"/>
              <w:spacing w:after="0"/>
              <w:rPr>
                <w:sz w:val="20"/>
                <w:szCs w:val="20"/>
                <w:color w:val="auto"/>
              </w:rPr>
            </w:pPr>
            <w:r>
              <w:rPr>
                <w:rFonts w:ascii="Arial" w:cs="Arial" w:eastAsia="Arial" w:hAnsi="Arial"/>
                <w:sz w:val="17"/>
                <w:szCs w:val="17"/>
                <w:color w:val="auto"/>
                <w:w w:val="94"/>
              </w:rPr>
              <w:t>27</w:t>
            </w:r>
          </w:p>
        </w:tc>
      </w:tr>
      <w:tr>
        <w:trPr>
          <w:trHeight w:val="225"/>
        </w:trPr>
        <w:tc>
          <w:tcPr>
            <w:tcW w:w="8980" w:type="dxa"/>
            <w:vAlign w:val="bottom"/>
          </w:tcPr>
          <w:p>
            <w:pPr>
              <w:ind w:left="400"/>
              <w:spacing w:after="0"/>
              <w:rPr>
                <w:sz w:val="20"/>
                <w:szCs w:val="20"/>
                <w:color w:val="auto"/>
              </w:rPr>
            </w:pPr>
            <w:r>
              <w:rPr>
                <w:rFonts w:ascii="Arial" w:cs="Arial" w:eastAsia="Arial" w:hAnsi="Arial"/>
                <w:sz w:val="17"/>
                <w:szCs w:val="17"/>
                <w:color w:val="auto"/>
              </w:rPr>
              <w:t>Current Business Outlook</w:t>
            </w:r>
          </w:p>
        </w:tc>
        <w:tc>
          <w:tcPr>
            <w:tcW w:w="840" w:type="dxa"/>
            <w:vAlign w:val="bottom"/>
          </w:tcPr>
          <w:p>
            <w:pPr>
              <w:jc w:val="center"/>
              <w:spacing w:after="0"/>
              <w:rPr>
                <w:sz w:val="20"/>
                <w:szCs w:val="20"/>
                <w:color w:val="auto"/>
              </w:rPr>
            </w:pPr>
            <w:r>
              <w:rPr>
                <w:rFonts w:ascii="Arial" w:cs="Arial" w:eastAsia="Arial" w:hAnsi="Arial"/>
                <w:sz w:val="17"/>
                <w:szCs w:val="17"/>
                <w:color w:val="auto"/>
                <w:w w:val="94"/>
              </w:rPr>
              <w:t>28</w:t>
            </w:r>
          </w:p>
        </w:tc>
      </w:tr>
      <w:tr>
        <w:trPr>
          <w:trHeight w:val="215"/>
        </w:trPr>
        <w:tc>
          <w:tcPr>
            <w:tcW w:w="8980" w:type="dxa"/>
            <w:vAlign w:val="bottom"/>
          </w:tcPr>
          <w:p>
            <w:pPr>
              <w:ind w:left="400"/>
              <w:spacing w:after="0"/>
              <w:rPr>
                <w:sz w:val="20"/>
                <w:szCs w:val="20"/>
                <w:color w:val="auto"/>
              </w:rPr>
            </w:pPr>
            <w:r>
              <w:rPr>
                <w:rFonts w:ascii="Arial" w:cs="Arial" w:eastAsia="Arial" w:hAnsi="Arial"/>
                <w:sz w:val="17"/>
                <w:szCs w:val="17"/>
                <w:color w:val="auto"/>
              </w:rPr>
              <w:t>Consolidated Results of Operations and Items Affecting Comparability</w:t>
            </w:r>
          </w:p>
        </w:tc>
        <w:tc>
          <w:tcPr>
            <w:tcW w:w="840" w:type="dxa"/>
            <w:vAlign w:val="bottom"/>
          </w:tcPr>
          <w:p>
            <w:pPr>
              <w:jc w:val="center"/>
              <w:spacing w:after="0"/>
              <w:rPr>
                <w:sz w:val="20"/>
                <w:szCs w:val="20"/>
                <w:color w:val="auto"/>
              </w:rPr>
            </w:pPr>
            <w:r>
              <w:rPr>
                <w:rFonts w:ascii="Arial" w:cs="Arial" w:eastAsia="Arial" w:hAnsi="Arial"/>
                <w:sz w:val="17"/>
                <w:szCs w:val="17"/>
                <w:color w:val="auto"/>
                <w:w w:val="94"/>
              </w:rPr>
              <w:t>29</w:t>
            </w:r>
          </w:p>
        </w:tc>
      </w:tr>
      <w:tr>
        <w:trPr>
          <w:trHeight w:val="227"/>
        </w:trPr>
        <w:tc>
          <w:tcPr>
            <w:tcW w:w="8980" w:type="dxa"/>
            <w:vAlign w:val="bottom"/>
          </w:tcPr>
          <w:p>
            <w:pPr>
              <w:ind w:left="400"/>
              <w:spacing w:after="0"/>
              <w:rPr>
                <w:sz w:val="20"/>
                <w:szCs w:val="20"/>
                <w:color w:val="auto"/>
              </w:rPr>
            </w:pPr>
            <w:r>
              <w:rPr>
                <w:rFonts w:ascii="Arial" w:cs="Arial" w:eastAsia="Arial" w:hAnsi="Arial"/>
                <w:sz w:val="17"/>
                <w:szCs w:val="17"/>
                <w:color w:val="auto"/>
              </w:rPr>
              <w:t>Segment Results of Operations</w:t>
            </w:r>
          </w:p>
        </w:tc>
        <w:tc>
          <w:tcPr>
            <w:tcW w:w="840" w:type="dxa"/>
            <w:vAlign w:val="bottom"/>
          </w:tcPr>
          <w:p>
            <w:pPr>
              <w:jc w:val="center"/>
              <w:spacing w:after="0"/>
              <w:rPr>
                <w:sz w:val="20"/>
                <w:szCs w:val="20"/>
                <w:color w:val="auto"/>
              </w:rPr>
            </w:pPr>
            <w:r>
              <w:rPr>
                <w:rFonts w:ascii="Arial" w:cs="Arial" w:eastAsia="Arial" w:hAnsi="Arial"/>
                <w:sz w:val="17"/>
                <w:szCs w:val="17"/>
                <w:color w:val="auto"/>
                <w:w w:val="94"/>
              </w:rPr>
              <w:t>32</w:t>
            </w:r>
          </w:p>
        </w:tc>
      </w:tr>
      <w:tr>
        <w:trPr>
          <w:trHeight w:val="225"/>
        </w:trPr>
        <w:tc>
          <w:tcPr>
            <w:tcW w:w="8980" w:type="dxa"/>
            <w:vAlign w:val="bottom"/>
          </w:tcPr>
          <w:p>
            <w:pPr>
              <w:ind w:left="400"/>
              <w:spacing w:after="0"/>
              <w:rPr>
                <w:sz w:val="20"/>
                <w:szCs w:val="20"/>
                <w:color w:val="auto"/>
              </w:rPr>
            </w:pPr>
            <w:r>
              <w:rPr>
                <w:rFonts w:ascii="Arial" w:cs="Arial" w:eastAsia="Arial" w:hAnsi="Arial"/>
                <w:sz w:val="17"/>
                <w:szCs w:val="17"/>
                <w:color w:val="auto"/>
              </w:rPr>
              <w:t>Income Taxes</w:t>
            </w:r>
          </w:p>
        </w:tc>
        <w:tc>
          <w:tcPr>
            <w:tcW w:w="840" w:type="dxa"/>
            <w:vAlign w:val="bottom"/>
          </w:tcPr>
          <w:p>
            <w:pPr>
              <w:jc w:val="center"/>
              <w:spacing w:after="0"/>
              <w:rPr>
                <w:sz w:val="20"/>
                <w:szCs w:val="20"/>
                <w:color w:val="auto"/>
              </w:rPr>
            </w:pPr>
            <w:r>
              <w:rPr>
                <w:rFonts w:ascii="Arial" w:cs="Arial" w:eastAsia="Arial" w:hAnsi="Arial"/>
                <w:sz w:val="17"/>
                <w:szCs w:val="17"/>
                <w:color w:val="auto"/>
                <w:w w:val="94"/>
              </w:rPr>
              <w:t>35</w:t>
            </w:r>
          </w:p>
        </w:tc>
      </w:tr>
      <w:tr>
        <w:trPr>
          <w:trHeight w:val="215"/>
        </w:trPr>
        <w:tc>
          <w:tcPr>
            <w:tcW w:w="8980" w:type="dxa"/>
            <w:vAlign w:val="bottom"/>
          </w:tcPr>
          <w:p>
            <w:pPr>
              <w:ind w:left="400"/>
              <w:spacing w:after="0"/>
              <w:rPr>
                <w:sz w:val="20"/>
                <w:szCs w:val="20"/>
                <w:color w:val="auto"/>
              </w:rPr>
            </w:pPr>
            <w:r>
              <w:rPr>
                <w:rFonts w:ascii="Arial" w:cs="Arial" w:eastAsia="Arial" w:hAnsi="Arial"/>
                <w:sz w:val="17"/>
                <w:szCs w:val="17"/>
                <w:color w:val="auto"/>
              </w:rPr>
              <w:t>Liquidity and Capital Resources</w:t>
            </w:r>
          </w:p>
        </w:tc>
        <w:tc>
          <w:tcPr>
            <w:tcW w:w="840" w:type="dxa"/>
            <w:vAlign w:val="bottom"/>
          </w:tcPr>
          <w:p>
            <w:pPr>
              <w:jc w:val="center"/>
              <w:spacing w:after="0"/>
              <w:rPr>
                <w:sz w:val="20"/>
                <w:szCs w:val="20"/>
                <w:color w:val="auto"/>
              </w:rPr>
            </w:pPr>
            <w:r>
              <w:rPr>
                <w:rFonts w:ascii="Arial" w:cs="Arial" w:eastAsia="Arial" w:hAnsi="Arial"/>
                <w:sz w:val="17"/>
                <w:szCs w:val="17"/>
                <w:color w:val="auto"/>
                <w:w w:val="94"/>
              </w:rPr>
              <w:t>36</w:t>
            </w:r>
          </w:p>
        </w:tc>
      </w:tr>
      <w:tr>
        <w:trPr>
          <w:trHeight w:val="227"/>
        </w:trPr>
        <w:tc>
          <w:tcPr>
            <w:tcW w:w="8980" w:type="dxa"/>
            <w:vAlign w:val="bottom"/>
          </w:tcPr>
          <w:p>
            <w:pPr>
              <w:ind w:left="400"/>
              <w:spacing w:after="0"/>
              <w:rPr>
                <w:sz w:val="20"/>
                <w:szCs w:val="20"/>
                <w:color w:val="auto"/>
              </w:rPr>
            </w:pPr>
            <w:r>
              <w:rPr>
                <w:rFonts w:ascii="Arial" w:cs="Arial" w:eastAsia="Arial" w:hAnsi="Arial"/>
                <w:sz w:val="17"/>
                <w:szCs w:val="17"/>
                <w:color w:val="auto"/>
              </w:rPr>
              <w:t>Environmental Liabilities and Expenditures</w:t>
            </w:r>
          </w:p>
        </w:tc>
        <w:tc>
          <w:tcPr>
            <w:tcW w:w="840" w:type="dxa"/>
            <w:vAlign w:val="bottom"/>
          </w:tcPr>
          <w:p>
            <w:pPr>
              <w:jc w:val="center"/>
              <w:spacing w:after="0"/>
              <w:rPr>
                <w:sz w:val="20"/>
                <w:szCs w:val="20"/>
                <w:color w:val="auto"/>
              </w:rPr>
            </w:pPr>
            <w:r>
              <w:rPr>
                <w:rFonts w:ascii="Arial" w:cs="Arial" w:eastAsia="Arial" w:hAnsi="Arial"/>
                <w:sz w:val="17"/>
                <w:szCs w:val="17"/>
                <w:color w:val="auto"/>
                <w:w w:val="94"/>
              </w:rPr>
              <w:t>36</w:t>
            </w:r>
          </w:p>
        </w:tc>
      </w:tr>
      <w:tr>
        <w:trPr>
          <w:trHeight w:val="217"/>
        </w:trPr>
        <w:tc>
          <w:tcPr>
            <w:tcW w:w="8980" w:type="dxa"/>
            <w:vAlign w:val="bottom"/>
          </w:tcPr>
          <w:p>
            <w:pPr>
              <w:ind w:left="400"/>
              <w:spacing w:after="0"/>
              <w:rPr>
                <w:sz w:val="20"/>
                <w:szCs w:val="20"/>
                <w:color w:val="auto"/>
              </w:rPr>
            </w:pPr>
            <w:r>
              <w:rPr>
                <w:rFonts w:ascii="Arial" w:cs="Arial" w:eastAsia="Arial" w:hAnsi="Arial"/>
                <w:sz w:val="17"/>
                <w:szCs w:val="17"/>
                <w:color w:val="auto"/>
              </w:rPr>
              <w:t>Lawsuits, Claims, Commitments and Contingencies</w:t>
            </w:r>
          </w:p>
        </w:tc>
        <w:tc>
          <w:tcPr>
            <w:tcW w:w="840" w:type="dxa"/>
            <w:vAlign w:val="bottom"/>
          </w:tcPr>
          <w:p>
            <w:pPr>
              <w:jc w:val="center"/>
              <w:spacing w:after="0"/>
              <w:rPr>
                <w:sz w:val="20"/>
                <w:szCs w:val="20"/>
                <w:color w:val="auto"/>
              </w:rPr>
            </w:pPr>
            <w:r>
              <w:rPr>
                <w:rFonts w:ascii="Arial" w:cs="Arial" w:eastAsia="Arial" w:hAnsi="Arial"/>
                <w:sz w:val="17"/>
                <w:szCs w:val="17"/>
                <w:color w:val="auto"/>
                <w:w w:val="94"/>
              </w:rPr>
              <w:t>37</w:t>
            </w:r>
          </w:p>
        </w:tc>
      </w:tr>
      <w:tr>
        <w:trPr>
          <w:trHeight w:val="227"/>
        </w:trPr>
        <w:tc>
          <w:tcPr>
            <w:tcW w:w="8980" w:type="dxa"/>
            <w:vAlign w:val="bottom"/>
          </w:tcPr>
          <w:p>
            <w:pPr>
              <w:ind w:left="20"/>
              <w:spacing w:after="0"/>
              <w:rPr>
                <w:sz w:val="20"/>
                <w:szCs w:val="20"/>
                <w:color w:val="auto"/>
              </w:rPr>
            </w:pPr>
            <w:r>
              <w:rPr>
                <w:rFonts w:ascii="Arial" w:cs="Arial" w:eastAsia="Arial" w:hAnsi="Arial"/>
                <w:sz w:val="17"/>
                <w:szCs w:val="17"/>
                <w:b w:val="1"/>
                <w:bCs w:val="1"/>
                <w:color w:val="auto"/>
              </w:rPr>
              <w:t>Item 3. Quantitative and Qualitative Disclosures About Market Risk</w:t>
            </w:r>
          </w:p>
        </w:tc>
        <w:tc>
          <w:tcPr>
            <w:tcW w:w="840" w:type="dxa"/>
            <w:vAlign w:val="bottom"/>
          </w:tcPr>
          <w:p>
            <w:pPr>
              <w:jc w:val="center"/>
              <w:spacing w:after="0"/>
              <w:rPr>
                <w:sz w:val="20"/>
                <w:szCs w:val="20"/>
                <w:color w:val="auto"/>
              </w:rPr>
            </w:pPr>
            <w:r>
              <w:rPr>
                <w:rFonts w:ascii="Arial" w:cs="Arial" w:eastAsia="Arial" w:hAnsi="Arial"/>
                <w:sz w:val="17"/>
                <w:szCs w:val="17"/>
                <w:color w:val="auto"/>
                <w:w w:val="94"/>
              </w:rPr>
              <w:t>37</w:t>
            </w:r>
          </w:p>
        </w:tc>
      </w:tr>
      <w:tr>
        <w:trPr>
          <w:trHeight w:val="246"/>
        </w:trPr>
        <w:tc>
          <w:tcPr>
            <w:tcW w:w="8980" w:type="dxa"/>
            <w:vAlign w:val="bottom"/>
            <w:tcBorders>
              <w:bottom w:val="single" w:sz="8" w:color="00539B"/>
            </w:tcBorders>
          </w:tcPr>
          <w:p>
            <w:pPr>
              <w:ind w:left="20"/>
              <w:spacing w:after="0"/>
              <w:rPr>
                <w:sz w:val="20"/>
                <w:szCs w:val="20"/>
                <w:color w:val="auto"/>
              </w:rPr>
            </w:pPr>
            <w:r>
              <w:rPr>
                <w:rFonts w:ascii="Arial" w:cs="Arial" w:eastAsia="Arial" w:hAnsi="Arial"/>
                <w:sz w:val="17"/>
                <w:szCs w:val="17"/>
                <w:b w:val="1"/>
                <w:bCs w:val="1"/>
                <w:color w:val="auto"/>
              </w:rPr>
              <w:t>Item 4. Controls and Procedures</w:t>
            </w:r>
          </w:p>
        </w:tc>
        <w:tc>
          <w:tcPr>
            <w:tcW w:w="840" w:type="dxa"/>
            <w:vAlign w:val="bottom"/>
            <w:tcBorders>
              <w:bottom w:val="single" w:sz="8" w:color="00539B"/>
            </w:tcBorders>
          </w:tcPr>
          <w:p>
            <w:pPr>
              <w:jc w:val="center"/>
              <w:spacing w:after="0"/>
              <w:rPr>
                <w:sz w:val="20"/>
                <w:szCs w:val="20"/>
                <w:color w:val="auto"/>
              </w:rPr>
            </w:pPr>
            <w:r>
              <w:rPr>
                <w:rFonts w:ascii="Arial" w:cs="Arial" w:eastAsia="Arial" w:hAnsi="Arial"/>
                <w:sz w:val="17"/>
                <w:szCs w:val="17"/>
                <w:color w:val="auto"/>
                <w:w w:val="94"/>
              </w:rPr>
              <w:t>37</w:t>
            </w:r>
          </w:p>
        </w:tc>
      </w:tr>
      <w:tr>
        <w:trPr>
          <w:trHeight w:val="220"/>
        </w:trPr>
        <w:tc>
          <w:tcPr>
            <w:tcW w:w="8980" w:type="dxa"/>
            <w:vAlign w:val="bottom"/>
            <w:tcBorders>
              <w:bottom w:val="single" w:sz="8" w:color="00539B"/>
            </w:tcBorders>
          </w:tcPr>
          <w:p>
            <w:pPr>
              <w:ind w:left="20"/>
              <w:spacing w:after="0"/>
              <w:rPr>
                <w:sz w:val="20"/>
                <w:szCs w:val="20"/>
                <w:color w:val="auto"/>
              </w:rPr>
            </w:pPr>
            <w:r>
              <w:rPr>
                <w:rFonts w:ascii="Arial" w:cs="Arial" w:eastAsia="Arial" w:hAnsi="Arial"/>
                <w:sz w:val="17"/>
                <w:szCs w:val="17"/>
                <w:b w:val="1"/>
                <w:bCs w:val="1"/>
                <w:color w:val="auto"/>
              </w:rPr>
              <w:t>Part II - Other Information</w:t>
            </w:r>
          </w:p>
        </w:tc>
        <w:tc>
          <w:tcPr>
            <w:tcW w:w="840" w:type="dxa"/>
            <w:vAlign w:val="bottom"/>
            <w:tcBorders>
              <w:bottom w:val="single" w:sz="8" w:color="00539B"/>
            </w:tcBorders>
          </w:tcPr>
          <w:p>
            <w:pPr>
              <w:spacing w:after="0"/>
              <w:rPr>
                <w:sz w:val="19"/>
                <w:szCs w:val="19"/>
                <w:color w:val="auto"/>
              </w:rPr>
            </w:pPr>
          </w:p>
        </w:tc>
      </w:tr>
      <w:tr>
        <w:trPr>
          <w:trHeight w:val="214"/>
        </w:trPr>
        <w:tc>
          <w:tcPr>
            <w:tcW w:w="8980" w:type="dxa"/>
            <w:vAlign w:val="bottom"/>
          </w:tcPr>
          <w:p>
            <w:pPr>
              <w:ind w:left="20"/>
              <w:spacing w:after="0"/>
              <w:rPr>
                <w:sz w:val="20"/>
                <w:szCs w:val="20"/>
                <w:color w:val="auto"/>
              </w:rPr>
            </w:pPr>
            <w:r>
              <w:rPr>
                <w:rFonts w:ascii="Arial" w:cs="Arial" w:eastAsia="Arial" w:hAnsi="Arial"/>
                <w:sz w:val="17"/>
                <w:szCs w:val="17"/>
                <w:b w:val="1"/>
                <w:bCs w:val="1"/>
                <w:color w:val="auto"/>
              </w:rPr>
              <w:t>Item 1. Legal Proceedings</w:t>
            </w:r>
          </w:p>
        </w:tc>
        <w:tc>
          <w:tcPr>
            <w:tcW w:w="840" w:type="dxa"/>
            <w:vAlign w:val="bottom"/>
          </w:tcPr>
          <w:p>
            <w:pPr>
              <w:jc w:val="center"/>
              <w:spacing w:after="0"/>
              <w:rPr>
                <w:sz w:val="20"/>
                <w:szCs w:val="20"/>
                <w:color w:val="auto"/>
              </w:rPr>
            </w:pPr>
            <w:r>
              <w:rPr>
                <w:rFonts w:ascii="Arial" w:cs="Arial" w:eastAsia="Arial" w:hAnsi="Arial"/>
                <w:sz w:val="17"/>
                <w:szCs w:val="17"/>
                <w:color w:val="auto"/>
                <w:w w:val="94"/>
              </w:rPr>
              <w:t>37</w:t>
            </w:r>
          </w:p>
        </w:tc>
      </w:tr>
      <w:tr>
        <w:trPr>
          <w:trHeight w:val="227"/>
        </w:trPr>
        <w:tc>
          <w:tcPr>
            <w:tcW w:w="8980" w:type="dxa"/>
            <w:vAlign w:val="bottom"/>
          </w:tcPr>
          <w:p>
            <w:pPr>
              <w:ind w:left="20"/>
              <w:spacing w:after="0"/>
              <w:rPr>
                <w:sz w:val="20"/>
                <w:szCs w:val="20"/>
                <w:color w:val="auto"/>
              </w:rPr>
            </w:pPr>
            <w:r>
              <w:rPr>
                <w:rFonts w:ascii="Arial" w:cs="Arial" w:eastAsia="Arial" w:hAnsi="Arial"/>
                <w:sz w:val="17"/>
                <w:szCs w:val="17"/>
                <w:b w:val="1"/>
                <w:bCs w:val="1"/>
                <w:color w:val="auto"/>
              </w:rPr>
              <w:t>Item 1A. Risk Factors</w:t>
            </w:r>
          </w:p>
        </w:tc>
        <w:tc>
          <w:tcPr>
            <w:tcW w:w="840" w:type="dxa"/>
            <w:vAlign w:val="bottom"/>
          </w:tcPr>
          <w:p>
            <w:pPr>
              <w:jc w:val="center"/>
              <w:spacing w:after="0"/>
              <w:rPr>
                <w:sz w:val="20"/>
                <w:szCs w:val="20"/>
                <w:color w:val="auto"/>
              </w:rPr>
            </w:pPr>
            <w:r>
              <w:rPr>
                <w:rFonts w:ascii="Arial" w:cs="Arial" w:eastAsia="Arial" w:hAnsi="Arial"/>
                <w:sz w:val="17"/>
                <w:szCs w:val="17"/>
                <w:color w:val="auto"/>
                <w:w w:val="94"/>
              </w:rPr>
              <w:t>37</w:t>
            </w:r>
          </w:p>
        </w:tc>
      </w:tr>
      <w:tr>
        <w:trPr>
          <w:trHeight w:val="213"/>
        </w:trPr>
        <w:tc>
          <w:tcPr>
            <w:tcW w:w="8980" w:type="dxa"/>
            <w:vAlign w:val="bottom"/>
          </w:tcPr>
          <w:p>
            <w:pPr>
              <w:ind w:left="20"/>
              <w:spacing w:after="0"/>
              <w:rPr>
                <w:sz w:val="20"/>
                <w:szCs w:val="20"/>
                <w:color w:val="auto"/>
              </w:rPr>
            </w:pPr>
            <w:r>
              <w:rPr>
                <w:rFonts w:ascii="Arial" w:cs="Arial" w:eastAsia="Arial" w:hAnsi="Arial"/>
                <w:sz w:val="17"/>
                <w:szCs w:val="17"/>
                <w:b w:val="1"/>
                <w:bCs w:val="1"/>
                <w:color w:val="auto"/>
              </w:rPr>
              <w:t>Item 2. Unregistered Sales of Equity Securities and Use of Proceeds</w:t>
            </w:r>
          </w:p>
        </w:tc>
        <w:tc>
          <w:tcPr>
            <w:tcW w:w="840" w:type="dxa"/>
            <w:vAlign w:val="bottom"/>
          </w:tcPr>
          <w:p>
            <w:pPr>
              <w:jc w:val="center"/>
              <w:spacing w:after="0"/>
              <w:rPr>
                <w:sz w:val="20"/>
                <w:szCs w:val="20"/>
                <w:color w:val="auto"/>
              </w:rPr>
            </w:pPr>
            <w:r>
              <w:rPr>
                <w:rFonts w:ascii="Arial" w:cs="Arial" w:eastAsia="Arial" w:hAnsi="Arial"/>
                <w:sz w:val="17"/>
                <w:szCs w:val="17"/>
                <w:color w:val="auto"/>
                <w:w w:val="94"/>
              </w:rPr>
              <w:t>38</w:t>
            </w:r>
          </w:p>
        </w:tc>
      </w:tr>
      <w:tr>
        <w:trPr>
          <w:trHeight w:val="227"/>
        </w:trPr>
        <w:tc>
          <w:tcPr>
            <w:tcW w:w="8980" w:type="dxa"/>
            <w:vAlign w:val="bottom"/>
          </w:tcPr>
          <w:p>
            <w:pPr>
              <w:ind w:left="20"/>
              <w:spacing w:after="0"/>
              <w:rPr>
                <w:sz w:val="20"/>
                <w:szCs w:val="20"/>
                <w:color w:val="auto"/>
              </w:rPr>
            </w:pPr>
            <w:r>
              <w:rPr>
                <w:rFonts w:ascii="Arial" w:cs="Arial" w:eastAsia="Arial" w:hAnsi="Arial"/>
                <w:sz w:val="17"/>
                <w:szCs w:val="17"/>
                <w:b w:val="1"/>
                <w:bCs w:val="1"/>
                <w:color w:val="auto"/>
              </w:rPr>
              <w:t>Item 5. Other Information</w:t>
            </w:r>
          </w:p>
        </w:tc>
        <w:tc>
          <w:tcPr>
            <w:tcW w:w="840" w:type="dxa"/>
            <w:vAlign w:val="bottom"/>
          </w:tcPr>
          <w:p>
            <w:pPr>
              <w:jc w:val="center"/>
              <w:spacing w:after="0"/>
              <w:rPr>
                <w:sz w:val="20"/>
                <w:szCs w:val="20"/>
                <w:color w:val="auto"/>
              </w:rPr>
            </w:pPr>
            <w:r>
              <w:rPr>
                <w:rFonts w:ascii="Arial" w:cs="Arial" w:eastAsia="Arial" w:hAnsi="Arial"/>
                <w:sz w:val="17"/>
                <w:szCs w:val="17"/>
                <w:color w:val="auto"/>
                <w:w w:val="94"/>
              </w:rPr>
              <w:t>38</w:t>
            </w:r>
          </w:p>
        </w:tc>
      </w:tr>
      <w:tr>
        <w:trPr>
          <w:trHeight w:val="235"/>
        </w:trPr>
        <w:tc>
          <w:tcPr>
            <w:tcW w:w="8980" w:type="dxa"/>
            <w:vAlign w:val="bottom"/>
          </w:tcPr>
          <w:p>
            <w:pPr>
              <w:ind w:left="20"/>
              <w:spacing w:after="0"/>
              <w:rPr>
                <w:sz w:val="20"/>
                <w:szCs w:val="20"/>
                <w:color w:val="auto"/>
              </w:rPr>
            </w:pPr>
            <w:r>
              <w:rPr>
                <w:rFonts w:ascii="Arial" w:cs="Arial" w:eastAsia="Arial" w:hAnsi="Arial"/>
                <w:sz w:val="17"/>
                <w:szCs w:val="17"/>
                <w:b w:val="1"/>
                <w:bCs w:val="1"/>
                <w:color w:val="auto"/>
              </w:rPr>
              <w:t>Item 6. Exhibits</w:t>
            </w:r>
          </w:p>
        </w:tc>
        <w:tc>
          <w:tcPr>
            <w:tcW w:w="840" w:type="dxa"/>
            <w:vAlign w:val="bottom"/>
          </w:tcPr>
          <w:p>
            <w:pPr>
              <w:jc w:val="center"/>
              <w:spacing w:after="0"/>
              <w:rPr>
                <w:sz w:val="20"/>
                <w:szCs w:val="20"/>
                <w:color w:val="auto"/>
              </w:rPr>
            </w:pPr>
            <w:r>
              <w:rPr>
                <w:rFonts w:ascii="Arial" w:cs="Arial" w:eastAsia="Arial" w:hAnsi="Arial"/>
                <w:sz w:val="17"/>
                <w:szCs w:val="17"/>
                <w:color w:val="auto"/>
                <w:w w:val="94"/>
              </w:rPr>
              <w:t>38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715962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0139"/>
          </w:cols>
          <w:pgMar w:left="320" w:top="948" w:right="1440" w:bottom="1440" w:gutter="0" w:footer="0" w:header="0"/>
        </w:sectPr>
      </w:pPr>
    </w:p>
    <w:bookmarkStart w:id="2" w:name="page3"/>
    <w:bookmarkEnd w:id="2"/>
    <w:p>
      <w:pPr>
        <w:spacing w:after="0"/>
        <w:rPr>
          <w:sz w:val="20"/>
          <w:szCs w:val="20"/>
          <w:color w:val="auto"/>
        </w:rPr>
      </w:pPr>
      <w:r>
        <w:rPr>
          <w:rFonts w:ascii="Arial" w:cs="Arial" w:eastAsia="Arial" w:hAnsi="Arial"/>
          <w:sz w:val="20"/>
          <w:szCs w:val="20"/>
          <w:b w:val="1"/>
          <w:bCs w:val="1"/>
          <w:color w:val="00539B"/>
        </w:rPr>
        <w:t>ABBREVIATIONS USED WITHIN THIS DOCUMENT</w:t>
      </w:r>
    </w:p>
    <w:p>
      <w:pPr>
        <w:sectPr>
          <w:pgSz w:w="11900" w:h="16838" w:orient="portrait"/>
          <w:cols w:equalWidth="0" w:num="1">
            <w:col w:w="11280"/>
          </w:cols>
          <w:pgMar w:left="320" w:top="1076" w:right="299" w:bottom="1440" w:gutter="0" w:footer="0" w:header="0"/>
        </w:sectPr>
      </w:pPr>
    </w:p>
    <w:p>
      <w:pPr>
        <w:spacing w:after="0" w:line="57" w:lineRule="exact"/>
        <w:rPr>
          <w:sz w:val="20"/>
          <w:szCs w:val="20"/>
          <w:color w:val="auto"/>
        </w:rPr>
      </w:pPr>
    </w:p>
    <w:p>
      <w:pPr>
        <w:ind w:left="260"/>
        <w:spacing w:after="0"/>
        <w:rPr>
          <w:sz w:val="20"/>
          <w:szCs w:val="20"/>
          <w:color w:val="auto"/>
        </w:rPr>
      </w:pPr>
      <w:r>
        <w:rPr>
          <w:rFonts w:ascii="Arial" w:cs="Arial" w:eastAsia="Arial" w:hAnsi="Arial"/>
          <w:sz w:val="17"/>
          <w:szCs w:val="17"/>
          <w:color w:val="auto"/>
        </w:rPr>
        <w:t>$/Bbl</w:t>
      </w:r>
    </w:p>
    <w:p>
      <w:pPr>
        <w:spacing w:after="0" w:line="31" w:lineRule="exact"/>
        <w:rPr>
          <w:sz w:val="20"/>
          <w:szCs w:val="20"/>
          <w:color w:val="auto"/>
        </w:rPr>
      </w:pPr>
    </w:p>
    <w:p>
      <w:pPr>
        <w:ind w:left="260"/>
        <w:spacing w:after="0"/>
        <w:rPr>
          <w:sz w:val="20"/>
          <w:szCs w:val="20"/>
          <w:color w:val="auto"/>
        </w:rPr>
      </w:pPr>
      <w:r>
        <w:rPr>
          <w:rFonts w:ascii="Arial" w:cs="Arial" w:eastAsia="Arial" w:hAnsi="Arial"/>
          <w:sz w:val="17"/>
          <w:szCs w:val="17"/>
          <w:color w:val="auto"/>
        </w:rPr>
        <w:t>Anadarko</w:t>
      </w:r>
    </w:p>
    <w:p>
      <w:pPr>
        <w:spacing w:after="0" w:line="31" w:lineRule="exact"/>
        <w:rPr>
          <w:sz w:val="20"/>
          <w:szCs w:val="20"/>
          <w:color w:val="auto"/>
        </w:rPr>
      </w:pPr>
    </w:p>
    <w:p>
      <w:pPr>
        <w:ind w:left="260"/>
        <w:spacing w:after="0"/>
        <w:rPr>
          <w:sz w:val="20"/>
          <w:szCs w:val="20"/>
          <w:color w:val="auto"/>
        </w:rPr>
      </w:pPr>
      <w:r>
        <w:rPr>
          <w:rFonts w:ascii="Arial" w:cs="Arial" w:eastAsia="Arial" w:hAnsi="Arial"/>
          <w:sz w:val="17"/>
          <w:szCs w:val="17"/>
          <w:color w:val="auto"/>
        </w:rPr>
        <w:t>Andes</w:t>
      </w:r>
    </w:p>
    <w:p>
      <w:pPr>
        <w:spacing w:after="0" w:line="19" w:lineRule="exact"/>
        <w:rPr>
          <w:sz w:val="20"/>
          <w:szCs w:val="20"/>
          <w:color w:val="auto"/>
        </w:rPr>
      </w:pPr>
    </w:p>
    <w:p>
      <w:pPr>
        <w:ind w:left="260"/>
        <w:spacing w:after="0"/>
        <w:rPr>
          <w:sz w:val="20"/>
          <w:szCs w:val="20"/>
          <w:color w:val="auto"/>
        </w:rPr>
      </w:pPr>
      <w:r>
        <w:rPr>
          <w:rFonts w:ascii="Arial" w:cs="Arial" w:eastAsia="Arial" w:hAnsi="Arial"/>
          <w:sz w:val="17"/>
          <w:szCs w:val="17"/>
          <w:color w:val="auto"/>
        </w:rPr>
        <w:t>AOC</w:t>
      </w:r>
    </w:p>
    <w:p>
      <w:pPr>
        <w:spacing w:after="0" w:line="30" w:lineRule="exact"/>
        <w:rPr>
          <w:sz w:val="20"/>
          <w:szCs w:val="20"/>
          <w:color w:val="auto"/>
        </w:rPr>
      </w:pPr>
    </w:p>
    <w:p>
      <w:pPr>
        <w:ind w:left="260"/>
        <w:spacing w:after="0"/>
        <w:rPr>
          <w:sz w:val="20"/>
          <w:szCs w:val="20"/>
          <w:color w:val="auto"/>
        </w:rPr>
      </w:pPr>
      <w:r>
        <w:rPr>
          <w:rFonts w:ascii="Arial" w:cs="Arial" w:eastAsia="Arial" w:hAnsi="Arial"/>
          <w:sz w:val="17"/>
          <w:szCs w:val="17"/>
          <w:color w:val="auto"/>
        </w:rPr>
        <w:t>Bcf</w:t>
      </w:r>
    </w:p>
    <w:p>
      <w:pPr>
        <w:spacing w:after="0" w:line="31" w:lineRule="exact"/>
        <w:rPr>
          <w:sz w:val="20"/>
          <w:szCs w:val="20"/>
          <w:color w:val="auto"/>
        </w:rPr>
      </w:pPr>
    </w:p>
    <w:p>
      <w:pPr>
        <w:ind w:left="260"/>
        <w:spacing w:after="0"/>
        <w:rPr>
          <w:sz w:val="20"/>
          <w:szCs w:val="20"/>
          <w:color w:val="auto"/>
        </w:rPr>
      </w:pPr>
      <w:r>
        <w:rPr>
          <w:rFonts w:ascii="Arial" w:cs="Arial" w:eastAsia="Arial" w:hAnsi="Arial"/>
          <w:sz w:val="16"/>
          <w:szCs w:val="16"/>
          <w:color w:val="auto"/>
        </w:rPr>
        <w:t>Berkshire Hathaway</w:t>
      </w:r>
    </w:p>
    <w:p>
      <w:pPr>
        <w:spacing w:after="0" w:line="31" w:lineRule="exact"/>
        <w:rPr>
          <w:sz w:val="20"/>
          <w:szCs w:val="20"/>
          <w:color w:val="auto"/>
        </w:rPr>
      </w:pPr>
    </w:p>
    <w:p>
      <w:pPr>
        <w:ind w:left="260"/>
        <w:spacing w:after="0"/>
        <w:rPr>
          <w:sz w:val="20"/>
          <w:szCs w:val="20"/>
          <w:color w:val="auto"/>
        </w:rPr>
      </w:pPr>
      <w:r>
        <w:rPr>
          <w:rFonts w:ascii="Arial" w:cs="Arial" w:eastAsia="Arial" w:hAnsi="Arial"/>
          <w:sz w:val="17"/>
          <w:szCs w:val="17"/>
          <w:color w:val="auto"/>
        </w:rPr>
        <w:t>Boe</w:t>
      </w:r>
    </w:p>
    <w:p>
      <w:pPr>
        <w:spacing w:after="0" w:line="30" w:lineRule="exact"/>
        <w:rPr>
          <w:sz w:val="20"/>
          <w:szCs w:val="20"/>
          <w:color w:val="auto"/>
        </w:rPr>
      </w:pPr>
    </w:p>
    <w:p>
      <w:pPr>
        <w:ind w:left="260"/>
        <w:spacing w:after="0"/>
        <w:rPr>
          <w:sz w:val="20"/>
          <w:szCs w:val="20"/>
          <w:color w:val="auto"/>
        </w:rPr>
      </w:pPr>
      <w:r>
        <w:rPr>
          <w:rFonts w:ascii="Arial" w:cs="Arial" w:eastAsia="Arial" w:hAnsi="Arial"/>
          <w:sz w:val="17"/>
          <w:szCs w:val="17"/>
          <w:color w:val="auto"/>
        </w:rPr>
        <w:t>CERCLA</w:t>
      </w:r>
    </w:p>
    <w:p>
      <w:pPr>
        <w:spacing w:after="0" w:line="31" w:lineRule="exact"/>
        <w:rPr>
          <w:sz w:val="20"/>
          <w:szCs w:val="20"/>
          <w:color w:val="auto"/>
        </w:rPr>
      </w:pPr>
    </w:p>
    <w:p>
      <w:pPr>
        <w:ind w:left="260"/>
        <w:spacing w:after="0"/>
        <w:rPr>
          <w:sz w:val="20"/>
          <w:szCs w:val="20"/>
          <w:color w:val="auto"/>
        </w:rPr>
      </w:pPr>
      <w:r>
        <w:rPr>
          <w:rFonts w:ascii="Arial" w:cs="Arial" w:eastAsia="Arial" w:hAnsi="Arial"/>
          <w:sz w:val="17"/>
          <w:szCs w:val="17"/>
          <w:color w:val="auto"/>
        </w:rPr>
        <w:t>CO</w:t>
      </w:r>
      <w:r>
        <w:rPr>
          <w:rFonts w:ascii="Arial" w:cs="Arial" w:eastAsia="Arial" w:hAnsi="Arial"/>
          <w:sz w:val="10"/>
          <w:szCs w:val="10"/>
          <w:color w:val="auto"/>
        </w:rPr>
        <w:t>2</w:t>
      </w:r>
    </w:p>
    <w:p>
      <w:pPr>
        <w:spacing w:after="0" w:line="19" w:lineRule="exact"/>
        <w:rPr>
          <w:sz w:val="20"/>
          <w:szCs w:val="20"/>
          <w:color w:val="auto"/>
        </w:rPr>
      </w:pPr>
    </w:p>
    <w:p>
      <w:pPr>
        <w:ind w:left="260"/>
        <w:spacing w:after="0"/>
        <w:rPr>
          <w:sz w:val="20"/>
          <w:szCs w:val="20"/>
          <w:color w:val="auto"/>
        </w:rPr>
      </w:pPr>
      <w:r>
        <w:rPr>
          <w:rFonts w:ascii="Arial" w:cs="Arial" w:eastAsia="Arial" w:hAnsi="Arial"/>
          <w:sz w:val="17"/>
          <w:szCs w:val="17"/>
          <w:color w:val="auto"/>
        </w:rPr>
        <w:t>DASS</w:t>
      </w:r>
    </w:p>
    <w:p>
      <w:pPr>
        <w:spacing w:after="0" w:line="30" w:lineRule="exact"/>
        <w:rPr>
          <w:sz w:val="20"/>
          <w:szCs w:val="20"/>
          <w:color w:val="auto"/>
        </w:rPr>
      </w:pPr>
    </w:p>
    <w:p>
      <w:pPr>
        <w:ind w:left="260"/>
        <w:spacing w:after="0"/>
        <w:rPr>
          <w:sz w:val="20"/>
          <w:szCs w:val="20"/>
          <w:color w:val="auto"/>
        </w:rPr>
      </w:pPr>
      <w:r>
        <w:rPr>
          <w:rFonts w:ascii="Arial" w:cs="Arial" w:eastAsia="Arial" w:hAnsi="Arial"/>
          <w:sz w:val="17"/>
          <w:szCs w:val="17"/>
          <w:color w:val="auto"/>
        </w:rPr>
        <w:t>District Court</w:t>
      </w:r>
    </w:p>
    <w:p>
      <w:pPr>
        <w:spacing w:after="0" w:line="31" w:lineRule="exact"/>
        <w:rPr>
          <w:sz w:val="20"/>
          <w:szCs w:val="20"/>
          <w:color w:val="auto"/>
        </w:rPr>
      </w:pPr>
    </w:p>
    <w:p>
      <w:pPr>
        <w:ind w:left="260"/>
        <w:spacing w:after="0"/>
        <w:rPr>
          <w:sz w:val="20"/>
          <w:szCs w:val="20"/>
          <w:color w:val="auto"/>
        </w:rPr>
      </w:pPr>
      <w:r>
        <w:rPr>
          <w:rFonts w:ascii="Arial" w:cs="Arial" w:eastAsia="Arial" w:hAnsi="Arial"/>
          <w:sz w:val="17"/>
          <w:szCs w:val="17"/>
          <w:color w:val="auto"/>
        </w:rPr>
        <w:t>DSCC</w:t>
      </w:r>
    </w:p>
    <w:p>
      <w:pPr>
        <w:spacing w:after="0" w:line="19" w:lineRule="exact"/>
        <w:rPr>
          <w:sz w:val="20"/>
          <w:szCs w:val="20"/>
          <w:color w:val="auto"/>
        </w:rPr>
      </w:pPr>
    </w:p>
    <w:p>
      <w:pPr>
        <w:ind w:left="260"/>
        <w:spacing w:after="0"/>
        <w:rPr>
          <w:sz w:val="20"/>
          <w:szCs w:val="20"/>
          <w:color w:val="auto"/>
        </w:rPr>
      </w:pPr>
      <w:r>
        <w:rPr>
          <w:rFonts w:ascii="Arial" w:cs="Arial" w:eastAsia="Arial" w:hAnsi="Arial"/>
          <w:sz w:val="17"/>
          <w:szCs w:val="17"/>
          <w:color w:val="auto"/>
        </w:rPr>
        <w:t>DOJ</w:t>
      </w:r>
    </w:p>
    <w:p>
      <w:pPr>
        <w:spacing w:after="0" w:line="30" w:lineRule="exact"/>
        <w:rPr>
          <w:sz w:val="20"/>
          <w:szCs w:val="20"/>
          <w:color w:val="auto"/>
        </w:rPr>
      </w:pPr>
    </w:p>
    <w:p>
      <w:pPr>
        <w:ind w:left="260"/>
        <w:spacing w:after="0"/>
        <w:rPr>
          <w:sz w:val="20"/>
          <w:szCs w:val="20"/>
          <w:color w:val="auto"/>
        </w:rPr>
      </w:pPr>
      <w:r>
        <w:rPr>
          <w:rFonts w:ascii="Arial" w:cs="Arial" w:eastAsia="Arial" w:hAnsi="Arial"/>
          <w:sz w:val="17"/>
          <w:szCs w:val="17"/>
          <w:color w:val="auto"/>
        </w:rPr>
        <w:t>EPA</w:t>
      </w:r>
    </w:p>
    <w:p>
      <w:pPr>
        <w:spacing w:after="0" w:line="31" w:lineRule="exact"/>
        <w:rPr>
          <w:sz w:val="20"/>
          <w:szCs w:val="20"/>
          <w:color w:val="auto"/>
        </w:rPr>
      </w:pPr>
    </w:p>
    <w:p>
      <w:pPr>
        <w:ind w:left="260"/>
        <w:spacing w:after="0"/>
        <w:rPr>
          <w:sz w:val="20"/>
          <w:szCs w:val="20"/>
          <w:color w:val="auto"/>
        </w:rPr>
      </w:pPr>
      <w:r>
        <w:rPr>
          <w:rFonts w:ascii="Arial" w:cs="Arial" w:eastAsia="Arial" w:hAnsi="Arial"/>
          <w:sz w:val="17"/>
          <w:szCs w:val="17"/>
          <w:color w:val="auto"/>
        </w:rPr>
        <w:t>EPS</w:t>
      </w:r>
    </w:p>
    <w:p>
      <w:pPr>
        <w:spacing w:after="0" w:line="19" w:lineRule="exact"/>
        <w:rPr>
          <w:sz w:val="20"/>
          <w:szCs w:val="20"/>
          <w:color w:val="auto"/>
        </w:rPr>
      </w:pPr>
    </w:p>
    <w:p>
      <w:pPr>
        <w:ind w:left="260"/>
        <w:spacing w:after="0"/>
        <w:rPr>
          <w:sz w:val="20"/>
          <w:szCs w:val="20"/>
          <w:color w:val="auto"/>
        </w:rPr>
      </w:pPr>
      <w:r>
        <w:rPr>
          <w:rFonts w:ascii="Arial" w:cs="Arial" w:eastAsia="Arial" w:hAnsi="Arial"/>
          <w:sz w:val="17"/>
          <w:szCs w:val="17"/>
          <w:color w:val="auto"/>
        </w:rPr>
        <w:t>LIFO</w:t>
      </w:r>
    </w:p>
    <w:p>
      <w:pPr>
        <w:spacing w:after="0" w:line="30" w:lineRule="exact"/>
        <w:rPr>
          <w:sz w:val="20"/>
          <w:szCs w:val="20"/>
          <w:color w:val="auto"/>
        </w:rPr>
      </w:pPr>
    </w:p>
    <w:p>
      <w:pPr>
        <w:ind w:left="260"/>
        <w:spacing w:after="0"/>
        <w:rPr>
          <w:sz w:val="20"/>
          <w:szCs w:val="20"/>
          <w:color w:val="auto"/>
        </w:rPr>
      </w:pPr>
      <w:r>
        <w:rPr>
          <w:rFonts w:ascii="Arial" w:cs="Arial" w:eastAsia="Arial" w:hAnsi="Arial"/>
          <w:sz w:val="17"/>
          <w:szCs w:val="17"/>
          <w:color w:val="auto"/>
        </w:rPr>
        <w:t>Maxus</w:t>
      </w:r>
    </w:p>
    <w:p>
      <w:pPr>
        <w:spacing w:after="0" w:line="31" w:lineRule="exact"/>
        <w:rPr>
          <w:sz w:val="20"/>
          <w:szCs w:val="20"/>
          <w:color w:val="auto"/>
        </w:rPr>
      </w:pPr>
    </w:p>
    <w:p>
      <w:pPr>
        <w:ind w:left="260"/>
        <w:spacing w:after="0"/>
        <w:rPr>
          <w:sz w:val="20"/>
          <w:szCs w:val="20"/>
          <w:color w:val="auto"/>
        </w:rPr>
      </w:pPr>
      <w:r>
        <w:rPr>
          <w:rFonts w:ascii="Arial" w:cs="Arial" w:eastAsia="Arial" w:hAnsi="Arial"/>
          <w:sz w:val="17"/>
          <w:szCs w:val="17"/>
          <w:color w:val="auto"/>
        </w:rPr>
        <w:t>Mbbl</w:t>
      </w:r>
    </w:p>
    <w:p>
      <w:pPr>
        <w:spacing w:after="0" w:line="19" w:lineRule="exact"/>
        <w:rPr>
          <w:sz w:val="20"/>
          <w:szCs w:val="20"/>
          <w:color w:val="auto"/>
        </w:rPr>
      </w:pPr>
    </w:p>
    <w:p>
      <w:pPr>
        <w:ind w:left="260"/>
        <w:spacing w:after="0"/>
        <w:rPr>
          <w:sz w:val="20"/>
          <w:szCs w:val="20"/>
          <w:color w:val="auto"/>
        </w:rPr>
      </w:pPr>
      <w:r>
        <w:rPr>
          <w:rFonts w:ascii="Arial" w:cs="Arial" w:eastAsia="Arial" w:hAnsi="Arial"/>
          <w:sz w:val="17"/>
          <w:szCs w:val="17"/>
          <w:color w:val="auto"/>
        </w:rPr>
        <w:t>Mboe</w:t>
      </w:r>
    </w:p>
    <w:p>
      <w:pPr>
        <w:spacing w:after="0" w:line="30" w:lineRule="exact"/>
        <w:rPr>
          <w:sz w:val="20"/>
          <w:szCs w:val="20"/>
          <w:color w:val="auto"/>
        </w:rPr>
      </w:pPr>
    </w:p>
    <w:p>
      <w:pPr>
        <w:ind w:left="260"/>
        <w:spacing w:after="0"/>
        <w:rPr>
          <w:sz w:val="20"/>
          <w:szCs w:val="20"/>
          <w:color w:val="auto"/>
        </w:rPr>
      </w:pPr>
      <w:r>
        <w:rPr>
          <w:rFonts w:ascii="Arial" w:cs="Arial" w:eastAsia="Arial" w:hAnsi="Arial"/>
          <w:sz w:val="17"/>
          <w:szCs w:val="17"/>
          <w:color w:val="auto"/>
        </w:rPr>
        <w:t>Mboe/d</w:t>
      </w:r>
    </w:p>
    <w:p>
      <w:pPr>
        <w:spacing w:after="0" w:line="31" w:lineRule="exact"/>
        <w:rPr>
          <w:sz w:val="20"/>
          <w:szCs w:val="20"/>
          <w:color w:val="auto"/>
        </w:rPr>
      </w:pPr>
    </w:p>
    <w:p>
      <w:pPr>
        <w:ind w:left="260"/>
        <w:spacing w:after="0"/>
        <w:rPr>
          <w:sz w:val="20"/>
          <w:szCs w:val="20"/>
          <w:color w:val="auto"/>
        </w:rPr>
      </w:pPr>
      <w:r>
        <w:rPr>
          <w:rFonts w:ascii="Arial" w:cs="Arial" w:eastAsia="Arial" w:hAnsi="Arial"/>
          <w:sz w:val="17"/>
          <w:szCs w:val="17"/>
          <w:color w:val="auto"/>
        </w:rPr>
        <w:t>Mcf</w:t>
      </w:r>
    </w:p>
    <w:p>
      <w:pPr>
        <w:spacing w:after="0" w:line="19" w:lineRule="exact"/>
        <w:rPr>
          <w:sz w:val="20"/>
          <w:szCs w:val="20"/>
          <w:color w:val="auto"/>
        </w:rPr>
      </w:pPr>
    </w:p>
    <w:p>
      <w:pPr>
        <w:ind w:left="260"/>
        <w:spacing w:after="0"/>
        <w:rPr>
          <w:sz w:val="20"/>
          <w:szCs w:val="20"/>
          <w:color w:val="auto"/>
        </w:rPr>
      </w:pPr>
      <w:r>
        <w:rPr>
          <w:rFonts w:ascii="Arial" w:cs="Arial" w:eastAsia="Arial" w:hAnsi="Arial"/>
          <w:sz w:val="17"/>
          <w:szCs w:val="17"/>
          <w:color w:val="auto"/>
        </w:rPr>
        <w:t>MMbbl</w:t>
      </w:r>
    </w:p>
    <w:p>
      <w:pPr>
        <w:spacing w:after="0" w:line="30" w:lineRule="exact"/>
        <w:rPr>
          <w:sz w:val="20"/>
          <w:szCs w:val="20"/>
          <w:color w:val="auto"/>
        </w:rPr>
      </w:pPr>
    </w:p>
    <w:p>
      <w:pPr>
        <w:ind w:left="260"/>
        <w:spacing w:after="0"/>
        <w:rPr>
          <w:sz w:val="20"/>
          <w:szCs w:val="20"/>
          <w:color w:val="auto"/>
        </w:rPr>
      </w:pPr>
      <w:r>
        <w:rPr>
          <w:rFonts w:ascii="Arial" w:cs="Arial" w:eastAsia="Arial" w:hAnsi="Arial"/>
          <w:sz w:val="17"/>
          <w:szCs w:val="17"/>
          <w:color w:val="auto"/>
        </w:rPr>
        <w:t>MMcf</w:t>
      </w:r>
    </w:p>
    <w:p>
      <w:pPr>
        <w:spacing w:after="0" w:line="19" w:lineRule="exact"/>
        <w:rPr>
          <w:sz w:val="20"/>
          <w:szCs w:val="20"/>
          <w:color w:val="auto"/>
        </w:rPr>
      </w:pPr>
    </w:p>
    <w:p>
      <w:pPr>
        <w:ind w:left="260"/>
        <w:spacing w:after="0"/>
        <w:rPr>
          <w:sz w:val="20"/>
          <w:szCs w:val="20"/>
          <w:color w:val="auto"/>
        </w:rPr>
      </w:pPr>
      <w:r>
        <w:rPr>
          <w:rFonts w:ascii="Arial" w:cs="Arial" w:eastAsia="Arial" w:hAnsi="Arial"/>
          <w:sz w:val="17"/>
          <w:szCs w:val="17"/>
          <w:color w:val="auto"/>
        </w:rPr>
        <w:t>NGL</w:t>
      </w:r>
    </w:p>
    <w:p>
      <w:pPr>
        <w:spacing w:after="0" w:line="30" w:lineRule="exact"/>
        <w:rPr>
          <w:sz w:val="20"/>
          <w:szCs w:val="20"/>
          <w:color w:val="auto"/>
        </w:rPr>
      </w:pPr>
    </w:p>
    <w:p>
      <w:pPr>
        <w:ind w:left="260"/>
        <w:spacing w:after="0"/>
        <w:rPr>
          <w:sz w:val="20"/>
          <w:szCs w:val="20"/>
          <w:color w:val="auto"/>
        </w:rPr>
      </w:pPr>
      <w:r>
        <w:rPr>
          <w:rFonts w:ascii="Arial" w:cs="Arial" w:eastAsia="Arial" w:hAnsi="Arial"/>
          <w:sz w:val="17"/>
          <w:szCs w:val="17"/>
          <w:color w:val="auto"/>
        </w:rPr>
        <w:t>NPL</w:t>
      </w:r>
    </w:p>
    <w:p>
      <w:pPr>
        <w:spacing w:after="0" w:line="31" w:lineRule="exact"/>
        <w:rPr>
          <w:sz w:val="20"/>
          <w:szCs w:val="20"/>
          <w:color w:val="auto"/>
        </w:rPr>
      </w:pPr>
    </w:p>
    <w:p>
      <w:pPr>
        <w:ind w:left="260"/>
        <w:spacing w:after="0"/>
        <w:rPr>
          <w:sz w:val="20"/>
          <w:szCs w:val="20"/>
          <w:color w:val="auto"/>
        </w:rPr>
      </w:pPr>
      <w:r>
        <w:rPr>
          <w:rFonts w:ascii="Arial" w:cs="Arial" w:eastAsia="Arial" w:hAnsi="Arial"/>
          <w:sz w:val="17"/>
          <w:szCs w:val="17"/>
          <w:color w:val="auto"/>
        </w:rPr>
        <w:t>Occidental</w:t>
      </w:r>
    </w:p>
    <w:p>
      <w:pPr>
        <w:spacing w:after="0" w:line="191" w:lineRule="exact"/>
        <w:rPr>
          <w:sz w:val="20"/>
          <w:szCs w:val="20"/>
          <w:color w:val="auto"/>
        </w:rPr>
      </w:pPr>
    </w:p>
    <w:p>
      <w:pPr>
        <w:ind w:left="260"/>
        <w:spacing w:after="0"/>
        <w:rPr>
          <w:sz w:val="20"/>
          <w:szCs w:val="20"/>
          <w:color w:val="auto"/>
        </w:rPr>
      </w:pPr>
      <w:r>
        <w:rPr>
          <w:rFonts w:ascii="Arial" w:cs="Arial" w:eastAsia="Arial" w:hAnsi="Arial"/>
          <w:sz w:val="17"/>
          <w:szCs w:val="17"/>
          <w:color w:val="auto"/>
        </w:rPr>
        <w:t>OEPC</w:t>
      </w:r>
    </w:p>
    <w:p>
      <w:pPr>
        <w:spacing w:after="0" w:line="31" w:lineRule="exact"/>
        <w:rPr>
          <w:sz w:val="20"/>
          <w:szCs w:val="20"/>
          <w:color w:val="auto"/>
        </w:rPr>
      </w:pPr>
    </w:p>
    <w:p>
      <w:pPr>
        <w:ind w:left="260"/>
        <w:spacing w:after="0"/>
        <w:rPr>
          <w:sz w:val="20"/>
          <w:szCs w:val="20"/>
          <w:color w:val="auto"/>
        </w:rPr>
      </w:pPr>
      <w:r>
        <w:rPr>
          <w:rFonts w:ascii="Arial" w:cs="Arial" w:eastAsia="Arial" w:hAnsi="Arial"/>
          <w:sz w:val="17"/>
          <w:szCs w:val="17"/>
          <w:color w:val="auto"/>
        </w:rPr>
        <w:t>OPEC</w:t>
      </w:r>
    </w:p>
    <w:p>
      <w:pPr>
        <w:spacing w:after="0" w:line="19" w:lineRule="exact"/>
        <w:rPr>
          <w:sz w:val="20"/>
          <w:szCs w:val="20"/>
          <w:color w:val="auto"/>
        </w:rPr>
      </w:pPr>
    </w:p>
    <w:p>
      <w:pPr>
        <w:ind w:left="260"/>
        <w:spacing w:after="0"/>
        <w:rPr>
          <w:sz w:val="20"/>
          <w:szCs w:val="20"/>
          <w:color w:val="auto"/>
        </w:rPr>
      </w:pPr>
      <w:r>
        <w:rPr>
          <w:rFonts w:ascii="Arial" w:cs="Arial" w:eastAsia="Arial" w:hAnsi="Arial"/>
          <w:sz w:val="17"/>
          <w:szCs w:val="17"/>
          <w:color w:val="auto"/>
        </w:rPr>
        <w:t>OU</w:t>
      </w:r>
    </w:p>
    <w:p>
      <w:pPr>
        <w:spacing w:after="0" w:line="30" w:lineRule="exact"/>
        <w:rPr>
          <w:sz w:val="20"/>
          <w:szCs w:val="20"/>
          <w:color w:val="auto"/>
        </w:rPr>
      </w:pPr>
    </w:p>
    <w:p>
      <w:pPr>
        <w:ind w:left="260"/>
        <w:spacing w:after="0"/>
        <w:rPr>
          <w:sz w:val="20"/>
          <w:szCs w:val="20"/>
          <w:color w:val="auto"/>
        </w:rPr>
      </w:pPr>
      <w:r>
        <w:rPr>
          <w:rFonts w:ascii="Arial" w:cs="Arial" w:eastAsia="Arial" w:hAnsi="Arial"/>
          <w:sz w:val="17"/>
          <w:szCs w:val="17"/>
          <w:color w:val="auto"/>
        </w:rPr>
        <w:t>OU4 UAO</w:t>
      </w:r>
    </w:p>
    <w:p>
      <w:pPr>
        <w:spacing w:after="0" w:line="45" w:lineRule="exact"/>
        <w:rPr>
          <w:sz w:val="20"/>
          <w:szCs w:val="20"/>
          <w:color w:val="auto"/>
        </w:rPr>
      </w:pPr>
    </w:p>
    <w:p>
      <w:pPr>
        <w:ind w:left="260"/>
        <w:spacing w:after="0"/>
        <w:rPr>
          <w:sz w:val="20"/>
          <w:szCs w:val="20"/>
          <w:color w:val="auto"/>
        </w:rPr>
      </w:pPr>
      <w:r>
        <w:rPr>
          <w:rFonts w:ascii="Arial" w:cs="Arial" w:eastAsia="Arial" w:hAnsi="Arial"/>
          <w:sz w:val="17"/>
          <w:szCs w:val="17"/>
          <w:color w:val="auto"/>
        </w:rPr>
        <w:t>OxyChem</w:t>
      </w:r>
    </w:p>
    <w:p>
      <w:pPr>
        <w:spacing w:after="0" w:line="31" w:lineRule="exact"/>
        <w:rPr>
          <w:sz w:val="20"/>
          <w:szCs w:val="20"/>
          <w:color w:val="auto"/>
        </w:rPr>
      </w:pPr>
    </w:p>
    <w:p>
      <w:pPr>
        <w:ind w:left="260"/>
        <w:spacing w:after="0"/>
        <w:rPr>
          <w:sz w:val="20"/>
          <w:szCs w:val="20"/>
          <w:color w:val="auto"/>
        </w:rPr>
      </w:pPr>
      <w:r>
        <w:rPr>
          <w:rFonts w:ascii="Arial" w:cs="Arial" w:eastAsia="Arial" w:hAnsi="Arial"/>
          <w:sz w:val="17"/>
          <w:szCs w:val="17"/>
          <w:color w:val="auto"/>
        </w:rPr>
        <w:t>PVC</w:t>
      </w:r>
    </w:p>
    <w:p>
      <w:pPr>
        <w:spacing w:after="0" w:line="31" w:lineRule="exact"/>
        <w:rPr>
          <w:sz w:val="20"/>
          <w:szCs w:val="20"/>
          <w:color w:val="auto"/>
        </w:rPr>
      </w:pPr>
    </w:p>
    <w:p>
      <w:pPr>
        <w:ind w:left="260"/>
        <w:spacing w:after="0"/>
        <w:rPr>
          <w:sz w:val="20"/>
          <w:szCs w:val="20"/>
          <w:color w:val="auto"/>
        </w:rPr>
      </w:pPr>
      <w:r>
        <w:rPr>
          <w:rFonts w:ascii="Arial" w:cs="Arial" w:eastAsia="Arial" w:hAnsi="Arial"/>
          <w:sz w:val="17"/>
          <w:szCs w:val="17"/>
          <w:color w:val="auto"/>
        </w:rPr>
        <w:t>RCF</w:t>
      </w:r>
    </w:p>
    <w:p>
      <w:pPr>
        <w:spacing w:after="0" w:line="19" w:lineRule="exact"/>
        <w:rPr>
          <w:sz w:val="20"/>
          <w:szCs w:val="20"/>
          <w:color w:val="auto"/>
        </w:rPr>
      </w:pPr>
    </w:p>
    <w:p>
      <w:pPr>
        <w:ind w:left="260"/>
        <w:spacing w:after="0"/>
        <w:rPr>
          <w:sz w:val="20"/>
          <w:szCs w:val="20"/>
          <w:color w:val="auto"/>
        </w:rPr>
      </w:pPr>
      <w:r>
        <w:rPr>
          <w:rFonts w:ascii="Arial" w:cs="Arial" w:eastAsia="Arial" w:hAnsi="Arial"/>
          <w:sz w:val="17"/>
          <w:szCs w:val="17"/>
          <w:color w:val="auto"/>
        </w:rPr>
        <w:t>Repsol</w:t>
      </w:r>
    </w:p>
    <w:p>
      <w:pPr>
        <w:spacing w:after="0" w:line="30" w:lineRule="exact"/>
        <w:rPr>
          <w:sz w:val="20"/>
          <w:szCs w:val="20"/>
          <w:color w:val="auto"/>
        </w:rPr>
      </w:pPr>
    </w:p>
    <w:p>
      <w:pPr>
        <w:ind w:left="260"/>
        <w:spacing w:after="0"/>
        <w:rPr>
          <w:sz w:val="20"/>
          <w:szCs w:val="20"/>
          <w:color w:val="auto"/>
        </w:rPr>
      </w:pPr>
      <w:r>
        <w:rPr>
          <w:rFonts w:ascii="Arial" w:cs="Arial" w:eastAsia="Arial" w:hAnsi="Arial"/>
          <w:sz w:val="17"/>
          <w:szCs w:val="17"/>
          <w:color w:val="auto"/>
        </w:rPr>
        <w:t>ROD</w:t>
      </w:r>
    </w:p>
    <w:p>
      <w:pPr>
        <w:spacing w:after="0" w:line="31" w:lineRule="exact"/>
        <w:rPr>
          <w:sz w:val="20"/>
          <w:szCs w:val="20"/>
          <w:color w:val="auto"/>
        </w:rPr>
      </w:pPr>
    </w:p>
    <w:p>
      <w:pPr>
        <w:ind w:left="260"/>
        <w:spacing w:after="0"/>
        <w:rPr>
          <w:sz w:val="20"/>
          <w:szCs w:val="20"/>
          <w:color w:val="auto"/>
        </w:rPr>
      </w:pPr>
      <w:r>
        <w:rPr>
          <w:rFonts w:ascii="Arial" w:cs="Arial" w:eastAsia="Arial" w:hAnsi="Arial"/>
          <w:sz w:val="17"/>
          <w:szCs w:val="17"/>
          <w:color w:val="auto"/>
        </w:rPr>
        <w:t>Trust</w:t>
      </w:r>
    </w:p>
    <w:p>
      <w:pPr>
        <w:spacing w:after="0" w:line="19" w:lineRule="exact"/>
        <w:rPr>
          <w:sz w:val="20"/>
          <w:szCs w:val="20"/>
          <w:color w:val="auto"/>
        </w:rPr>
      </w:pPr>
    </w:p>
    <w:p>
      <w:pPr>
        <w:ind w:left="260"/>
        <w:spacing w:after="0"/>
        <w:rPr>
          <w:sz w:val="20"/>
          <w:szCs w:val="20"/>
          <w:color w:val="auto"/>
        </w:rPr>
      </w:pPr>
      <w:r>
        <w:rPr>
          <w:rFonts w:ascii="Arial" w:cs="Arial" w:eastAsia="Arial" w:hAnsi="Arial"/>
          <w:sz w:val="17"/>
          <w:szCs w:val="17"/>
          <w:color w:val="auto"/>
        </w:rPr>
        <w:t>WES</w:t>
      </w:r>
    </w:p>
    <w:p>
      <w:pPr>
        <w:spacing w:after="0" w:line="30" w:lineRule="exact"/>
        <w:rPr>
          <w:sz w:val="20"/>
          <w:szCs w:val="20"/>
          <w:color w:val="auto"/>
        </w:rPr>
      </w:pPr>
    </w:p>
    <w:p>
      <w:pPr>
        <w:ind w:left="260"/>
        <w:spacing w:after="0"/>
        <w:rPr>
          <w:sz w:val="20"/>
          <w:szCs w:val="20"/>
          <w:color w:val="auto"/>
        </w:rPr>
      </w:pPr>
      <w:r>
        <w:rPr>
          <w:rFonts w:ascii="Arial" w:cs="Arial" w:eastAsia="Arial" w:hAnsi="Arial"/>
          <w:sz w:val="17"/>
          <w:szCs w:val="17"/>
          <w:color w:val="auto"/>
        </w:rPr>
        <w:t>WES Operating</w:t>
      </w:r>
    </w:p>
    <w:p>
      <w:pPr>
        <w:spacing w:after="0" w:line="31" w:lineRule="exact"/>
        <w:rPr>
          <w:sz w:val="20"/>
          <w:szCs w:val="20"/>
          <w:color w:val="auto"/>
        </w:rPr>
      </w:pPr>
    </w:p>
    <w:p>
      <w:pPr>
        <w:ind w:left="260"/>
        <w:spacing w:after="0"/>
        <w:rPr>
          <w:sz w:val="20"/>
          <w:szCs w:val="20"/>
          <w:color w:val="auto"/>
        </w:rPr>
      </w:pPr>
      <w:r>
        <w:rPr>
          <w:rFonts w:ascii="Arial" w:cs="Arial" w:eastAsia="Arial" w:hAnsi="Arial"/>
          <w:sz w:val="17"/>
          <w:szCs w:val="17"/>
          <w:color w:val="auto"/>
        </w:rPr>
        <w:t>WTI</w:t>
      </w:r>
    </w:p>
    <w:p>
      <w:pPr>
        <w:spacing w:after="0" w:line="19" w:lineRule="exact"/>
        <w:rPr>
          <w:sz w:val="20"/>
          <w:szCs w:val="20"/>
          <w:color w:val="auto"/>
        </w:rPr>
      </w:pPr>
    </w:p>
    <w:p>
      <w:pPr>
        <w:ind w:left="260"/>
        <w:spacing w:after="0"/>
        <w:rPr>
          <w:sz w:val="20"/>
          <w:szCs w:val="20"/>
          <w:color w:val="auto"/>
        </w:rPr>
      </w:pPr>
      <w:r>
        <w:rPr>
          <w:rFonts w:ascii="Arial" w:cs="Arial" w:eastAsia="Arial" w:hAnsi="Arial"/>
          <w:sz w:val="17"/>
          <w:szCs w:val="17"/>
          <w:color w:val="auto"/>
        </w:rPr>
        <w:t>YPF</w:t>
      </w:r>
    </w:p>
    <w:p>
      <w:pPr>
        <w:spacing w:after="0" w:line="30" w:lineRule="exact"/>
        <w:rPr>
          <w:sz w:val="20"/>
          <w:szCs w:val="20"/>
          <w:color w:val="auto"/>
        </w:rPr>
      </w:pPr>
    </w:p>
    <w:p>
      <w:pPr>
        <w:ind w:left="260"/>
        <w:spacing w:after="0"/>
        <w:rPr>
          <w:sz w:val="20"/>
          <w:szCs w:val="20"/>
          <w:color w:val="auto"/>
        </w:rPr>
      </w:pPr>
      <w:r>
        <w:rPr>
          <w:rFonts w:ascii="Arial" w:cs="Arial" w:eastAsia="Arial" w:hAnsi="Arial"/>
          <w:sz w:val="17"/>
          <w:szCs w:val="17"/>
          <w:color w:val="auto"/>
        </w:rPr>
        <w:t>Zero Coupons</w:t>
      </w:r>
    </w:p>
    <w:p>
      <w:pPr>
        <w:spacing w:after="0" w:line="19" w:lineRule="exact"/>
        <w:rPr>
          <w:sz w:val="20"/>
          <w:szCs w:val="20"/>
          <w:color w:val="auto"/>
        </w:rPr>
      </w:pPr>
    </w:p>
    <w:p>
      <w:pPr>
        <w:ind w:left="260"/>
        <w:spacing w:after="0"/>
        <w:rPr>
          <w:sz w:val="20"/>
          <w:szCs w:val="20"/>
          <w:color w:val="auto"/>
        </w:rPr>
      </w:pPr>
      <w:r>
        <w:rPr>
          <w:rFonts w:ascii="Arial" w:cs="Arial" w:eastAsia="Arial" w:hAnsi="Arial"/>
          <w:sz w:val="17"/>
          <w:szCs w:val="17"/>
          <w:color w:val="auto"/>
        </w:rPr>
        <w:t>2022 Form 10-K</w:t>
      </w:r>
    </w:p>
    <w:p>
      <w:pPr>
        <w:spacing w:after="0" w:line="20" w:lineRule="exact"/>
        <w:rPr>
          <w:sz w:val="20"/>
          <w:szCs w:val="20"/>
          <w:color w:val="auto"/>
        </w:rPr>
      </w:pPr>
      <w:r>
        <w:rPr>
          <w:sz w:val="20"/>
          <w:szCs w:val="20"/>
          <w:color w:val="auto"/>
        </w:rPr>
        <w:br w:type="column"/>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price per barrel</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color w:val="auto"/>
        </w:rPr>
        <w:t>Anadarko Petroleum Corporation and its consolidated subsidiaries</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color w:val="auto"/>
        </w:rPr>
        <w:t>Andes Petroleum Ecuador Ltd.</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Administrative Order on Consent</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billions of cubic feet</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color w:val="auto"/>
        </w:rPr>
        <w:t>Berkshire Hathaway Inc</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barrels of oil equivalent</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Comprehensive Environmental Response, Compensation, and Liability Act</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color w:val="auto"/>
        </w:rPr>
        <w:t>carbon dioxide</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Diamond Alkali Superfund Site</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Federal District Court in the State of New Jersey</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color w:val="auto"/>
        </w:rPr>
        <w:t>Diamond Shamrock Chemicals Company</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U.S. Department of Justice</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U.S. Environmental Protection Agency</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color w:val="auto"/>
        </w:rPr>
        <w:t>earnings per share</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last-in, first-out</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Maxus Energy Corporation</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color w:val="auto"/>
        </w:rPr>
        <w:t>thousands of barrels</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thousands of barrels equivalent</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thousands of barrels equivalent per day</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color w:val="auto"/>
        </w:rPr>
        <w:t>thousand cubic feet</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millions of barrels</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millions of cubic feet</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natural gas liquids</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National Priorities List</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Occidental Petroleum Corporation, a Delaware corporation and one or more entities in which it owns a controlling</w:t>
      </w:r>
    </w:p>
    <w:p>
      <w:pPr>
        <w:ind w:left="320"/>
        <w:spacing w:after="0"/>
        <w:rPr>
          <w:sz w:val="20"/>
          <w:szCs w:val="20"/>
          <w:color w:val="auto"/>
        </w:rPr>
      </w:pPr>
      <w:r>
        <w:rPr>
          <w:rFonts w:ascii="Arial" w:cs="Arial" w:eastAsia="Arial" w:hAnsi="Arial"/>
          <w:sz w:val="17"/>
          <w:szCs w:val="17"/>
          <w:color w:val="auto"/>
        </w:rPr>
        <w:t>interest (subsidiaries)</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Occidental Exploration and Production Company</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color w:val="auto"/>
        </w:rPr>
        <w:t>Organization of the Petroleum Exporting Countries</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Operable Unit</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Operable Unit 4 Unilateral Administrative Order</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color w:val="auto"/>
        </w:rPr>
        <w:t>Occidental Chemical Corporation</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color w:val="auto"/>
        </w:rPr>
        <w:t>polyvinyl chloride</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color w:val="auto"/>
        </w:rPr>
        <w:t>revolving credit facility</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Repsol, S.A.</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Record of Decision</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color w:val="auto"/>
        </w:rPr>
        <w:t>Maxus Liquidating Trust</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Western Midstream Partners, LP</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Western Midstream Operating, LP</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color w:val="auto"/>
        </w:rPr>
        <w:t>West Texas Intermediate</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YPF S.A.</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Zero Coupon senior notes due 2036</w:t>
      </w:r>
    </w:p>
    <w:p>
      <w:pPr>
        <w:spacing w:after="0" w:line="8" w:lineRule="exact"/>
        <w:rPr>
          <w:sz w:val="20"/>
          <w:szCs w:val="20"/>
          <w:color w:val="auto"/>
        </w:rPr>
      </w:pPr>
    </w:p>
    <w:p>
      <w:pPr>
        <w:spacing w:after="0"/>
        <w:rPr>
          <w:sz w:val="20"/>
          <w:szCs w:val="20"/>
          <w:color w:val="auto"/>
        </w:rPr>
      </w:pPr>
      <w:r>
        <w:rPr>
          <w:rFonts w:ascii="Arial" w:cs="Arial" w:eastAsia="Arial" w:hAnsi="Arial"/>
          <w:sz w:val="17"/>
          <w:szCs w:val="17"/>
          <w:color w:val="auto"/>
        </w:rPr>
        <w:t>Occidental’s Annual Report on Form 10-K for the year ended December 31, 2022, including any amendments</w:t>
      </w:r>
    </w:p>
    <w:p>
      <w:pPr>
        <w:ind w:left="320"/>
        <w:spacing w:after="0"/>
        <w:rPr>
          <w:sz w:val="20"/>
          <w:szCs w:val="20"/>
          <w:color w:val="auto"/>
        </w:rPr>
      </w:pPr>
      <w:r>
        <w:rPr>
          <w:rFonts w:ascii="Arial" w:cs="Arial" w:eastAsia="Arial" w:hAnsi="Arial"/>
          <w:sz w:val="17"/>
          <w:szCs w:val="17"/>
          <w:color w:val="auto"/>
        </w:rPr>
        <w:t>thereto</w:t>
      </w:r>
    </w:p>
    <w:p>
      <w:pPr>
        <w:spacing w:after="0" w:line="200" w:lineRule="exact"/>
        <w:rPr>
          <w:sz w:val="20"/>
          <w:szCs w:val="20"/>
          <w:color w:val="auto"/>
        </w:rPr>
      </w:pPr>
    </w:p>
    <w:p>
      <w:pPr>
        <w:sectPr>
          <w:pgSz w:w="11900" w:h="16838" w:orient="portrait"/>
          <w:cols w:equalWidth="0" w:num="2">
            <w:col w:w="2120" w:space="720"/>
            <w:col w:w="8440"/>
          </w:cols>
          <w:pgMar w:left="320" w:top="1076" w:right="2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74930</wp:posOffset>
            </wp:positionV>
            <wp:extent cx="715962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80"/>
          </w:cols>
          <w:pgMar w:left="320" w:top="1076" w:right="299" w:bottom="1440" w:gutter="0" w:footer="0" w:header="0"/>
          <w:type w:val="continuous"/>
        </w:sectPr>
      </w:pPr>
    </w:p>
    <w:bookmarkStart w:id="3" w:name="page4"/>
    <w:bookmarkEnd w:id="3"/>
    <w:p>
      <w:pPr>
        <w:spacing w:after="0"/>
        <w:tabs>
          <w:tab w:leader="none" w:pos="900" w:val="left"/>
        </w:tabs>
        <w:rPr>
          <w:sz w:val="20"/>
          <w:szCs w:val="20"/>
          <w:color w:val="auto"/>
        </w:rPr>
      </w:pPr>
      <w:r>
        <w:rPr>
          <w:rFonts w:ascii="Arial" w:cs="Arial" w:eastAsia="Arial" w:hAnsi="Arial"/>
          <w:sz w:val="21"/>
          <w:szCs w:val="21"/>
          <w:b w:val="1"/>
          <w:bCs w:val="1"/>
          <w:color w:val="00539B"/>
        </w:rPr>
        <w:t>PART I</w:t>
        <w:tab/>
        <w:t>FINANCIAL INFORMATION</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6680" w:type="dxa"/>
            <w:vAlign w:val="bottom"/>
          </w:tcPr>
          <w:p>
            <w:pPr>
              <w:spacing w:after="0"/>
              <w:rPr>
                <w:sz w:val="20"/>
                <w:szCs w:val="20"/>
                <w:color w:val="auto"/>
              </w:rPr>
            </w:pPr>
            <w:r>
              <w:rPr>
                <w:rFonts w:ascii="Arial" w:cs="Arial" w:eastAsia="Arial" w:hAnsi="Arial"/>
                <w:sz w:val="20"/>
                <w:szCs w:val="20"/>
                <w:b w:val="1"/>
                <w:bCs w:val="1"/>
                <w:color w:val="00539B"/>
              </w:rPr>
              <w:t>Item 1. Financial Statements (unaudited)</w:t>
            </w:r>
          </w:p>
        </w:tc>
        <w:tc>
          <w:tcPr>
            <w:tcW w:w="16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vMerge w:val="restart"/>
          </w:tcPr>
          <w:p>
            <w:pPr>
              <w:jc w:val="right"/>
              <w:spacing w:after="0"/>
              <w:rPr>
                <w:sz w:val="20"/>
                <w:szCs w:val="20"/>
                <w:color w:val="auto"/>
              </w:rPr>
            </w:pPr>
            <w:r>
              <w:rPr>
                <w:rFonts w:ascii="Arial" w:cs="Arial" w:eastAsia="Arial" w:hAnsi="Arial"/>
                <w:sz w:val="17"/>
                <w:szCs w:val="17"/>
                <w:color w:val="auto"/>
              </w:rPr>
              <w:t>Subsidiaries</w:t>
            </w:r>
          </w:p>
        </w:tc>
        <w:tc>
          <w:tcPr>
            <w:tcW w:w="0" w:type="dxa"/>
            <w:vAlign w:val="bottom"/>
          </w:tcPr>
          <w:p>
            <w:pPr>
              <w:spacing w:after="0"/>
              <w:rPr>
                <w:sz w:val="1"/>
                <w:szCs w:val="1"/>
                <w:color w:val="auto"/>
              </w:rPr>
            </w:pPr>
          </w:p>
        </w:tc>
      </w:tr>
      <w:tr>
        <w:trPr>
          <w:trHeight w:val="36"/>
        </w:trPr>
        <w:tc>
          <w:tcPr>
            <w:tcW w:w="6680" w:type="dxa"/>
            <w:vAlign w:val="bottom"/>
          </w:tcPr>
          <w:p>
            <w:pPr>
              <w:ind w:left="20"/>
              <w:spacing w:after="0" w:line="36" w:lineRule="exact"/>
              <w:rPr>
                <w:sz w:val="20"/>
                <w:szCs w:val="20"/>
                <w:color w:val="auto"/>
              </w:rPr>
            </w:pPr>
            <w:r>
              <w:rPr>
                <w:rFonts w:ascii="Arial" w:cs="Arial" w:eastAsia="Arial" w:hAnsi="Arial"/>
                <w:sz w:val="4"/>
                <w:szCs w:val="4"/>
                <w:b w:val="1"/>
                <w:bCs w:val="1"/>
                <w:color w:val="00539B"/>
              </w:rPr>
              <w:t>Consolidated Condensed Balance Sheets</w:t>
            </w:r>
          </w:p>
        </w:tc>
        <w:tc>
          <w:tcPr>
            <w:tcW w:w="1600" w:type="dxa"/>
            <w:vAlign w:val="bottom"/>
          </w:tcPr>
          <w:p>
            <w:pPr>
              <w:spacing w:after="0"/>
              <w:rPr>
                <w:sz w:val="3"/>
                <w:szCs w:val="3"/>
                <w:color w:val="auto"/>
              </w:rPr>
            </w:pPr>
          </w:p>
        </w:tc>
        <w:tc>
          <w:tcPr>
            <w:tcW w:w="13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5"/>
        </w:trPr>
        <w:tc>
          <w:tcPr>
            <w:tcW w:w="66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960" w:type="dxa"/>
            <w:vAlign w:val="bottom"/>
            <w:gridSpan w:val="3"/>
          </w:tcPr>
          <w:p>
            <w:pPr>
              <w:jc w:val="right"/>
              <w:spacing w:after="0"/>
              <w:rPr>
                <w:sz w:val="20"/>
                <w:szCs w:val="20"/>
                <w:color w:val="auto"/>
              </w:rPr>
            </w:pPr>
            <w:r>
              <w:rPr>
                <w:rFonts w:ascii="Arial" w:cs="Arial" w:eastAsia="Arial" w:hAnsi="Arial"/>
                <w:sz w:val="17"/>
                <w:szCs w:val="17"/>
                <w:color w:val="auto"/>
              </w:rPr>
              <w:t>Occidental Petroleum Corporation and</w:t>
            </w:r>
          </w:p>
        </w:tc>
        <w:tc>
          <w:tcPr>
            <w:tcW w:w="0" w:type="dxa"/>
            <w:vAlign w:val="bottom"/>
          </w:tcPr>
          <w:p>
            <w:pPr>
              <w:spacing w:after="0"/>
              <w:rPr>
                <w:sz w:val="1"/>
                <w:szCs w:val="1"/>
                <w:color w:val="auto"/>
              </w:rPr>
            </w:pPr>
          </w:p>
        </w:tc>
      </w:tr>
      <w:tr>
        <w:trPr>
          <w:trHeight w:val="285"/>
        </w:trPr>
        <w:tc>
          <w:tcPr>
            <w:tcW w:w="66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6680" w:type="dxa"/>
            <w:vAlign w:val="bottom"/>
            <w:tcBorders>
              <w:bottom w:val="single" w:sz="8" w:color="auto"/>
            </w:tcBorders>
          </w:tcPr>
          <w:p>
            <w:pPr>
              <w:ind w:left="20"/>
              <w:spacing w:after="0"/>
              <w:rPr>
                <w:sz w:val="20"/>
                <w:szCs w:val="20"/>
                <w:color w:val="auto"/>
              </w:rPr>
            </w:pPr>
            <w:r>
              <w:rPr>
                <w:rFonts w:ascii="Arial" w:cs="Arial" w:eastAsia="Arial" w:hAnsi="Arial"/>
                <w:sz w:val="17"/>
                <w:szCs w:val="17"/>
                <w:i w:val="1"/>
                <w:iCs w:val="1"/>
                <w:color w:val="auto"/>
              </w:rPr>
              <w:t>millions</w:t>
            </w:r>
          </w:p>
        </w:tc>
        <w:tc>
          <w:tcPr>
            <w:tcW w:w="16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June 30, 2023</w:t>
            </w:r>
          </w:p>
        </w:tc>
        <w:tc>
          <w:tcPr>
            <w:tcW w:w="158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December 31, 2022</w:t>
            </w:r>
          </w:p>
        </w:tc>
        <w:tc>
          <w:tcPr>
            <w:tcW w:w="0" w:type="dxa"/>
            <w:vAlign w:val="bottom"/>
          </w:tcPr>
          <w:p>
            <w:pPr>
              <w:spacing w:after="0"/>
              <w:rPr>
                <w:sz w:val="1"/>
                <w:szCs w:val="1"/>
                <w:color w:val="auto"/>
              </w:rPr>
            </w:pPr>
          </w:p>
        </w:tc>
      </w:tr>
      <w:tr>
        <w:trPr>
          <w:trHeight w:val="301"/>
        </w:trPr>
        <w:tc>
          <w:tcPr>
            <w:tcW w:w="6680" w:type="dxa"/>
            <w:vAlign w:val="bottom"/>
          </w:tcPr>
          <w:p>
            <w:pPr>
              <w:ind w:left="20"/>
              <w:spacing w:after="0"/>
              <w:rPr>
                <w:sz w:val="20"/>
                <w:szCs w:val="20"/>
                <w:color w:val="auto"/>
              </w:rPr>
            </w:pPr>
            <w:r>
              <w:rPr>
                <w:rFonts w:ascii="Arial" w:cs="Arial" w:eastAsia="Arial" w:hAnsi="Arial"/>
                <w:sz w:val="17"/>
                <w:szCs w:val="17"/>
                <w:b w:val="1"/>
                <w:bCs w:val="1"/>
                <w:color w:val="auto"/>
              </w:rPr>
              <w:t>ASSETS</w:t>
            </w:r>
          </w:p>
        </w:tc>
        <w:tc>
          <w:tcPr>
            <w:tcW w:w="16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6680" w:type="dxa"/>
            <w:vAlign w:val="bottom"/>
          </w:tcPr>
          <w:p>
            <w:pPr>
              <w:ind w:left="20"/>
              <w:spacing w:after="0"/>
              <w:rPr>
                <w:sz w:val="20"/>
                <w:szCs w:val="20"/>
                <w:color w:val="auto"/>
              </w:rPr>
            </w:pPr>
            <w:r>
              <w:rPr>
                <w:rFonts w:ascii="Arial" w:cs="Arial" w:eastAsia="Arial" w:hAnsi="Arial"/>
                <w:sz w:val="17"/>
                <w:szCs w:val="17"/>
                <w:b w:val="1"/>
                <w:bCs w:val="1"/>
                <w:color w:val="auto"/>
              </w:rPr>
              <w:t>CURRENT ASSETS</w:t>
            </w:r>
          </w:p>
        </w:tc>
        <w:tc>
          <w:tcPr>
            <w:tcW w:w="1600" w:type="dxa"/>
            <w:vAlign w:val="bottom"/>
            <w:vMerge w:val="restart"/>
          </w:tcPr>
          <w:p>
            <w:pPr>
              <w:jc w:val="right"/>
              <w:spacing w:after="0"/>
              <w:rPr>
                <w:sz w:val="20"/>
                <w:szCs w:val="20"/>
                <w:color w:val="auto"/>
              </w:rPr>
            </w:pPr>
            <w:r>
              <w:rPr>
                <w:rFonts w:ascii="Arial" w:cs="Arial" w:eastAsia="Arial" w:hAnsi="Arial"/>
                <w:sz w:val="17"/>
                <w:szCs w:val="17"/>
                <w:b w:val="1"/>
                <w:bCs w:val="1"/>
                <w:color w:val="00539B"/>
              </w:rPr>
              <w:t>$</w:t>
            </w:r>
          </w:p>
        </w:tc>
        <w:tc>
          <w:tcPr>
            <w:tcW w:w="1380" w:type="dxa"/>
            <w:vAlign w:val="bottom"/>
            <w:vMerge w:val="restart"/>
          </w:tcPr>
          <w:p>
            <w:pPr>
              <w:jc w:val="right"/>
              <w:spacing w:after="0"/>
              <w:rPr>
                <w:sz w:val="20"/>
                <w:szCs w:val="20"/>
                <w:color w:val="auto"/>
              </w:rPr>
            </w:pPr>
            <w:r>
              <w:rPr>
                <w:rFonts w:ascii="Arial" w:cs="Arial" w:eastAsia="Arial" w:hAnsi="Arial"/>
                <w:sz w:val="17"/>
                <w:szCs w:val="17"/>
                <w:b w:val="1"/>
                <w:bCs w:val="1"/>
                <w:color w:val="00539B"/>
              </w:rPr>
              <w:t>486</w:t>
            </w: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6680" w:type="dxa"/>
            <w:vAlign w:val="bottom"/>
          </w:tcPr>
          <w:p>
            <w:pPr>
              <w:ind w:left="340"/>
              <w:spacing w:after="0"/>
              <w:rPr>
                <w:sz w:val="20"/>
                <w:szCs w:val="20"/>
                <w:color w:val="auto"/>
              </w:rPr>
            </w:pPr>
            <w:r>
              <w:rPr>
                <w:rFonts w:ascii="Arial" w:cs="Arial" w:eastAsia="Arial" w:hAnsi="Arial"/>
                <w:sz w:val="17"/>
                <w:szCs w:val="17"/>
                <w:color w:val="auto"/>
              </w:rPr>
              <w:t>Cash and cash equivalents</w:t>
            </w:r>
          </w:p>
        </w:tc>
        <w:tc>
          <w:tcPr>
            <w:tcW w:w="1600" w:type="dxa"/>
            <w:vAlign w:val="bottom"/>
            <w:vMerge w:val="continue"/>
          </w:tcPr>
          <w:p>
            <w:pPr>
              <w:spacing w:after="0"/>
              <w:rPr>
                <w:sz w:val="19"/>
                <w:szCs w:val="19"/>
                <w:color w:val="auto"/>
              </w:rPr>
            </w:pPr>
          </w:p>
        </w:tc>
        <w:tc>
          <w:tcPr>
            <w:tcW w:w="1380" w:type="dxa"/>
            <w:vAlign w:val="bottom"/>
            <w:vMerge w:val="continue"/>
          </w:tcPr>
          <w:p>
            <w:pPr>
              <w:spacing w:after="0"/>
              <w:rPr>
                <w:sz w:val="19"/>
                <w:szCs w:val="19"/>
                <w:color w:val="auto"/>
              </w:rPr>
            </w:pPr>
          </w:p>
        </w:tc>
        <w:tc>
          <w:tcPr>
            <w:tcW w:w="380" w:type="dxa"/>
            <w:vAlign w:val="bottom"/>
          </w:tcPr>
          <w:p>
            <w:pPr>
              <w:jc w:val="right"/>
              <w:ind w:right="196"/>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984</w:t>
            </w:r>
          </w:p>
        </w:tc>
        <w:tc>
          <w:tcPr>
            <w:tcW w:w="0" w:type="dxa"/>
            <w:vAlign w:val="bottom"/>
          </w:tcPr>
          <w:p>
            <w:pPr>
              <w:spacing w:after="0"/>
              <w:rPr>
                <w:sz w:val="1"/>
                <w:szCs w:val="1"/>
                <w:color w:val="auto"/>
              </w:rPr>
            </w:pPr>
          </w:p>
        </w:tc>
      </w:tr>
      <w:tr>
        <w:trPr>
          <w:trHeight w:val="213"/>
        </w:trPr>
        <w:tc>
          <w:tcPr>
            <w:tcW w:w="6680" w:type="dxa"/>
            <w:vAlign w:val="bottom"/>
          </w:tcPr>
          <w:p>
            <w:pPr>
              <w:ind w:left="340"/>
              <w:spacing w:after="0"/>
              <w:rPr>
                <w:sz w:val="20"/>
                <w:szCs w:val="20"/>
                <w:color w:val="auto"/>
              </w:rPr>
            </w:pPr>
            <w:r>
              <w:rPr>
                <w:rFonts w:ascii="Arial" w:cs="Arial" w:eastAsia="Arial" w:hAnsi="Arial"/>
                <w:sz w:val="17"/>
                <w:szCs w:val="17"/>
                <w:color w:val="auto"/>
              </w:rPr>
              <w:t>Trade receivables, net of reserves of $24 in 2023 and $37 in 2022</w:t>
            </w:r>
          </w:p>
        </w:tc>
        <w:tc>
          <w:tcPr>
            <w:tcW w:w="16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b w:val="1"/>
                <w:bCs w:val="1"/>
                <w:color w:val="00539B"/>
              </w:rPr>
              <w:t>2,850</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4,281</w:t>
            </w:r>
          </w:p>
        </w:tc>
        <w:tc>
          <w:tcPr>
            <w:tcW w:w="0" w:type="dxa"/>
            <w:vAlign w:val="bottom"/>
          </w:tcPr>
          <w:p>
            <w:pPr>
              <w:spacing w:after="0"/>
              <w:rPr>
                <w:sz w:val="1"/>
                <w:szCs w:val="1"/>
                <w:color w:val="auto"/>
              </w:rPr>
            </w:pPr>
          </w:p>
        </w:tc>
      </w:tr>
      <w:tr>
        <w:trPr>
          <w:trHeight w:val="227"/>
        </w:trPr>
        <w:tc>
          <w:tcPr>
            <w:tcW w:w="6680" w:type="dxa"/>
            <w:vAlign w:val="bottom"/>
          </w:tcPr>
          <w:p>
            <w:pPr>
              <w:ind w:left="340"/>
              <w:spacing w:after="0"/>
              <w:rPr>
                <w:sz w:val="20"/>
                <w:szCs w:val="20"/>
                <w:color w:val="auto"/>
              </w:rPr>
            </w:pPr>
            <w:r>
              <w:rPr>
                <w:rFonts w:ascii="Arial" w:cs="Arial" w:eastAsia="Arial" w:hAnsi="Arial"/>
                <w:sz w:val="17"/>
                <w:szCs w:val="17"/>
                <w:color w:val="auto"/>
              </w:rPr>
              <w:t>Inventories</w:t>
            </w:r>
          </w:p>
        </w:tc>
        <w:tc>
          <w:tcPr>
            <w:tcW w:w="16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b w:val="1"/>
                <w:bCs w:val="1"/>
                <w:color w:val="00539B"/>
              </w:rPr>
              <w:t>2,021</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2,059</w:t>
            </w:r>
          </w:p>
        </w:tc>
        <w:tc>
          <w:tcPr>
            <w:tcW w:w="0" w:type="dxa"/>
            <w:vAlign w:val="bottom"/>
          </w:tcPr>
          <w:p>
            <w:pPr>
              <w:spacing w:after="0"/>
              <w:rPr>
                <w:sz w:val="1"/>
                <w:szCs w:val="1"/>
                <w:color w:val="auto"/>
              </w:rPr>
            </w:pPr>
          </w:p>
        </w:tc>
      </w:tr>
      <w:tr>
        <w:trPr>
          <w:trHeight w:val="237"/>
        </w:trPr>
        <w:tc>
          <w:tcPr>
            <w:tcW w:w="6680" w:type="dxa"/>
            <w:vAlign w:val="bottom"/>
            <w:tcBorders>
              <w:bottom w:val="single" w:sz="8" w:color="auto"/>
            </w:tcBorders>
          </w:tcPr>
          <w:p>
            <w:pPr>
              <w:ind w:left="340"/>
              <w:spacing w:after="0"/>
              <w:rPr>
                <w:sz w:val="20"/>
                <w:szCs w:val="20"/>
                <w:color w:val="auto"/>
              </w:rPr>
            </w:pPr>
            <w:r>
              <w:rPr>
                <w:rFonts w:ascii="Arial" w:cs="Arial" w:eastAsia="Arial" w:hAnsi="Arial"/>
                <w:sz w:val="17"/>
                <w:szCs w:val="17"/>
                <w:color w:val="auto"/>
              </w:rPr>
              <w:t>Other current assets</w:t>
            </w:r>
          </w:p>
        </w:tc>
        <w:tc>
          <w:tcPr>
            <w:tcW w:w="16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2,097</w:t>
            </w: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1,562</w:t>
            </w:r>
          </w:p>
        </w:tc>
        <w:tc>
          <w:tcPr>
            <w:tcW w:w="0" w:type="dxa"/>
            <w:vAlign w:val="bottom"/>
          </w:tcPr>
          <w:p>
            <w:pPr>
              <w:spacing w:after="0"/>
              <w:rPr>
                <w:sz w:val="1"/>
                <w:szCs w:val="1"/>
                <w:color w:val="auto"/>
              </w:rPr>
            </w:pPr>
          </w:p>
        </w:tc>
      </w:tr>
      <w:tr>
        <w:trPr>
          <w:trHeight w:val="209"/>
        </w:trPr>
        <w:tc>
          <w:tcPr>
            <w:tcW w:w="6680" w:type="dxa"/>
            <w:vAlign w:val="bottom"/>
            <w:tcBorders>
              <w:bottom w:val="single" w:sz="8" w:color="auto"/>
            </w:tcBorders>
          </w:tcPr>
          <w:p>
            <w:pPr>
              <w:ind w:left="340"/>
              <w:spacing w:after="0"/>
              <w:rPr>
                <w:sz w:val="20"/>
                <w:szCs w:val="20"/>
                <w:color w:val="auto"/>
              </w:rPr>
            </w:pPr>
            <w:r>
              <w:rPr>
                <w:rFonts w:ascii="Arial" w:cs="Arial" w:eastAsia="Arial" w:hAnsi="Arial"/>
                <w:sz w:val="17"/>
                <w:szCs w:val="17"/>
                <w:color w:val="auto"/>
              </w:rPr>
              <w:t>Total current assets</w:t>
            </w:r>
          </w:p>
        </w:tc>
        <w:tc>
          <w:tcPr>
            <w:tcW w:w="16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7,454</w:t>
            </w: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8,886</w:t>
            </w:r>
          </w:p>
        </w:tc>
        <w:tc>
          <w:tcPr>
            <w:tcW w:w="0" w:type="dxa"/>
            <w:vAlign w:val="bottom"/>
          </w:tcPr>
          <w:p>
            <w:pPr>
              <w:spacing w:after="0"/>
              <w:rPr>
                <w:sz w:val="1"/>
                <w:szCs w:val="1"/>
                <w:color w:val="auto"/>
              </w:rPr>
            </w:pPr>
          </w:p>
        </w:tc>
      </w:tr>
      <w:tr>
        <w:trPr>
          <w:trHeight w:val="322"/>
        </w:trPr>
        <w:tc>
          <w:tcPr>
            <w:tcW w:w="6680" w:type="dxa"/>
            <w:vAlign w:val="bottom"/>
          </w:tcPr>
          <w:p>
            <w:pPr>
              <w:ind w:left="20"/>
              <w:spacing w:after="0"/>
              <w:rPr>
                <w:sz w:val="20"/>
                <w:szCs w:val="20"/>
                <w:color w:val="auto"/>
              </w:rPr>
            </w:pPr>
            <w:r>
              <w:rPr>
                <w:rFonts w:ascii="Arial" w:cs="Arial" w:eastAsia="Arial" w:hAnsi="Arial"/>
                <w:sz w:val="17"/>
                <w:szCs w:val="17"/>
                <w:b w:val="1"/>
                <w:bCs w:val="1"/>
                <w:color w:val="auto"/>
              </w:rPr>
              <w:t>INVESTMENTS IN UNCONSOLIDATED ENTITIES</w:t>
            </w:r>
          </w:p>
        </w:tc>
        <w:tc>
          <w:tcPr>
            <w:tcW w:w="160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7"/>
                <w:szCs w:val="17"/>
                <w:b w:val="1"/>
                <w:bCs w:val="1"/>
                <w:color w:val="00539B"/>
              </w:rPr>
              <w:t>3,431</w:t>
            </w:r>
          </w:p>
        </w:tc>
        <w:tc>
          <w:tcPr>
            <w:tcW w:w="3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3,176</w:t>
            </w:r>
          </w:p>
        </w:tc>
        <w:tc>
          <w:tcPr>
            <w:tcW w:w="0" w:type="dxa"/>
            <w:vAlign w:val="bottom"/>
          </w:tcPr>
          <w:p>
            <w:pPr>
              <w:spacing w:after="0"/>
              <w:rPr>
                <w:sz w:val="1"/>
                <w:szCs w:val="1"/>
                <w:color w:val="auto"/>
              </w:rPr>
            </w:pPr>
          </w:p>
        </w:tc>
      </w:tr>
      <w:tr>
        <w:trPr>
          <w:trHeight w:val="320"/>
        </w:trPr>
        <w:tc>
          <w:tcPr>
            <w:tcW w:w="6680" w:type="dxa"/>
            <w:vAlign w:val="bottom"/>
          </w:tcPr>
          <w:p>
            <w:pPr>
              <w:ind w:left="20"/>
              <w:spacing w:after="0"/>
              <w:rPr>
                <w:sz w:val="20"/>
                <w:szCs w:val="20"/>
                <w:color w:val="auto"/>
              </w:rPr>
            </w:pPr>
            <w:r>
              <w:rPr>
                <w:rFonts w:ascii="Arial" w:cs="Arial" w:eastAsia="Arial" w:hAnsi="Arial"/>
                <w:sz w:val="17"/>
                <w:szCs w:val="17"/>
                <w:b w:val="1"/>
                <w:bCs w:val="1"/>
                <w:color w:val="auto"/>
              </w:rPr>
              <w:t>PROPERTY, PLANT AND EQUIPMENT</w:t>
            </w:r>
          </w:p>
        </w:tc>
        <w:tc>
          <w:tcPr>
            <w:tcW w:w="1600" w:type="dxa"/>
            <w:vAlign w:val="bottom"/>
          </w:tcPr>
          <w:p>
            <w:pPr>
              <w:spacing w:after="0"/>
              <w:rPr>
                <w:sz w:val="24"/>
                <w:szCs w:val="24"/>
                <w:color w:val="auto"/>
              </w:rPr>
            </w:pPr>
          </w:p>
        </w:tc>
        <w:tc>
          <w:tcPr>
            <w:tcW w:w="1380" w:type="dxa"/>
            <w:vAlign w:val="bottom"/>
            <w:vMerge w:val="restart"/>
          </w:tcPr>
          <w:p>
            <w:pPr>
              <w:jc w:val="right"/>
              <w:spacing w:after="0"/>
              <w:rPr>
                <w:sz w:val="20"/>
                <w:szCs w:val="20"/>
                <w:color w:val="auto"/>
              </w:rPr>
            </w:pPr>
            <w:r>
              <w:rPr>
                <w:rFonts w:ascii="Arial" w:cs="Arial" w:eastAsia="Arial" w:hAnsi="Arial"/>
                <w:sz w:val="17"/>
                <w:szCs w:val="17"/>
                <w:b w:val="1"/>
                <w:bCs w:val="1"/>
                <w:color w:val="00539B"/>
              </w:rPr>
              <w:t>107,190</w:t>
            </w: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6680" w:type="dxa"/>
            <w:vAlign w:val="bottom"/>
          </w:tcPr>
          <w:p>
            <w:pPr>
              <w:ind w:left="340"/>
              <w:spacing w:after="0"/>
              <w:rPr>
                <w:sz w:val="20"/>
                <w:szCs w:val="20"/>
                <w:color w:val="auto"/>
              </w:rPr>
            </w:pPr>
            <w:r>
              <w:rPr>
                <w:rFonts w:ascii="Arial" w:cs="Arial" w:eastAsia="Arial" w:hAnsi="Arial"/>
                <w:sz w:val="17"/>
                <w:szCs w:val="17"/>
                <w:color w:val="auto"/>
              </w:rPr>
              <w:t>Oil and gas</w:t>
            </w:r>
          </w:p>
        </w:tc>
        <w:tc>
          <w:tcPr>
            <w:tcW w:w="1600" w:type="dxa"/>
            <w:vAlign w:val="bottom"/>
          </w:tcPr>
          <w:p>
            <w:pPr>
              <w:spacing w:after="0"/>
              <w:rPr>
                <w:sz w:val="19"/>
                <w:szCs w:val="19"/>
                <w:color w:val="auto"/>
              </w:rPr>
            </w:pPr>
          </w:p>
        </w:tc>
        <w:tc>
          <w:tcPr>
            <w:tcW w:w="1380" w:type="dxa"/>
            <w:vAlign w:val="bottom"/>
            <w:vMerge w:val="continue"/>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104,487</w:t>
            </w:r>
          </w:p>
        </w:tc>
        <w:tc>
          <w:tcPr>
            <w:tcW w:w="0" w:type="dxa"/>
            <w:vAlign w:val="bottom"/>
          </w:tcPr>
          <w:p>
            <w:pPr>
              <w:spacing w:after="0"/>
              <w:rPr>
                <w:sz w:val="1"/>
                <w:szCs w:val="1"/>
                <w:color w:val="auto"/>
              </w:rPr>
            </w:pPr>
          </w:p>
        </w:tc>
      </w:tr>
      <w:tr>
        <w:trPr>
          <w:trHeight w:val="213"/>
        </w:trPr>
        <w:tc>
          <w:tcPr>
            <w:tcW w:w="6680" w:type="dxa"/>
            <w:vAlign w:val="bottom"/>
          </w:tcPr>
          <w:p>
            <w:pPr>
              <w:ind w:left="340"/>
              <w:spacing w:after="0"/>
              <w:rPr>
                <w:sz w:val="20"/>
                <w:szCs w:val="20"/>
                <w:color w:val="auto"/>
              </w:rPr>
            </w:pPr>
            <w:r>
              <w:rPr>
                <w:rFonts w:ascii="Arial" w:cs="Arial" w:eastAsia="Arial" w:hAnsi="Arial"/>
                <w:sz w:val="17"/>
                <w:szCs w:val="17"/>
                <w:color w:val="auto"/>
              </w:rPr>
              <w:t>Chemical</w:t>
            </w:r>
          </w:p>
        </w:tc>
        <w:tc>
          <w:tcPr>
            <w:tcW w:w="16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b w:val="1"/>
                <w:bCs w:val="1"/>
                <w:color w:val="00539B"/>
              </w:rPr>
              <w:t>7,946</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7,808</w:t>
            </w:r>
          </w:p>
        </w:tc>
        <w:tc>
          <w:tcPr>
            <w:tcW w:w="0" w:type="dxa"/>
            <w:vAlign w:val="bottom"/>
          </w:tcPr>
          <w:p>
            <w:pPr>
              <w:spacing w:after="0"/>
              <w:rPr>
                <w:sz w:val="1"/>
                <w:szCs w:val="1"/>
                <w:color w:val="auto"/>
              </w:rPr>
            </w:pPr>
          </w:p>
        </w:tc>
      </w:tr>
      <w:tr>
        <w:trPr>
          <w:trHeight w:val="227"/>
        </w:trPr>
        <w:tc>
          <w:tcPr>
            <w:tcW w:w="6680" w:type="dxa"/>
            <w:vAlign w:val="bottom"/>
          </w:tcPr>
          <w:p>
            <w:pPr>
              <w:ind w:left="340"/>
              <w:spacing w:after="0"/>
              <w:rPr>
                <w:sz w:val="20"/>
                <w:szCs w:val="20"/>
                <w:color w:val="auto"/>
              </w:rPr>
            </w:pPr>
            <w:r>
              <w:rPr>
                <w:rFonts w:ascii="Arial" w:cs="Arial" w:eastAsia="Arial" w:hAnsi="Arial"/>
                <w:sz w:val="17"/>
                <w:szCs w:val="17"/>
                <w:color w:val="auto"/>
              </w:rPr>
              <w:t>Midstream and marketing</w:t>
            </w:r>
          </w:p>
        </w:tc>
        <w:tc>
          <w:tcPr>
            <w:tcW w:w="16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b w:val="1"/>
                <w:bCs w:val="1"/>
                <w:color w:val="00539B"/>
              </w:rPr>
              <w:t>7,834</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7,550</w:t>
            </w:r>
          </w:p>
        </w:tc>
        <w:tc>
          <w:tcPr>
            <w:tcW w:w="0" w:type="dxa"/>
            <w:vAlign w:val="bottom"/>
          </w:tcPr>
          <w:p>
            <w:pPr>
              <w:spacing w:after="0"/>
              <w:rPr>
                <w:sz w:val="1"/>
                <w:szCs w:val="1"/>
                <w:color w:val="auto"/>
              </w:rPr>
            </w:pPr>
          </w:p>
        </w:tc>
      </w:tr>
      <w:tr>
        <w:trPr>
          <w:trHeight w:val="237"/>
        </w:trPr>
        <w:tc>
          <w:tcPr>
            <w:tcW w:w="6680" w:type="dxa"/>
            <w:vAlign w:val="bottom"/>
            <w:tcBorders>
              <w:bottom w:val="single" w:sz="8" w:color="auto"/>
            </w:tcBorders>
          </w:tcPr>
          <w:p>
            <w:pPr>
              <w:ind w:left="340"/>
              <w:spacing w:after="0"/>
              <w:rPr>
                <w:sz w:val="20"/>
                <w:szCs w:val="20"/>
                <w:color w:val="auto"/>
              </w:rPr>
            </w:pPr>
            <w:r>
              <w:rPr>
                <w:rFonts w:ascii="Arial" w:cs="Arial" w:eastAsia="Arial" w:hAnsi="Arial"/>
                <w:sz w:val="17"/>
                <w:szCs w:val="17"/>
                <w:color w:val="auto"/>
              </w:rPr>
              <w:t>Corporate</w:t>
            </w:r>
          </w:p>
        </w:tc>
        <w:tc>
          <w:tcPr>
            <w:tcW w:w="16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921</w:t>
            </w: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889</w:t>
            </w:r>
          </w:p>
        </w:tc>
        <w:tc>
          <w:tcPr>
            <w:tcW w:w="0" w:type="dxa"/>
            <w:vAlign w:val="bottom"/>
          </w:tcPr>
          <w:p>
            <w:pPr>
              <w:spacing w:after="0"/>
              <w:rPr>
                <w:sz w:val="1"/>
                <w:szCs w:val="1"/>
                <w:color w:val="auto"/>
              </w:rPr>
            </w:pPr>
          </w:p>
        </w:tc>
      </w:tr>
      <w:tr>
        <w:trPr>
          <w:trHeight w:val="196"/>
        </w:trPr>
        <w:tc>
          <w:tcPr>
            <w:tcW w:w="6680" w:type="dxa"/>
            <w:vAlign w:val="bottom"/>
          </w:tcPr>
          <w:p>
            <w:pPr>
              <w:ind w:left="340"/>
              <w:spacing w:after="0"/>
              <w:rPr>
                <w:sz w:val="20"/>
                <w:szCs w:val="20"/>
                <w:color w:val="auto"/>
              </w:rPr>
            </w:pPr>
            <w:r>
              <w:rPr>
                <w:rFonts w:ascii="Arial" w:cs="Arial" w:eastAsia="Arial" w:hAnsi="Arial"/>
                <w:sz w:val="17"/>
                <w:szCs w:val="17"/>
                <w:b w:val="1"/>
                <w:bCs w:val="1"/>
                <w:color w:val="auto"/>
              </w:rPr>
              <w:t>Gross property, plant and equipment</w:t>
            </w:r>
          </w:p>
        </w:tc>
        <w:tc>
          <w:tcPr>
            <w:tcW w:w="16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7"/>
                <w:szCs w:val="17"/>
                <w:b w:val="1"/>
                <w:bCs w:val="1"/>
                <w:color w:val="00539B"/>
              </w:rPr>
              <w:t>123,891</w:t>
            </w: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120,734</w:t>
            </w:r>
          </w:p>
        </w:tc>
        <w:tc>
          <w:tcPr>
            <w:tcW w:w="0" w:type="dxa"/>
            <w:vAlign w:val="bottom"/>
          </w:tcPr>
          <w:p>
            <w:pPr>
              <w:spacing w:after="0"/>
              <w:rPr>
                <w:sz w:val="1"/>
                <w:szCs w:val="1"/>
                <w:color w:val="auto"/>
              </w:rPr>
            </w:pPr>
          </w:p>
        </w:tc>
      </w:tr>
      <w:tr>
        <w:trPr>
          <w:trHeight w:val="237"/>
        </w:trPr>
        <w:tc>
          <w:tcPr>
            <w:tcW w:w="6680" w:type="dxa"/>
            <w:vAlign w:val="bottom"/>
            <w:tcBorders>
              <w:bottom w:val="single" w:sz="8" w:color="auto"/>
            </w:tcBorders>
          </w:tcPr>
          <w:p>
            <w:pPr>
              <w:ind w:left="340"/>
              <w:spacing w:after="0"/>
              <w:rPr>
                <w:sz w:val="20"/>
                <w:szCs w:val="20"/>
                <w:color w:val="auto"/>
              </w:rPr>
            </w:pPr>
            <w:r>
              <w:rPr>
                <w:rFonts w:ascii="Arial" w:cs="Arial" w:eastAsia="Arial" w:hAnsi="Arial"/>
                <w:sz w:val="17"/>
                <w:szCs w:val="17"/>
                <w:color w:val="auto"/>
              </w:rPr>
              <w:t>Accumulated depreciation, depletion and amortization</w:t>
            </w:r>
          </w:p>
        </w:tc>
        <w:tc>
          <w:tcPr>
            <w:tcW w:w="16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(65,550)</w:t>
            </w: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(62,350)</w:t>
            </w:r>
          </w:p>
        </w:tc>
        <w:tc>
          <w:tcPr>
            <w:tcW w:w="0" w:type="dxa"/>
            <w:vAlign w:val="bottom"/>
          </w:tcPr>
          <w:p>
            <w:pPr>
              <w:spacing w:after="0"/>
              <w:rPr>
                <w:sz w:val="1"/>
                <w:szCs w:val="1"/>
                <w:color w:val="auto"/>
              </w:rPr>
            </w:pPr>
          </w:p>
        </w:tc>
      </w:tr>
      <w:tr>
        <w:trPr>
          <w:trHeight w:val="223"/>
        </w:trPr>
        <w:tc>
          <w:tcPr>
            <w:tcW w:w="6680" w:type="dxa"/>
            <w:vAlign w:val="bottom"/>
            <w:tcBorders>
              <w:bottom w:val="single" w:sz="8" w:color="auto"/>
            </w:tcBorders>
          </w:tcPr>
          <w:p>
            <w:pPr>
              <w:ind w:left="340"/>
              <w:spacing w:after="0"/>
              <w:rPr>
                <w:sz w:val="20"/>
                <w:szCs w:val="20"/>
                <w:color w:val="auto"/>
              </w:rPr>
            </w:pPr>
            <w:r>
              <w:rPr>
                <w:rFonts w:ascii="Arial" w:cs="Arial" w:eastAsia="Arial" w:hAnsi="Arial"/>
                <w:sz w:val="17"/>
                <w:szCs w:val="17"/>
                <w:b w:val="1"/>
                <w:bCs w:val="1"/>
                <w:color w:val="auto"/>
              </w:rPr>
              <w:t>Net property, plant and equipment</w:t>
            </w:r>
          </w:p>
        </w:tc>
        <w:tc>
          <w:tcPr>
            <w:tcW w:w="16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58,341</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58,384</w:t>
            </w:r>
          </w:p>
        </w:tc>
        <w:tc>
          <w:tcPr>
            <w:tcW w:w="0" w:type="dxa"/>
            <w:vAlign w:val="bottom"/>
          </w:tcPr>
          <w:p>
            <w:pPr>
              <w:spacing w:after="0"/>
              <w:rPr>
                <w:sz w:val="1"/>
                <w:szCs w:val="1"/>
                <w:color w:val="auto"/>
              </w:rPr>
            </w:pPr>
          </w:p>
        </w:tc>
      </w:tr>
      <w:tr>
        <w:trPr>
          <w:trHeight w:val="309"/>
        </w:trPr>
        <w:tc>
          <w:tcPr>
            <w:tcW w:w="6680" w:type="dxa"/>
            <w:vAlign w:val="bottom"/>
          </w:tcPr>
          <w:p>
            <w:pPr>
              <w:ind w:left="20"/>
              <w:spacing w:after="0"/>
              <w:rPr>
                <w:sz w:val="20"/>
                <w:szCs w:val="20"/>
                <w:color w:val="auto"/>
              </w:rPr>
            </w:pPr>
            <w:r>
              <w:rPr>
                <w:rFonts w:ascii="Arial" w:cs="Arial" w:eastAsia="Arial" w:hAnsi="Arial"/>
                <w:sz w:val="17"/>
                <w:szCs w:val="17"/>
                <w:b w:val="1"/>
                <w:bCs w:val="1"/>
                <w:color w:val="auto"/>
              </w:rPr>
              <w:t>OPERATING LEASE ASSETS</w:t>
            </w:r>
          </w:p>
        </w:tc>
        <w:tc>
          <w:tcPr>
            <w:tcW w:w="160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7"/>
                <w:szCs w:val="17"/>
                <w:b w:val="1"/>
                <w:bCs w:val="1"/>
                <w:color w:val="00539B"/>
              </w:rPr>
              <w:t>827</w:t>
            </w:r>
          </w:p>
        </w:tc>
        <w:tc>
          <w:tcPr>
            <w:tcW w:w="3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903</w:t>
            </w:r>
          </w:p>
        </w:tc>
        <w:tc>
          <w:tcPr>
            <w:tcW w:w="0" w:type="dxa"/>
            <w:vAlign w:val="bottom"/>
          </w:tcPr>
          <w:p>
            <w:pPr>
              <w:spacing w:after="0"/>
              <w:rPr>
                <w:sz w:val="1"/>
                <w:szCs w:val="1"/>
                <w:color w:val="auto"/>
              </w:rPr>
            </w:pPr>
          </w:p>
        </w:tc>
      </w:tr>
      <w:tr>
        <w:trPr>
          <w:trHeight w:val="334"/>
        </w:trPr>
        <w:tc>
          <w:tcPr>
            <w:tcW w:w="6680" w:type="dxa"/>
            <w:vAlign w:val="bottom"/>
          </w:tcPr>
          <w:p>
            <w:pPr>
              <w:ind w:left="20"/>
              <w:spacing w:after="0"/>
              <w:rPr>
                <w:sz w:val="20"/>
                <w:szCs w:val="20"/>
                <w:color w:val="auto"/>
              </w:rPr>
            </w:pPr>
            <w:r>
              <w:rPr>
                <w:rFonts w:ascii="Arial" w:cs="Arial" w:eastAsia="Arial" w:hAnsi="Arial"/>
                <w:sz w:val="17"/>
                <w:szCs w:val="17"/>
                <w:b w:val="1"/>
                <w:bCs w:val="1"/>
                <w:color w:val="auto"/>
              </w:rPr>
              <w:t>LONG-TERM RECEIVABLES AND OTHER ASSETS, NET</w:t>
            </w:r>
          </w:p>
        </w:tc>
        <w:tc>
          <w:tcPr>
            <w:tcW w:w="160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7"/>
                <w:szCs w:val="17"/>
                <w:b w:val="1"/>
                <w:bCs w:val="1"/>
                <w:color w:val="00539B"/>
              </w:rPr>
              <w:t>1,146</w:t>
            </w:r>
          </w:p>
        </w:tc>
        <w:tc>
          <w:tcPr>
            <w:tcW w:w="3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1,260</w:t>
            </w:r>
          </w:p>
        </w:tc>
        <w:tc>
          <w:tcPr>
            <w:tcW w:w="0" w:type="dxa"/>
            <w:vAlign w:val="bottom"/>
          </w:tcPr>
          <w:p>
            <w:pPr>
              <w:spacing w:after="0"/>
              <w:rPr>
                <w:sz w:val="1"/>
                <w:szCs w:val="1"/>
                <w:color w:val="auto"/>
              </w:rPr>
            </w:pPr>
          </w:p>
        </w:tc>
      </w:tr>
      <w:tr>
        <w:trPr>
          <w:trHeight w:val="98"/>
        </w:trPr>
        <w:tc>
          <w:tcPr>
            <w:tcW w:w="6680" w:type="dxa"/>
            <w:vAlign w:val="bottom"/>
            <w:tcBorders>
              <w:bottom w:val="single" w:sz="8" w:color="auto"/>
            </w:tcBorders>
          </w:tcPr>
          <w:p>
            <w:pPr>
              <w:spacing w:after="0"/>
              <w:rPr>
                <w:sz w:val="8"/>
                <w:szCs w:val="8"/>
                <w:color w:val="auto"/>
              </w:rPr>
            </w:pPr>
          </w:p>
        </w:tc>
        <w:tc>
          <w:tcPr>
            <w:tcW w:w="1600" w:type="dxa"/>
            <w:vAlign w:val="bottom"/>
            <w:tcBorders>
              <w:bottom w:val="single" w:sz="8" w:color="auto"/>
            </w:tcBorders>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668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TOTAL ASSETS</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71,199</w:t>
            </w:r>
          </w:p>
        </w:tc>
        <w:tc>
          <w:tcPr>
            <w:tcW w:w="380" w:type="dxa"/>
            <w:vAlign w:val="bottom"/>
            <w:tcBorders>
              <w:bottom w:val="single" w:sz="8" w:color="auto"/>
            </w:tcBorders>
          </w:tcPr>
          <w:p>
            <w:pPr>
              <w:jc w:val="right"/>
              <w:ind w:right="196"/>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72,609</w:t>
            </w:r>
          </w:p>
        </w:tc>
        <w:tc>
          <w:tcPr>
            <w:tcW w:w="0" w:type="dxa"/>
            <w:vAlign w:val="bottom"/>
          </w:tcPr>
          <w:p>
            <w:pPr>
              <w:spacing w:after="0"/>
              <w:rPr>
                <w:sz w:val="1"/>
                <w:szCs w:val="1"/>
                <w:color w:val="auto"/>
              </w:rPr>
            </w:pPr>
          </w:p>
        </w:tc>
      </w:tr>
    </w:tbl>
    <w:p>
      <w:pPr>
        <w:spacing w:after="0" w:line="243" w:lineRule="exact"/>
        <w:rPr>
          <w:sz w:val="20"/>
          <w:szCs w:val="20"/>
          <w:color w:val="auto"/>
        </w:rPr>
      </w:pPr>
    </w:p>
    <w:p>
      <w:pPr>
        <w:ind w:left="20"/>
        <w:spacing w:after="0"/>
        <w:rPr>
          <w:sz w:val="20"/>
          <w:szCs w:val="20"/>
          <w:color w:val="auto"/>
        </w:rPr>
      </w:pPr>
      <w:r>
        <w:rPr>
          <w:rFonts w:ascii="Arial" w:cs="Arial" w:eastAsia="Arial" w:hAnsi="Arial"/>
          <w:sz w:val="16"/>
          <w:szCs w:val="16"/>
          <w:color w:val="auto"/>
        </w:rPr>
        <w:t>The accompanying notes are an integral part of these Consolidated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715962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81" w:right="339" w:bottom="1440" w:gutter="0" w:footer="0" w:header="0"/>
        </w:sectPr>
      </w:pPr>
    </w:p>
    <w:bookmarkStart w:id="4" w:name="page5"/>
    <w:bookmarkEnd w:id="4"/>
    <w:p>
      <w:pPr>
        <w:ind w:left="20"/>
        <w:spacing w:after="0"/>
        <w:rPr>
          <w:sz w:val="20"/>
          <w:szCs w:val="20"/>
          <w:color w:val="auto"/>
        </w:rPr>
      </w:pPr>
      <w:r>
        <w:rPr>
          <w:rFonts w:ascii="Arial" w:cs="Arial" w:eastAsia="Arial" w:hAnsi="Arial"/>
          <w:sz w:val="24"/>
          <w:szCs w:val="24"/>
          <w:b w:val="1"/>
          <w:bCs w:val="1"/>
          <w:color w:val="00539B"/>
        </w:rPr>
        <w:t>Consolidated Condensed Balance Sheets</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jc w:val="right"/>
        <w:ind w:right="20"/>
        <w:spacing w:after="0"/>
        <w:rPr>
          <w:sz w:val="20"/>
          <w:szCs w:val="20"/>
          <w:color w:val="auto"/>
        </w:rPr>
      </w:pPr>
      <w:r>
        <w:rPr>
          <w:rFonts w:ascii="Arial" w:cs="Arial" w:eastAsia="Arial" w:hAnsi="Arial"/>
          <w:sz w:val="16"/>
          <w:szCs w:val="16"/>
          <w:color w:val="auto"/>
        </w:rPr>
        <w:t>Occidental Petroleum Corporation and</w:t>
      </w:r>
    </w:p>
    <w:p>
      <w:pPr>
        <w:spacing w:after="0" w:line="1" w:lineRule="exact"/>
        <w:rPr>
          <w:sz w:val="20"/>
          <w:szCs w:val="20"/>
          <w:color w:val="auto"/>
        </w:rPr>
      </w:pPr>
    </w:p>
    <w:p>
      <w:pPr>
        <w:jc w:val="right"/>
        <w:ind w:right="20"/>
        <w:spacing w:after="0"/>
        <w:rPr>
          <w:sz w:val="20"/>
          <w:szCs w:val="20"/>
          <w:color w:val="auto"/>
        </w:rPr>
      </w:pPr>
      <w:r>
        <w:rPr>
          <w:rFonts w:ascii="Arial" w:cs="Arial" w:eastAsia="Arial" w:hAnsi="Arial"/>
          <w:sz w:val="17"/>
          <w:szCs w:val="17"/>
          <w:color w:val="auto"/>
        </w:rPr>
        <w:t>Subsidiaries</w:t>
      </w:r>
    </w:p>
    <w:p>
      <w:pPr>
        <w:spacing w:after="0" w:line="111" w:lineRule="exact"/>
        <w:rPr>
          <w:sz w:val="20"/>
          <w:szCs w:val="20"/>
          <w:color w:val="auto"/>
        </w:rPr>
      </w:pPr>
    </w:p>
    <w:p>
      <w:pPr>
        <w:sectPr>
          <w:pgSz w:w="11900" w:h="16838" w:orient="portrait"/>
          <w:cols w:equalWidth="0" w:num="2">
            <w:col w:w="7640" w:space="720"/>
            <w:col w:w="2880"/>
          </w:cols>
          <w:pgMar w:left="320" w:top="1098" w:right="339" w:bottom="1440" w:gutter="0" w:footer="0" w:header="0"/>
        </w:sectPr>
      </w:pPr>
    </w:p>
    <w:tbl>
      <w:tblPr>
        <w:tblLayout w:type="fixed"/>
        <w:tblInd w:w="0" w:type="dxa"/>
        <w:tblCellMar>
          <w:top w:w="0" w:type="dxa"/>
          <w:left w:w="0" w:type="dxa"/>
          <w:bottom w:w="0" w:type="dxa"/>
          <w:right w:w="0" w:type="dxa"/>
        </w:tblCellMar>
      </w:tblPr>
      <w:tr>
        <w:trPr>
          <w:trHeight w:val="240"/>
        </w:trPr>
        <w:tc>
          <w:tcPr>
            <w:tcW w:w="79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7"/>
                <w:szCs w:val="17"/>
                <w:i w:val="1"/>
                <w:iCs w:val="1"/>
                <w:color w:val="auto"/>
              </w:rPr>
              <w:t>millions, except share and per-share amounts</w:t>
            </w:r>
          </w:p>
        </w:tc>
        <w:tc>
          <w:tcPr>
            <w:tcW w:w="440" w:type="dxa"/>
            <w:vAlign w:val="bottom"/>
            <w:tcBorders>
              <w:top w:val="single" w:sz="8" w:color="auto"/>
              <w:bottom w:val="single" w:sz="8" w:color="auto"/>
            </w:tcBorders>
          </w:tcPr>
          <w:p>
            <w:pPr>
              <w:spacing w:after="0"/>
              <w:rPr>
                <w:sz w:val="20"/>
                <w:szCs w:val="20"/>
                <w:color w:val="auto"/>
              </w:rPr>
            </w:pPr>
          </w:p>
        </w:tc>
        <w:tc>
          <w:tcPr>
            <w:tcW w:w="28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00539B"/>
              </w:rPr>
              <w:t xml:space="preserve">June 30, 2023  </w:t>
            </w:r>
            <w:r>
              <w:rPr>
                <w:rFonts w:ascii="Arial" w:cs="Arial" w:eastAsia="Arial" w:hAnsi="Arial"/>
                <w:sz w:val="17"/>
                <w:szCs w:val="17"/>
                <w:color w:val="000000"/>
              </w:rPr>
              <w:t>December 31, 2022</w:t>
            </w:r>
          </w:p>
        </w:tc>
        <w:tc>
          <w:tcPr>
            <w:tcW w:w="0" w:type="dxa"/>
            <w:vAlign w:val="bottom"/>
          </w:tcPr>
          <w:p>
            <w:pPr>
              <w:spacing w:after="0"/>
              <w:rPr>
                <w:sz w:val="1"/>
                <w:szCs w:val="1"/>
                <w:color w:val="auto"/>
              </w:rPr>
            </w:pPr>
          </w:p>
        </w:tc>
      </w:tr>
      <w:tr>
        <w:trPr>
          <w:trHeight w:val="301"/>
        </w:trPr>
        <w:tc>
          <w:tcPr>
            <w:tcW w:w="7900" w:type="dxa"/>
            <w:vAlign w:val="bottom"/>
          </w:tcPr>
          <w:p>
            <w:pPr>
              <w:ind w:left="20"/>
              <w:spacing w:after="0"/>
              <w:rPr>
                <w:sz w:val="20"/>
                <w:szCs w:val="20"/>
                <w:color w:val="auto"/>
              </w:rPr>
            </w:pPr>
            <w:r>
              <w:rPr>
                <w:rFonts w:ascii="Arial" w:cs="Arial" w:eastAsia="Arial" w:hAnsi="Arial"/>
                <w:sz w:val="17"/>
                <w:szCs w:val="17"/>
                <w:b w:val="1"/>
                <w:bCs w:val="1"/>
                <w:color w:val="auto"/>
              </w:rPr>
              <w:t>LIABILITIES AND EQUITY</w:t>
            </w:r>
          </w:p>
        </w:tc>
        <w:tc>
          <w:tcPr>
            <w:tcW w:w="4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7900" w:type="dxa"/>
            <w:vAlign w:val="bottom"/>
          </w:tcPr>
          <w:p>
            <w:pPr>
              <w:ind w:left="20"/>
              <w:spacing w:after="0"/>
              <w:rPr>
                <w:sz w:val="20"/>
                <w:szCs w:val="20"/>
                <w:color w:val="auto"/>
              </w:rPr>
            </w:pPr>
            <w:r>
              <w:rPr>
                <w:rFonts w:ascii="Arial" w:cs="Arial" w:eastAsia="Arial" w:hAnsi="Arial"/>
                <w:sz w:val="17"/>
                <w:szCs w:val="17"/>
                <w:b w:val="1"/>
                <w:bCs w:val="1"/>
                <w:color w:val="auto"/>
              </w:rPr>
              <w:t>CURRENT LIABILITIES</w:t>
            </w:r>
          </w:p>
        </w:tc>
        <w:tc>
          <w:tcPr>
            <w:tcW w:w="440" w:type="dxa"/>
            <w:vAlign w:val="bottom"/>
            <w:vMerge w:val="restart"/>
          </w:tcPr>
          <w:p>
            <w:pPr>
              <w:jc w:val="right"/>
              <w:ind w:right="96"/>
              <w:spacing w:after="0"/>
              <w:rPr>
                <w:sz w:val="20"/>
                <w:szCs w:val="20"/>
                <w:color w:val="auto"/>
              </w:rPr>
            </w:pPr>
            <w:r>
              <w:rPr>
                <w:rFonts w:ascii="Arial" w:cs="Arial" w:eastAsia="Arial" w:hAnsi="Arial"/>
                <w:sz w:val="17"/>
                <w:szCs w:val="17"/>
                <w:b w:val="1"/>
                <w:bCs w:val="1"/>
                <w:color w:val="00539B"/>
              </w:rPr>
              <w:t>$</w:t>
            </w:r>
          </w:p>
        </w:tc>
        <w:tc>
          <w:tcPr>
            <w:tcW w:w="1280" w:type="dxa"/>
            <w:vAlign w:val="bottom"/>
            <w:vMerge w:val="restart"/>
          </w:tcPr>
          <w:p>
            <w:pPr>
              <w:jc w:val="right"/>
              <w:spacing w:after="0"/>
              <w:rPr>
                <w:sz w:val="20"/>
                <w:szCs w:val="20"/>
                <w:color w:val="auto"/>
              </w:rPr>
            </w:pPr>
            <w:r>
              <w:rPr>
                <w:rFonts w:ascii="Arial" w:cs="Arial" w:eastAsia="Arial" w:hAnsi="Arial"/>
                <w:sz w:val="17"/>
                <w:szCs w:val="17"/>
                <w:b w:val="1"/>
                <w:bCs w:val="1"/>
                <w:color w:val="00539B"/>
              </w:rPr>
              <w:t>158</w:t>
            </w:r>
          </w:p>
        </w:tc>
        <w:tc>
          <w:tcPr>
            <w:tcW w:w="5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900" w:type="dxa"/>
            <w:vAlign w:val="bottom"/>
          </w:tcPr>
          <w:p>
            <w:pPr>
              <w:ind w:left="340"/>
              <w:spacing w:after="0" w:line="219" w:lineRule="exact"/>
              <w:rPr>
                <w:sz w:val="20"/>
                <w:szCs w:val="20"/>
                <w:color w:val="auto"/>
              </w:rPr>
            </w:pPr>
            <w:r>
              <w:rPr>
                <w:rFonts w:ascii="Arial" w:cs="Arial" w:eastAsia="Arial" w:hAnsi="Arial"/>
                <w:sz w:val="17"/>
                <w:szCs w:val="17"/>
                <w:color w:val="auto"/>
              </w:rPr>
              <w:t xml:space="preserve">Current maturities of long-term debt </w:t>
            </w:r>
            <w:r>
              <w:rPr>
                <w:rFonts w:ascii="Arial" w:cs="Arial" w:eastAsia="Arial" w:hAnsi="Arial"/>
                <w:sz w:val="21"/>
                <w:szCs w:val="21"/>
                <w:color w:val="auto"/>
                <w:vertAlign w:val="superscript"/>
              </w:rPr>
              <w:t>(a)</w:t>
            </w:r>
          </w:p>
        </w:tc>
        <w:tc>
          <w:tcPr>
            <w:tcW w:w="440" w:type="dxa"/>
            <w:vAlign w:val="bottom"/>
            <w:vMerge w:val="continue"/>
          </w:tcPr>
          <w:p>
            <w:pPr>
              <w:spacing w:after="0"/>
              <w:rPr>
                <w:sz w:val="19"/>
                <w:szCs w:val="19"/>
                <w:color w:val="auto"/>
              </w:rPr>
            </w:pPr>
          </w:p>
        </w:tc>
        <w:tc>
          <w:tcPr>
            <w:tcW w:w="1280" w:type="dxa"/>
            <w:vAlign w:val="bottom"/>
            <w:vMerge w:val="continue"/>
          </w:tcPr>
          <w:p>
            <w:pPr>
              <w:spacing w:after="0"/>
              <w:rPr>
                <w:sz w:val="19"/>
                <w:szCs w:val="19"/>
                <w:color w:val="auto"/>
              </w:rPr>
            </w:pPr>
          </w:p>
        </w:tc>
        <w:tc>
          <w:tcPr>
            <w:tcW w:w="540" w:type="dxa"/>
            <w:vAlign w:val="bottom"/>
          </w:tcPr>
          <w:p>
            <w:pPr>
              <w:jc w:val="right"/>
              <w:ind w:right="336"/>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165</w:t>
            </w:r>
          </w:p>
        </w:tc>
        <w:tc>
          <w:tcPr>
            <w:tcW w:w="0" w:type="dxa"/>
            <w:vAlign w:val="bottom"/>
          </w:tcPr>
          <w:p>
            <w:pPr>
              <w:spacing w:after="0"/>
              <w:rPr>
                <w:sz w:val="1"/>
                <w:szCs w:val="1"/>
                <w:color w:val="auto"/>
              </w:rPr>
            </w:pPr>
          </w:p>
        </w:tc>
      </w:tr>
      <w:tr>
        <w:trPr>
          <w:trHeight w:val="227"/>
        </w:trPr>
        <w:tc>
          <w:tcPr>
            <w:tcW w:w="7900" w:type="dxa"/>
            <w:vAlign w:val="bottom"/>
          </w:tcPr>
          <w:p>
            <w:pPr>
              <w:ind w:left="340"/>
              <w:spacing w:after="0"/>
              <w:rPr>
                <w:sz w:val="20"/>
                <w:szCs w:val="20"/>
                <w:color w:val="auto"/>
              </w:rPr>
            </w:pPr>
            <w:r>
              <w:rPr>
                <w:rFonts w:ascii="Arial" w:cs="Arial" w:eastAsia="Arial" w:hAnsi="Arial"/>
                <w:sz w:val="17"/>
                <w:szCs w:val="17"/>
                <w:color w:val="auto"/>
              </w:rPr>
              <w:t>Preferred stock redemption payable</w:t>
            </w:r>
          </w:p>
        </w:tc>
        <w:tc>
          <w:tcPr>
            <w:tcW w:w="4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b w:val="1"/>
                <w:bCs w:val="1"/>
                <w:color w:val="00539B"/>
              </w:rPr>
              <w:t>304</w:t>
            </w:r>
          </w:p>
        </w:tc>
        <w:tc>
          <w:tcPr>
            <w:tcW w:w="5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3"/>
        </w:trPr>
        <w:tc>
          <w:tcPr>
            <w:tcW w:w="7900" w:type="dxa"/>
            <w:vAlign w:val="bottom"/>
          </w:tcPr>
          <w:p>
            <w:pPr>
              <w:ind w:left="340"/>
              <w:spacing w:after="0"/>
              <w:rPr>
                <w:sz w:val="20"/>
                <w:szCs w:val="20"/>
                <w:color w:val="auto"/>
              </w:rPr>
            </w:pPr>
            <w:r>
              <w:rPr>
                <w:rFonts w:ascii="Arial" w:cs="Arial" w:eastAsia="Arial" w:hAnsi="Arial"/>
                <w:sz w:val="17"/>
                <w:szCs w:val="17"/>
                <w:color w:val="auto"/>
              </w:rPr>
              <w:t>Current operating lease liabilities</w:t>
            </w:r>
          </w:p>
        </w:tc>
        <w:tc>
          <w:tcPr>
            <w:tcW w:w="4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b w:val="1"/>
                <w:bCs w:val="1"/>
                <w:color w:val="00539B"/>
              </w:rPr>
              <w:t>284</w:t>
            </w:r>
          </w:p>
        </w:tc>
        <w:tc>
          <w:tcPr>
            <w:tcW w:w="5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273</w:t>
            </w:r>
          </w:p>
        </w:tc>
        <w:tc>
          <w:tcPr>
            <w:tcW w:w="0" w:type="dxa"/>
            <w:vAlign w:val="bottom"/>
          </w:tcPr>
          <w:p>
            <w:pPr>
              <w:spacing w:after="0"/>
              <w:rPr>
                <w:sz w:val="1"/>
                <w:szCs w:val="1"/>
                <w:color w:val="auto"/>
              </w:rPr>
            </w:pPr>
          </w:p>
        </w:tc>
      </w:tr>
      <w:tr>
        <w:trPr>
          <w:trHeight w:val="227"/>
        </w:trPr>
        <w:tc>
          <w:tcPr>
            <w:tcW w:w="7900" w:type="dxa"/>
            <w:vAlign w:val="bottom"/>
          </w:tcPr>
          <w:p>
            <w:pPr>
              <w:ind w:left="340"/>
              <w:spacing w:after="0"/>
              <w:rPr>
                <w:sz w:val="20"/>
                <w:szCs w:val="20"/>
                <w:color w:val="auto"/>
              </w:rPr>
            </w:pPr>
            <w:r>
              <w:rPr>
                <w:rFonts w:ascii="Arial" w:cs="Arial" w:eastAsia="Arial" w:hAnsi="Arial"/>
                <w:sz w:val="17"/>
                <w:szCs w:val="17"/>
                <w:color w:val="auto"/>
              </w:rPr>
              <w:t>Accounts payable</w:t>
            </w:r>
          </w:p>
        </w:tc>
        <w:tc>
          <w:tcPr>
            <w:tcW w:w="4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b w:val="1"/>
                <w:bCs w:val="1"/>
                <w:color w:val="00539B"/>
              </w:rPr>
              <w:t>3,557</w:t>
            </w:r>
          </w:p>
        </w:tc>
        <w:tc>
          <w:tcPr>
            <w:tcW w:w="5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4,029</w:t>
            </w:r>
          </w:p>
        </w:tc>
        <w:tc>
          <w:tcPr>
            <w:tcW w:w="0" w:type="dxa"/>
            <w:vAlign w:val="bottom"/>
          </w:tcPr>
          <w:p>
            <w:pPr>
              <w:spacing w:after="0"/>
              <w:rPr>
                <w:sz w:val="1"/>
                <w:szCs w:val="1"/>
                <w:color w:val="auto"/>
              </w:rPr>
            </w:pPr>
          </w:p>
        </w:tc>
      </w:tr>
      <w:tr>
        <w:trPr>
          <w:trHeight w:val="226"/>
        </w:trPr>
        <w:tc>
          <w:tcPr>
            <w:tcW w:w="7900" w:type="dxa"/>
            <w:vAlign w:val="bottom"/>
            <w:tcBorders>
              <w:bottom w:val="single" w:sz="8" w:color="auto"/>
            </w:tcBorders>
          </w:tcPr>
          <w:p>
            <w:pPr>
              <w:ind w:left="340"/>
              <w:spacing w:after="0"/>
              <w:rPr>
                <w:sz w:val="20"/>
                <w:szCs w:val="20"/>
                <w:color w:val="auto"/>
              </w:rPr>
            </w:pPr>
            <w:r>
              <w:rPr>
                <w:rFonts w:ascii="Arial" w:cs="Arial" w:eastAsia="Arial" w:hAnsi="Arial"/>
                <w:sz w:val="17"/>
                <w:szCs w:val="17"/>
                <w:color w:val="auto"/>
              </w:rPr>
              <w:t>Accrued liabilities</w:t>
            </w:r>
          </w:p>
        </w:tc>
        <w:tc>
          <w:tcPr>
            <w:tcW w:w="4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3,153</w:t>
            </w:r>
          </w:p>
        </w:tc>
        <w:tc>
          <w:tcPr>
            <w:tcW w:w="5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3,290</w:t>
            </w:r>
          </w:p>
        </w:tc>
        <w:tc>
          <w:tcPr>
            <w:tcW w:w="0" w:type="dxa"/>
            <w:vAlign w:val="bottom"/>
          </w:tcPr>
          <w:p>
            <w:pPr>
              <w:spacing w:after="0"/>
              <w:rPr>
                <w:sz w:val="1"/>
                <w:szCs w:val="1"/>
                <w:color w:val="auto"/>
              </w:rPr>
            </w:pPr>
          </w:p>
        </w:tc>
      </w:tr>
      <w:tr>
        <w:trPr>
          <w:trHeight w:val="220"/>
        </w:trPr>
        <w:tc>
          <w:tcPr>
            <w:tcW w:w="7900" w:type="dxa"/>
            <w:vAlign w:val="bottom"/>
            <w:tcBorders>
              <w:bottom w:val="single" w:sz="8" w:color="auto"/>
            </w:tcBorders>
          </w:tcPr>
          <w:p>
            <w:pPr>
              <w:ind w:left="340"/>
              <w:spacing w:after="0"/>
              <w:rPr>
                <w:sz w:val="20"/>
                <w:szCs w:val="20"/>
                <w:color w:val="auto"/>
              </w:rPr>
            </w:pPr>
            <w:r>
              <w:rPr>
                <w:rFonts w:ascii="Arial" w:cs="Arial" w:eastAsia="Arial" w:hAnsi="Arial"/>
                <w:sz w:val="17"/>
                <w:szCs w:val="17"/>
                <w:color w:val="auto"/>
              </w:rPr>
              <w:t>Total current liabilities</w:t>
            </w:r>
          </w:p>
        </w:tc>
        <w:tc>
          <w:tcPr>
            <w:tcW w:w="4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7,456</w:t>
            </w:r>
          </w:p>
        </w:tc>
        <w:tc>
          <w:tcPr>
            <w:tcW w:w="5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7,757</w:t>
            </w:r>
          </w:p>
        </w:tc>
        <w:tc>
          <w:tcPr>
            <w:tcW w:w="0" w:type="dxa"/>
            <w:vAlign w:val="bottom"/>
          </w:tcPr>
          <w:p>
            <w:pPr>
              <w:spacing w:after="0"/>
              <w:rPr>
                <w:sz w:val="1"/>
                <w:szCs w:val="1"/>
                <w:color w:val="auto"/>
              </w:rPr>
            </w:pPr>
          </w:p>
        </w:tc>
      </w:tr>
      <w:tr>
        <w:trPr>
          <w:trHeight w:val="382"/>
        </w:trPr>
        <w:tc>
          <w:tcPr>
            <w:tcW w:w="7900" w:type="dxa"/>
            <w:vAlign w:val="bottom"/>
          </w:tcPr>
          <w:p>
            <w:pPr>
              <w:ind w:left="20"/>
              <w:spacing w:after="0"/>
              <w:rPr>
                <w:sz w:val="20"/>
                <w:szCs w:val="20"/>
                <w:color w:val="auto"/>
              </w:rPr>
            </w:pPr>
            <w:r>
              <w:rPr>
                <w:rFonts w:ascii="Arial" w:cs="Arial" w:eastAsia="Arial" w:hAnsi="Arial"/>
                <w:sz w:val="17"/>
                <w:szCs w:val="17"/>
                <w:b w:val="1"/>
                <w:bCs w:val="1"/>
                <w:color w:val="auto"/>
              </w:rPr>
              <w:t xml:space="preserve">LONG-TERM DEBT, NET </w:t>
            </w:r>
            <w:r>
              <w:rPr>
                <w:rFonts w:ascii="Arial" w:cs="Arial" w:eastAsia="Arial" w:hAnsi="Arial"/>
                <w:sz w:val="21"/>
                <w:szCs w:val="21"/>
                <w:b w:val="1"/>
                <w:bCs w:val="1"/>
                <w:color w:val="auto"/>
                <w:vertAlign w:val="superscript"/>
              </w:rPr>
              <w:t>(b)</w:t>
            </w:r>
          </w:p>
        </w:tc>
        <w:tc>
          <w:tcPr>
            <w:tcW w:w="44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7"/>
                <w:szCs w:val="17"/>
                <w:b w:val="1"/>
                <w:bCs w:val="1"/>
                <w:color w:val="00539B"/>
              </w:rPr>
              <w:t>19,669</w:t>
            </w:r>
          </w:p>
        </w:tc>
        <w:tc>
          <w:tcPr>
            <w:tcW w:w="5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19,670</w:t>
            </w:r>
          </w:p>
        </w:tc>
        <w:tc>
          <w:tcPr>
            <w:tcW w:w="0" w:type="dxa"/>
            <w:vAlign w:val="bottom"/>
          </w:tcPr>
          <w:p>
            <w:pPr>
              <w:spacing w:after="0"/>
              <w:rPr>
                <w:sz w:val="1"/>
                <w:szCs w:val="1"/>
                <w:color w:val="auto"/>
              </w:rPr>
            </w:pPr>
          </w:p>
        </w:tc>
      </w:tr>
      <w:tr>
        <w:trPr>
          <w:trHeight w:val="260"/>
        </w:trPr>
        <w:tc>
          <w:tcPr>
            <w:tcW w:w="7900" w:type="dxa"/>
            <w:vAlign w:val="bottom"/>
          </w:tcPr>
          <w:p>
            <w:pPr>
              <w:ind w:left="20"/>
              <w:spacing w:after="0"/>
              <w:rPr>
                <w:sz w:val="20"/>
                <w:szCs w:val="20"/>
                <w:color w:val="auto"/>
              </w:rPr>
            </w:pPr>
            <w:r>
              <w:rPr>
                <w:rFonts w:ascii="Arial" w:cs="Arial" w:eastAsia="Arial" w:hAnsi="Arial"/>
                <w:sz w:val="17"/>
                <w:szCs w:val="17"/>
                <w:b w:val="1"/>
                <w:bCs w:val="1"/>
                <w:color w:val="auto"/>
              </w:rPr>
              <w:t>DEFERRED CREDITS AND OTHER LIABILITIES</w:t>
            </w:r>
          </w:p>
        </w:tc>
        <w:tc>
          <w:tcPr>
            <w:tcW w:w="440" w:type="dxa"/>
            <w:vAlign w:val="bottom"/>
          </w:tcPr>
          <w:p>
            <w:pPr>
              <w:spacing w:after="0"/>
              <w:rPr>
                <w:sz w:val="22"/>
                <w:szCs w:val="22"/>
                <w:color w:val="auto"/>
              </w:rPr>
            </w:pPr>
          </w:p>
        </w:tc>
        <w:tc>
          <w:tcPr>
            <w:tcW w:w="1280" w:type="dxa"/>
            <w:vAlign w:val="bottom"/>
            <w:vMerge w:val="restart"/>
          </w:tcPr>
          <w:p>
            <w:pPr>
              <w:jc w:val="right"/>
              <w:spacing w:after="0"/>
              <w:rPr>
                <w:sz w:val="20"/>
                <w:szCs w:val="20"/>
                <w:color w:val="auto"/>
              </w:rPr>
            </w:pPr>
            <w:r>
              <w:rPr>
                <w:rFonts w:ascii="Arial" w:cs="Arial" w:eastAsia="Arial" w:hAnsi="Arial"/>
                <w:sz w:val="17"/>
                <w:szCs w:val="17"/>
                <w:b w:val="1"/>
                <w:bCs w:val="1"/>
                <w:color w:val="00539B"/>
              </w:rPr>
              <w:t>5,605</w:t>
            </w:r>
          </w:p>
        </w:tc>
        <w:tc>
          <w:tcPr>
            <w:tcW w:w="5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7900" w:type="dxa"/>
            <w:vAlign w:val="bottom"/>
          </w:tcPr>
          <w:p>
            <w:pPr>
              <w:ind w:left="340"/>
              <w:spacing w:after="0"/>
              <w:rPr>
                <w:sz w:val="20"/>
                <w:szCs w:val="20"/>
                <w:color w:val="auto"/>
              </w:rPr>
            </w:pPr>
            <w:r>
              <w:rPr>
                <w:rFonts w:ascii="Arial" w:cs="Arial" w:eastAsia="Arial" w:hAnsi="Arial"/>
                <w:sz w:val="17"/>
                <w:szCs w:val="17"/>
                <w:color w:val="auto"/>
              </w:rPr>
              <w:t>Deferred income taxes, net</w:t>
            </w:r>
          </w:p>
        </w:tc>
        <w:tc>
          <w:tcPr>
            <w:tcW w:w="440" w:type="dxa"/>
            <w:vAlign w:val="bottom"/>
          </w:tcPr>
          <w:p>
            <w:pPr>
              <w:spacing w:after="0"/>
              <w:rPr>
                <w:sz w:val="17"/>
                <w:szCs w:val="17"/>
                <w:color w:val="auto"/>
              </w:rPr>
            </w:pPr>
          </w:p>
        </w:tc>
        <w:tc>
          <w:tcPr>
            <w:tcW w:w="1280" w:type="dxa"/>
            <w:vAlign w:val="bottom"/>
            <w:vMerge w:val="continue"/>
          </w:tcPr>
          <w:p>
            <w:pPr>
              <w:spacing w:after="0"/>
              <w:rPr>
                <w:sz w:val="17"/>
                <w:szCs w:val="17"/>
                <w:color w:val="auto"/>
              </w:rPr>
            </w:pPr>
          </w:p>
        </w:tc>
        <w:tc>
          <w:tcPr>
            <w:tcW w:w="5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5,512</w:t>
            </w:r>
          </w:p>
        </w:tc>
        <w:tc>
          <w:tcPr>
            <w:tcW w:w="0" w:type="dxa"/>
            <w:vAlign w:val="bottom"/>
          </w:tcPr>
          <w:p>
            <w:pPr>
              <w:spacing w:after="0"/>
              <w:rPr>
                <w:sz w:val="1"/>
                <w:szCs w:val="1"/>
                <w:color w:val="auto"/>
              </w:rPr>
            </w:pPr>
          </w:p>
        </w:tc>
      </w:tr>
      <w:tr>
        <w:trPr>
          <w:trHeight w:val="227"/>
        </w:trPr>
        <w:tc>
          <w:tcPr>
            <w:tcW w:w="7900" w:type="dxa"/>
            <w:vAlign w:val="bottom"/>
          </w:tcPr>
          <w:p>
            <w:pPr>
              <w:ind w:left="340"/>
              <w:spacing w:after="0"/>
              <w:rPr>
                <w:sz w:val="20"/>
                <w:szCs w:val="20"/>
                <w:color w:val="auto"/>
              </w:rPr>
            </w:pPr>
            <w:r>
              <w:rPr>
                <w:rFonts w:ascii="Arial" w:cs="Arial" w:eastAsia="Arial" w:hAnsi="Arial"/>
                <w:sz w:val="17"/>
                <w:szCs w:val="17"/>
                <w:color w:val="auto"/>
              </w:rPr>
              <w:t>Asset retirement obligations</w:t>
            </w:r>
          </w:p>
        </w:tc>
        <w:tc>
          <w:tcPr>
            <w:tcW w:w="4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b w:val="1"/>
                <w:bCs w:val="1"/>
                <w:color w:val="00539B"/>
              </w:rPr>
              <w:t>3,667</w:t>
            </w:r>
          </w:p>
        </w:tc>
        <w:tc>
          <w:tcPr>
            <w:tcW w:w="5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3,636</w:t>
            </w:r>
          </w:p>
        </w:tc>
        <w:tc>
          <w:tcPr>
            <w:tcW w:w="0" w:type="dxa"/>
            <w:vAlign w:val="bottom"/>
          </w:tcPr>
          <w:p>
            <w:pPr>
              <w:spacing w:after="0"/>
              <w:rPr>
                <w:sz w:val="1"/>
                <w:szCs w:val="1"/>
                <w:color w:val="auto"/>
              </w:rPr>
            </w:pPr>
          </w:p>
        </w:tc>
      </w:tr>
      <w:tr>
        <w:trPr>
          <w:trHeight w:val="227"/>
        </w:trPr>
        <w:tc>
          <w:tcPr>
            <w:tcW w:w="7900" w:type="dxa"/>
            <w:vAlign w:val="bottom"/>
          </w:tcPr>
          <w:p>
            <w:pPr>
              <w:ind w:left="340"/>
              <w:spacing w:after="0"/>
              <w:rPr>
                <w:sz w:val="20"/>
                <w:szCs w:val="20"/>
                <w:color w:val="auto"/>
              </w:rPr>
            </w:pPr>
            <w:r>
              <w:rPr>
                <w:rFonts w:ascii="Arial" w:cs="Arial" w:eastAsia="Arial" w:hAnsi="Arial"/>
                <w:sz w:val="17"/>
                <w:szCs w:val="17"/>
                <w:color w:val="auto"/>
              </w:rPr>
              <w:t>Pension and postretirement obligations</w:t>
            </w:r>
          </w:p>
        </w:tc>
        <w:tc>
          <w:tcPr>
            <w:tcW w:w="4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b w:val="1"/>
                <w:bCs w:val="1"/>
                <w:color w:val="00539B"/>
              </w:rPr>
              <w:t>978</w:t>
            </w:r>
          </w:p>
        </w:tc>
        <w:tc>
          <w:tcPr>
            <w:tcW w:w="5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1,055</w:t>
            </w:r>
          </w:p>
        </w:tc>
        <w:tc>
          <w:tcPr>
            <w:tcW w:w="0" w:type="dxa"/>
            <w:vAlign w:val="bottom"/>
          </w:tcPr>
          <w:p>
            <w:pPr>
              <w:spacing w:after="0"/>
              <w:rPr>
                <w:sz w:val="1"/>
                <w:szCs w:val="1"/>
                <w:color w:val="auto"/>
              </w:rPr>
            </w:pPr>
          </w:p>
        </w:tc>
      </w:tr>
      <w:tr>
        <w:trPr>
          <w:trHeight w:val="213"/>
        </w:trPr>
        <w:tc>
          <w:tcPr>
            <w:tcW w:w="7900" w:type="dxa"/>
            <w:vAlign w:val="bottom"/>
          </w:tcPr>
          <w:p>
            <w:pPr>
              <w:ind w:left="340"/>
              <w:spacing w:after="0"/>
              <w:rPr>
                <w:sz w:val="20"/>
                <w:szCs w:val="20"/>
                <w:color w:val="auto"/>
              </w:rPr>
            </w:pPr>
            <w:r>
              <w:rPr>
                <w:rFonts w:ascii="Arial" w:cs="Arial" w:eastAsia="Arial" w:hAnsi="Arial"/>
                <w:sz w:val="17"/>
                <w:szCs w:val="17"/>
                <w:color w:val="auto"/>
              </w:rPr>
              <w:t>Environmental remediation liabilities</w:t>
            </w:r>
          </w:p>
        </w:tc>
        <w:tc>
          <w:tcPr>
            <w:tcW w:w="4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b w:val="1"/>
                <w:bCs w:val="1"/>
                <w:color w:val="00539B"/>
              </w:rPr>
              <w:t>867</w:t>
            </w:r>
          </w:p>
        </w:tc>
        <w:tc>
          <w:tcPr>
            <w:tcW w:w="5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905</w:t>
            </w:r>
          </w:p>
        </w:tc>
        <w:tc>
          <w:tcPr>
            <w:tcW w:w="0" w:type="dxa"/>
            <w:vAlign w:val="bottom"/>
          </w:tcPr>
          <w:p>
            <w:pPr>
              <w:spacing w:after="0"/>
              <w:rPr>
                <w:sz w:val="1"/>
                <w:szCs w:val="1"/>
                <w:color w:val="auto"/>
              </w:rPr>
            </w:pPr>
          </w:p>
        </w:tc>
      </w:tr>
      <w:tr>
        <w:trPr>
          <w:trHeight w:val="227"/>
        </w:trPr>
        <w:tc>
          <w:tcPr>
            <w:tcW w:w="7900" w:type="dxa"/>
            <w:vAlign w:val="bottom"/>
          </w:tcPr>
          <w:p>
            <w:pPr>
              <w:ind w:left="340"/>
              <w:spacing w:after="0"/>
              <w:rPr>
                <w:sz w:val="20"/>
                <w:szCs w:val="20"/>
                <w:color w:val="auto"/>
              </w:rPr>
            </w:pPr>
            <w:r>
              <w:rPr>
                <w:rFonts w:ascii="Arial" w:cs="Arial" w:eastAsia="Arial" w:hAnsi="Arial"/>
                <w:sz w:val="17"/>
                <w:szCs w:val="17"/>
                <w:color w:val="auto"/>
              </w:rPr>
              <w:t>Operating lease liabilities</w:t>
            </w:r>
          </w:p>
        </w:tc>
        <w:tc>
          <w:tcPr>
            <w:tcW w:w="4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b w:val="1"/>
                <w:bCs w:val="1"/>
                <w:color w:val="00539B"/>
              </w:rPr>
              <w:t>576</w:t>
            </w:r>
          </w:p>
        </w:tc>
        <w:tc>
          <w:tcPr>
            <w:tcW w:w="5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657</w:t>
            </w:r>
          </w:p>
        </w:tc>
        <w:tc>
          <w:tcPr>
            <w:tcW w:w="0" w:type="dxa"/>
            <w:vAlign w:val="bottom"/>
          </w:tcPr>
          <w:p>
            <w:pPr>
              <w:spacing w:after="0"/>
              <w:rPr>
                <w:sz w:val="1"/>
                <w:szCs w:val="1"/>
                <w:color w:val="auto"/>
              </w:rPr>
            </w:pPr>
          </w:p>
        </w:tc>
      </w:tr>
      <w:tr>
        <w:trPr>
          <w:trHeight w:val="237"/>
        </w:trPr>
        <w:tc>
          <w:tcPr>
            <w:tcW w:w="7900" w:type="dxa"/>
            <w:vAlign w:val="bottom"/>
            <w:tcBorders>
              <w:bottom w:val="single" w:sz="8" w:color="auto"/>
            </w:tcBorders>
          </w:tcPr>
          <w:p>
            <w:pPr>
              <w:ind w:left="340"/>
              <w:spacing w:after="0"/>
              <w:rPr>
                <w:sz w:val="20"/>
                <w:szCs w:val="20"/>
                <w:color w:val="auto"/>
              </w:rPr>
            </w:pPr>
            <w:r>
              <w:rPr>
                <w:rFonts w:ascii="Arial" w:cs="Arial" w:eastAsia="Arial" w:hAnsi="Arial"/>
                <w:sz w:val="17"/>
                <w:szCs w:val="17"/>
                <w:color w:val="auto"/>
              </w:rPr>
              <w:t>Other</w:t>
            </w:r>
          </w:p>
        </w:tc>
        <w:tc>
          <w:tcPr>
            <w:tcW w:w="4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3,270</w:t>
            </w:r>
          </w:p>
        </w:tc>
        <w:tc>
          <w:tcPr>
            <w:tcW w:w="5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3,332</w:t>
            </w:r>
          </w:p>
        </w:tc>
        <w:tc>
          <w:tcPr>
            <w:tcW w:w="0" w:type="dxa"/>
            <w:vAlign w:val="bottom"/>
          </w:tcPr>
          <w:p>
            <w:pPr>
              <w:spacing w:after="0"/>
              <w:rPr>
                <w:sz w:val="1"/>
                <w:szCs w:val="1"/>
                <w:color w:val="auto"/>
              </w:rPr>
            </w:pPr>
          </w:p>
        </w:tc>
      </w:tr>
      <w:tr>
        <w:trPr>
          <w:trHeight w:val="209"/>
        </w:trPr>
        <w:tc>
          <w:tcPr>
            <w:tcW w:w="7900" w:type="dxa"/>
            <w:vAlign w:val="bottom"/>
            <w:tcBorders>
              <w:bottom w:val="single" w:sz="8" w:color="auto"/>
            </w:tcBorders>
          </w:tcPr>
          <w:p>
            <w:pPr>
              <w:ind w:left="340"/>
              <w:spacing w:after="0"/>
              <w:rPr>
                <w:sz w:val="20"/>
                <w:szCs w:val="20"/>
                <w:color w:val="auto"/>
              </w:rPr>
            </w:pPr>
            <w:r>
              <w:rPr>
                <w:rFonts w:ascii="Arial" w:cs="Arial" w:eastAsia="Arial" w:hAnsi="Arial"/>
                <w:sz w:val="17"/>
                <w:szCs w:val="17"/>
                <w:color w:val="auto"/>
              </w:rPr>
              <w:t>Total deferred credits and other liabilities</w:t>
            </w:r>
          </w:p>
        </w:tc>
        <w:tc>
          <w:tcPr>
            <w:tcW w:w="4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14,963</w:t>
            </w:r>
          </w:p>
        </w:tc>
        <w:tc>
          <w:tcPr>
            <w:tcW w:w="5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15,097</w:t>
            </w:r>
          </w:p>
        </w:tc>
        <w:tc>
          <w:tcPr>
            <w:tcW w:w="0" w:type="dxa"/>
            <w:vAlign w:val="bottom"/>
          </w:tcPr>
          <w:p>
            <w:pPr>
              <w:spacing w:after="0"/>
              <w:rPr>
                <w:sz w:val="1"/>
                <w:szCs w:val="1"/>
                <w:color w:val="auto"/>
              </w:rPr>
            </w:pPr>
          </w:p>
        </w:tc>
      </w:tr>
      <w:tr>
        <w:trPr>
          <w:trHeight w:val="309"/>
        </w:trPr>
        <w:tc>
          <w:tcPr>
            <w:tcW w:w="7900" w:type="dxa"/>
            <w:vAlign w:val="bottom"/>
          </w:tcPr>
          <w:p>
            <w:pPr>
              <w:ind w:left="20"/>
              <w:spacing w:after="0"/>
              <w:rPr>
                <w:sz w:val="20"/>
                <w:szCs w:val="20"/>
                <w:color w:val="auto"/>
              </w:rPr>
            </w:pPr>
            <w:r>
              <w:rPr>
                <w:rFonts w:ascii="Arial" w:cs="Arial" w:eastAsia="Arial" w:hAnsi="Arial"/>
                <w:sz w:val="17"/>
                <w:szCs w:val="17"/>
                <w:b w:val="1"/>
                <w:bCs w:val="1"/>
                <w:color w:val="auto"/>
              </w:rPr>
              <w:t>STOCKHOLDERS' EQUITY</w:t>
            </w:r>
          </w:p>
        </w:tc>
        <w:tc>
          <w:tcPr>
            <w:tcW w:w="440" w:type="dxa"/>
            <w:vAlign w:val="bottom"/>
          </w:tcPr>
          <w:p>
            <w:pPr>
              <w:spacing w:after="0"/>
              <w:rPr>
                <w:sz w:val="24"/>
                <w:szCs w:val="24"/>
                <w:color w:val="auto"/>
              </w:rPr>
            </w:pPr>
          </w:p>
        </w:tc>
        <w:tc>
          <w:tcPr>
            <w:tcW w:w="1280" w:type="dxa"/>
            <w:vAlign w:val="bottom"/>
            <w:vMerge w:val="restart"/>
          </w:tcPr>
          <w:p>
            <w:pPr>
              <w:jc w:val="right"/>
              <w:spacing w:after="0"/>
              <w:rPr>
                <w:sz w:val="20"/>
                <w:szCs w:val="20"/>
                <w:color w:val="auto"/>
              </w:rPr>
            </w:pPr>
            <w:r>
              <w:rPr>
                <w:rFonts w:ascii="Arial" w:cs="Arial" w:eastAsia="Arial" w:hAnsi="Arial"/>
                <w:sz w:val="17"/>
                <w:szCs w:val="17"/>
                <w:b w:val="1"/>
                <w:bCs w:val="1"/>
                <w:color w:val="00539B"/>
              </w:rPr>
              <w:t>8,621</w:t>
            </w:r>
          </w:p>
        </w:tc>
        <w:tc>
          <w:tcPr>
            <w:tcW w:w="5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7900" w:type="dxa"/>
            <w:vAlign w:val="bottom"/>
          </w:tcPr>
          <w:p>
            <w:pPr>
              <w:ind w:left="340"/>
              <w:spacing w:after="0"/>
              <w:rPr>
                <w:sz w:val="20"/>
                <w:szCs w:val="20"/>
                <w:color w:val="auto"/>
              </w:rPr>
            </w:pPr>
            <w:r>
              <w:rPr>
                <w:rFonts w:ascii="Arial" w:cs="Arial" w:eastAsia="Arial" w:hAnsi="Arial"/>
                <w:sz w:val="17"/>
                <w:szCs w:val="17"/>
                <w:color w:val="auto"/>
              </w:rPr>
              <w:t>Preferred stock, at $1.00 per share par value: 2023 — 88,312 shares and 2022 —100,000 shares</w:t>
            </w:r>
            <w:r>
              <w:rPr>
                <w:rFonts w:ascii="Arial" w:cs="Arial" w:eastAsia="Arial" w:hAnsi="Arial"/>
                <w:sz w:val="10"/>
                <w:szCs w:val="10"/>
                <w:color w:val="auto"/>
              </w:rPr>
              <w:t>(c)</w:t>
            </w:r>
          </w:p>
        </w:tc>
        <w:tc>
          <w:tcPr>
            <w:tcW w:w="440" w:type="dxa"/>
            <w:vAlign w:val="bottom"/>
          </w:tcPr>
          <w:p>
            <w:pPr>
              <w:spacing w:after="0"/>
              <w:rPr>
                <w:sz w:val="19"/>
                <w:szCs w:val="19"/>
                <w:color w:val="auto"/>
              </w:rPr>
            </w:pPr>
          </w:p>
        </w:tc>
        <w:tc>
          <w:tcPr>
            <w:tcW w:w="1280" w:type="dxa"/>
            <w:vAlign w:val="bottom"/>
            <w:vMerge w:val="continue"/>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9,762</w:t>
            </w:r>
          </w:p>
        </w:tc>
        <w:tc>
          <w:tcPr>
            <w:tcW w:w="0" w:type="dxa"/>
            <w:vAlign w:val="bottom"/>
          </w:tcPr>
          <w:p>
            <w:pPr>
              <w:spacing w:after="0"/>
              <w:rPr>
                <w:sz w:val="1"/>
                <w:szCs w:val="1"/>
                <w:color w:val="auto"/>
              </w:rPr>
            </w:pPr>
          </w:p>
        </w:tc>
      </w:tr>
      <w:tr>
        <w:trPr>
          <w:trHeight w:val="173"/>
        </w:trPr>
        <w:tc>
          <w:tcPr>
            <w:tcW w:w="7900" w:type="dxa"/>
            <w:vAlign w:val="bottom"/>
          </w:tcPr>
          <w:p>
            <w:pPr>
              <w:ind w:left="340"/>
              <w:spacing w:after="0" w:line="173" w:lineRule="exact"/>
              <w:rPr>
                <w:sz w:val="20"/>
                <w:szCs w:val="20"/>
                <w:color w:val="auto"/>
              </w:rPr>
            </w:pPr>
            <w:r>
              <w:rPr>
                <w:rFonts w:ascii="Arial" w:cs="Arial" w:eastAsia="Arial" w:hAnsi="Arial"/>
                <w:sz w:val="17"/>
                <w:szCs w:val="17"/>
                <w:color w:val="auto"/>
              </w:rPr>
              <w:t>Common stock, at $0.20 per share par value, authorized shares: 1.5 billion, issued shares: 2023 —</w:t>
            </w:r>
          </w:p>
        </w:tc>
        <w:tc>
          <w:tcPr>
            <w:tcW w:w="44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Arial" w:cs="Arial" w:eastAsia="Arial" w:hAnsi="Arial"/>
                <w:sz w:val="17"/>
                <w:szCs w:val="17"/>
                <w:b w:val="1"/>
                <w:bCs w:val="1"/>
                <w:color w:val="00539B"/>
              </w:rPr>
              <w:t>221</w:t>
            </w:r>
          </w:p>
        </w:tc>
        <w:tc>
          <w:tcPr>
            <w:tcW w:w="5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7900" w:type="dxa"/>
            <w:vAlign w:val="bottom"/>
          </w:tcPr>
          <w:p>
            <w:pPr>
              <w:ind w:left="660"/>
              <w:spacing w:after="0"/>
              <w:rPr>
                <w:sz w:val="20"/>
                <w:szCs w:val="20"/>
                <w:color w:val="auto"/>
              </w:rPr>
            </w:pPr>
            <w:r>
              <w:rPr>
                <w:rFonts w:ascii="Arial" w:cs="Arial" w:eastAsia="Arial" w:hAnsi="Arial"/>
                <w:sz w:val="17"/>
                <w:szCs w:val="17"/>
                <w:color w:val="auto"/>
              </w:rPr>
              <w:t>1,103,080,267 shares and 2022 — 1,098,512,626 shares</w:t>
            </w:r>
          </w:p>
        </w:tc>
        <w:tc>
          <w:tcPr>
            <w:tcW w:w="440" w:type="dxa"/>
            <w:vAlign w:val="bottom"/>
          </w:tcPr>
          <w:p>
            <w:pPr>
              <w:spacing w:after="0"/>
              <w:rPr>
                <w:sz w:val="17"/>
                <w:szCs w:val="17"/>
                <w:color w:val="auto"/>
              </w:rPr>
            </w:pPr>
          </w:p>
        </w:tc>
        <w:tc>
          <w:tcPr>
            <w:tcW w:w="1280" w:type="dxa"/>
            <w:vAlign w:val="bottom"/>
            <w:vMerge w:val="continue"/>
          </w:tcPr>
          <w:p>
            <w:pPr>
              <w:spacing w:after="0"/>
              <w:rPr>
                <w:sz w:val="17"/>
                <w:szCs w:val="17"/>
                <w:color w:val="auto"/>
              </w:rPr>
            </w:pPr>
          </w:p>
        </w:tc>
        <w:tc>
          <w:tcPr>
            <w:tcW w:w="5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220</w:t>
            </w:r>
          </w:p>
        </w:tc>
        <w:tc>
          <w:tcPr>
            <w:tcW w:w="0" w:type="dxa"/>
            <w:vAlign w:val="bottom"/>
          </w:tcPr>
          <w:p>
            <w:pPr>
              <w:spacing w:after="0"/>
              <w:rPr>
                <w:sz w:val="1"/>
                <w:szCs w:val="1"/>
                <w:color w:val="auto"/>
              </w:rPr>
            </w:pPr>
          </w:p>
        </w:tc>
      </w:tr>
      <w:tr>
        <w:trPr>
          <w:trHeight w:val="227"/>
        </w:trPr>
        <w:tc>
          <w:tcPr>
            <w:tcW w:w="7900" w:type="dxa"/>
            <w:vAlign w:val="bottom"/>
          </w:tcPr>
          <w:p>
            <w:pPr>
              <w:ind w:left="340"/>
              <w:spacing w:after="0"/>
              <w:rPr>
                <w:sz w:val="20"/>
                <w:szCs w:val="20"/>
                <w:color w:val="auto"/>
              </w:rPr>
            </w:pPr>
            <w:r>
              <w:rPr>
                <w:rFonts w:ascii="Arial" w:cs="Arial" w:eastAsia="Arial" w:hAnsi="Arial"/>
                <w:sz w:val="17"/>
                <w:szCs w:val="17"/>
                <w:color w:val="auto"/>
              </w:rPr>
              <w:t>Treasury stock: 2023 — 218,398,379 shares and 2022 — 198,653,682 shares</w:t>
            </w:r>
          </w:p>
        </w:tc>
        <w:tc>
          <w:tcPr>
            <w:tcW w:w="4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b w:val="1"/>
                <w:bCs w:val="1"/>
                <w:color w:val="00539B"/>
              </w:rPr>
              <w:t>(14,958)</w:t>
            </w:r>
          </w:p>
        </w:tc>
        <w:tc>
          <w:tcPr>
            <w:tcW w:w="5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(13,772)</w:t>
            </w:r>
          </w:p>
        </w:tc>
        <w:tc>
          <w:tcPr>
            <w:tcW w:w="0" w:type="dxa"/>
            <w:vAlign w:val="bottom"/>
          </w:tcPr>
          <w:p>
            <w:pPr>
              <w:spacing w:after="0"/>
              <w:rPr>
                <w:sz w:val="1"/>
                <w:szCs w:val="1"/>
                <w:color w:val="auto"/>
              </w:rPr>
            </w:pPr>
          </w:p>
        </w:tc>
      </w:tr>
      <w:tr>
        <w:trPr>
          <w:trHeight w:val="227"/>
        </w:trPr>
        <w:tc>
          <w:tcPr>
            <w:tcW w:w="7900" w:type="dxa"/>
            <w:vAlign w:val="bottom"/>
          </w:tcPr>
          <w:p>
            <w:pPr>
              <w:ind w:left="340"/>
              <w:spacing w:after="0"/>
              <w:rPr>
                <w:sz w:val="20"/>
                <w:szCs w:val="20"/>
                <w:color w:val="auto"/>
              </w:rPr>
            </w:pPr>
            <w:r>
              <w:rPr>
                <w:rFonts w:ascii="Arial" w:cs="Arial" w:eastAsia="Arial" w:hAnsi="Arial"/>
                <w:sz w:val="17"/>
                <w:szCs w:val="17"/>
                <w:color w:val="auto"/>
              </w:rPr>
              <w:t>Additional paid-in capital</w:t>
            </w:r>
          </w:p>
        </w:tc>
        <w:tc>
          <w:tcPr>
            <w:tcW w:w="4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b w:val="1"/>
                <w:bCs w:val="1"/>
                <w:color w:val="00539B"/>
              </w:rPr>
              <w:t>17,218</w:t>
            </w:r>
          </w:p>
        </w:tc>
        <w:tc>
          <w:tcPr>
            <w:tcW w:w="5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17,181</w:t>
            </w:r>
          </w:p>
        </w:tc>
        <w:tc>
          <w:tcPr>
            <w:tcW w:w="0" w:type="dxa"/>
            <w:vAlign w:val="bottom"/>
          </w:tcPr>
          <w:p>
            <w:pPr>
              <w:spacing w:after="0"/>
              <w:rPr>
                <w:sz w:val="1"/>
                <w:szCs w:val="1"/>
                <w:color w:val="auto"/>
              </w:rPr>
            </w:pPr>
          </w:p>
        </w:tc>
      </w:tr>
      <w:tr>
        <w:trPr>
          <w:trHeight w:val="213"/>
        </w:trPr>
        <w:tc>
          <w:tcPr>
            <w:tcW w:w="7900" w:type="dxa"/>
            <w:vAlign w:val="bottom"/>
          </w:tcPr>
          <w:p>
            <w:pPr>
              <w:ind w:left="340"/>
              <w:spacing w:after="0"/>
              <w:rPr>
                <w:sz w:val="20"/>
                <w:szCs w:val="20"/>
                <w:color w:val="auto"/>
              </w:rPr>
            </w:pPr>
            <w:r>
              <w:rPr>
                <w:rFonts w:ascii="Arial" w:cs="Arial" w:eastAsia="Arial" w:hAnsi="Arial"/>
                <w:sz w:val="17"/>
                <w:szCs w:val="17"/>
                <w:color w:val="auto"/>
              </w:rPr>
              <w:t>Retained earnings</w:t>
            </w:r>
          </w:p>
        </w:tc>
        <w:tc>
          <w:tcPr>
            <w:tcW w:w="4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b w:val="1"/>
                <w:bCs w:val="1"/>
                <w:color w:val="00539B"/>
              </w:rPr>
              <w:t>17,762</w:t>
            </w:r>
          </w:p>
        </w:tc>
        <w:tc>
          <w:tcPr>
            <w:tcW w:w="5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16,499</w:t>
            </w:r>
          </w:p>
        </w:tc>
        <w:tc>
          <w:tcPr>
            <w:tcW w:w="0" w:type="dxa"/>
            <w:vAlign w:val="bottom"/>
          </w:tcPr>
          <w:p>
            <w:pPr>
              <w:spacing w:after="0"/>
              <w:rPr>
                <w:sz w:val="1"/>
                <w:szCs w:val="1"/>
                <w:color w:val="auto"/>
              </w:rPr>
            </w:pPr>
          </w:p>
        </w:tc>
      </w:tr>
      <w:tr>
        <w:trPr>
          <w:trHeight w:val="237"/>
        </w:trPr>
        <w:tc>
          <w:tcPr>
            <w:tcW w:w="7900" w:type="dxa"/>
            <w:vAlign w:val="bottom"/>
            <w:tcBorders>
              <w:bottom w:val="single" w:sz="8" w:color="auto"/>
            </w:tcBorders>
          </w:tcPr>
          <w:p>
            <w:pPr>
              <w:ind w:left="340"/>
              <w:spacing w:after="0"/>
              <w:rPr>
                <w:sz w:val="20"/>
                <w:szCs w:val="20"/>
                <w:color w:val="auto"/>
              </w:rPr>
            </w:pPr>
            <w:r>
              <w:rPr>
                <w:rFonts w:ascii="Arial" w:cs="Arial" w:eastAsia="Arial" w:hAnsi="Arial"/>
                <w:sz w:val="17"/>
                <w:szCs w:val="17"/>
                <w:color w:val="auto"/>
              </w:rPr>
              <w:t>Accumulated other comprehensive income</w:t>
            </w:r>
          </w:p>
        </w:tc>
        <w:tc>
          <w:tcPr>
            <w:tcW w:w="4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247</w:t>
            </w:r>
          </w:p>
        </w:tc>
        <w:tc>
          <w:tcPr>
            <w:tcW w:w="5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195</w:t>
            </w:r>
          </w:p>
        </w:tc>
        <w:tc>
          <w:tcPr>
            <w:tcW w:w="0" w:type="dxa"/>
            <w:vAlign w:val="bottom"/>
          </w:tcPr>
          <w:p>
            <w:pPr>
              <w:spacing w:after="0"/>
              <w:rPr>
                <w:sz w:val="1"/>
                <w:szCs w:val="1"/>
                <w:color w:val="auto"/>
              </w:rPr>
            </w:pPr>
          </w:p>
        </w:tc>
      </w:tr>
      <w:tr>
        <w:trPr>
          <w:trHeight w:val="223"/>
        </w:trPr>
        <w:tc>
          <w:tcPr>
            <w:tcW w:w="7900" w:type="dxa"/>
            <w:vAlign w:val="bottom"/>
            <w:tcBorders>
              <w:bottom w:val="single" w:sz="8" w:color="auto"/>
            </w:tcBorders>
          </w:tcPr>
          <w:p>
            <w:pPr>
              <w:ind w:left="340"/>
              <w:spacing w:after="0"/>
              <w:rPr>
                <w:sz w:val="20"/>
                <w:szCs w:val="20"/>
                <w:color w:val="auto"/>
              </w:rPr>
            </w:pPr>
            <w:r>
              <w:rPr>
                <w:rFonts w:ascii="Arial" w:cs="Arial" w:eastAsia="Arial" w:hAnsi="Arial"/>
                <w:sz w:val="17"/>
                <w:szCs w:val="17"/>
                <w:color w:val="auto"/>
              </w:rPr>
              <w:t>Total stockholders' equity</w:t>
            </w:r>
          </w:p>
        </w:tc>
        <w:tc>
          <w:tcPr>
            <w:tcW w:w="4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29,111</w:t>
            </w:r>
          </w:p>
        </w:tc>
        <w:tc>
          <w:tcPr>
            <w:tcW w:w="5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30,085</w:t>
            </w:r>
          </w:p>
        </w:tc>
        <w:tc>
          <w:tcPr>
            <w:tcW w:w="0" w:type="dxa"/>
            <w:vAlign w:val="bottom"/>
          </w:tcPr>
          <w:p>
            <w:pPr>
              <w:spacing w:after="0"/>
              <w:rPr>
                <w:sz w:val="1"/>
                <w:szCs w:val="1"/>
                <w:color w:val="auto"/>
              </w:rPr>
            </w:pPr>
          </w:p>
        </w:tc>
      </w:tr>
      <w:tr>
        <w:trPr>
          <w:trHeight w:val="207"/>
        </w:trPr>
        <w:tc>
          <w:tcPr>
            <w:tcW w:w="790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TOTAL LIABILITIES AND STOCKHOLDERS' EQUITY</w:t>
            </w:r>
          </w:p>
        </w:tc>
        <w:tc>
          <w:tcPr>
            <w:tcW w:w="440" w:type="dxa"/>
            <w:vAlign w:val="bottom"/>
            <w:tcBorders>
              <w:bottom w:val="single" w:sz="8" w:color="auto"/>
            </w:tcBorders>
          </w:tcPr>
          <w:p>
            <w:pPr>
              <w:jc w:val="right"/>
              <w:ind w:right="96"/>
              <w:spacing w:after="0"/>
              <w:rPr>
                <w:sz w:val="20"/>
                <w:szCs w:val="20"/>
                <w:color w:val="auto"/>
              </w:rPr>
            </w:pPr>
            <w:r>
              <w:rPr>
                <w:rFonts w:ascii="Arial" w:cs="Arial" w:eastAsia="Arial" w:hAnsi="Arial"/>
                <w:sz w:val="17"/>
                <w:szCs w:val="17"/>
                <w:b w:val="1"/>
                <w:bCs w:val="1"/>
                <w:color w:val="00539B"/>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71,199</w:t>
            </w:r>
          </w:p>
        </w:tc>
        <w:tc>
          <w:tcPr>
            <w:tcW w:w="540" w:type="dxa"/>
            <w:vAlign w:val="bottom"/>
            <w:tcBorders>
              <w:bottom w:val="single" w:sz="8" w:color="auto"/>
            </w:tcBorders>
          </w:tcPr>
          <w:p>
            <w:pPr>
              <w:jc w:val="right"/>
              <w:ind w:right="336"/>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72,609</w:t>
            </w:r>
          </w:p>
        </w:tc>
        <w:tc>
          <w:tcPr>
            <w:tcW w:w="0" w:type="dxa"/>
            <w:vAlign w:val="bottom"/>
          </w:tcPr>
          <w:p>
            <w:pPr>
              <w:spacing w:after="0"/>
              <w:rPr>
                <w:sz w:val="1"/>
                <w:szCs w:val="1"/>
                <w:color w:val="auto"/>
              </w:rPr>
            </w:pPr>
          </w:p>
        </w:tc>
      </w:tr>
    </w:tbl>
    <w:p>
      <w:pPr>
        <w:spacing w:after="0" w:line="41" w:lineRule="exact"/>
        <w:rPr>
          <w:sz w:val="20"/>
          <w:szCs w:val="20"/>
          <w:color w:val="auto"/>
        </w:rPr>
      </w:pPr>
    </w:p>
    <w:p>
      <w:pPr>
        <w:ind w:left="240" w:hanging="233"/>
        <w:spacing w:after="0"/>
        <w:tabs>
          <w:tab w:leader="none" w:pos="240" w:val="left"/>
        </w:tabs>
        <w:numPr>
          <w:ilvl w:val="0"/>
          <w:numId w:val="6"/>
        </w:numPr>
        <w:rPr>
          <w:rFonts w:ascii="Arial" w:cs="Arial" w:eastAsia="Arial" w:hAnsi="Arial"/>
          <w:sz w:val="21"/>
          <w:szCs w:val="21"/>
          <w:color w:val="auto"/>
          <w:vertAlign w:val="superscript"/>
        </w:rPr>
      </w:pPr>
      <w:r>
        <w:rPr>
          <w:rFonts w:ascii="Arial" w:cs="Arial" w:eastAsia="Arial" w:hAnsi="Arial"/>
          <w:sz w:val="16"/>
          <w:szCs w:val="16"/>
          <w:color w:val="auto"/>
        </w:rPr>
        <w:t>Included $158 million and $143 million of current finance lease liabilities as of June 30, 2023 and December 31, 2022, respectively.</w:t>
      </w:r>
    </w:p>
    <w:p>
      <w:pPr>
        <w:ind w:left="240" w:hanging="233"/>
        <w:spacing w:after="0" w:line="185" w:lineRule="auto"/>
        <w:tabs>
          <w:tab w:leader="none" w:pos="240" w:val="left"/>
        </w:tabs>
        <w:numPr>
          <w:ilvl w:val="0"/>
          <w:numId w:val="6"/>
        </w:numPr>
        <w:rPr>
          <w:rFonts w:ascii="Arial" w:cs="Arial" w:eastAsia="Arial" w:hAnsi="Arial"/>
          <w:sz w:val="21"/>
          <w:szCs w:val="21"/>
          <w:color w:val="auto"/>
          <w:vertAlign w:val="superscript"/>
        </w:rPr>
      </w:pPr>
      <w:r>
        <w:rPr>
          <w:rFonts w:ascii="Arial" w:cs="Arial" w:eastAsia="Arial" w:hAnsi="Arial"/>
          <w:sz w:val="16"/>
          <w:szCs w:val="16"/>
          <w:color w:val="auto"/>
        </w:rPr>
        <w:t>Included $587 million and $546 million of finance lease liabilities as of June 30, 2023 and December 31, 2022, respectively.</w:t>
      </w:r>
    </w:p>
    <w:p>
      <w:pPr>
        <w:ind w:left="320" w:hanging="313"/>
        <w:spacing w:after="0" w:line="221" w:lineRule="auto"/>
        <w:tabs>
          <w:tab w:leader="none" w:pos="305" w:val="left"/>
        </w:tabs>
        <w:numPr>
          <w:ilvl w:val="0"/>
          <w:numId w:val="6"/>
        </w:numPr>
        <w:rPr>
          <w:rFonts w:ascii="Arial" w:cs="Arial" w:eastAsia="Arial" w:hAnsi="Arial"/>
          <w:sz w:val="21"/>
          <w:szCs w:val="21"/>
          <w:color w:val="auto"/>
          <w:vertAlign w:val="superscript"/>
        </w:rPr>
      </w:pPr>
      <w:r>
        <w:rPr>
          <w:rFonts w:ascii="Arial" w:cs="Arial" w:eastAsia="Arial" w:hAnsi="Arial"/>
          <w:sz w:val="16"/>
          <w:szCs w:val="16"/>
          <w:color w:val="auto"/>
        </w:rPr>
        <w:t xml:space="preserve">Reduced for obligated redemptions. See </w:t>
      </w:r>
      <w:r>
        <w:rPr>
          <w:rFonts w:ascii="Arial" w:cs="Arial" w:eastAsia="Arial" w:hAnsi="Arial"/>
          <w:sz w:val="16"/>
          <w:szCs w:val="16"/>
          <w:u w:val="single" w:color="auto"/>
          <w:color w:val="auto"/>
        </w:rPr>
        <w:t>Note 9 - Earnings Per Share and Stockholders' Equity</w:t>
      </w:r>
      <w:r>
        <w:rPr>
          <w:rFonts w:ascii="Arial" w:cs="Arial" w:eastAsia="Arial" w:hAnsi="Arial"/>
          <w:sz w:val="16"/>
          <w:szCs w:val="16"/>
          <w:color w:val="auto"/>
        </w:rPr>
        <w:t xml:space="preserve"> in the notes to the Consolidated Condensed Financial Statements in Part I, Item 1 of this Form 10-Q.</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are an integral part of these Consolidated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715962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8" w:right="339" w:bottom="1440" w:gutter="0" w:footer="0" w:header="0"/>
          <w:type w:val="continuous"/>
        </w:sectPr>
      </w:pPr>
    </w:p>
    <w:bookmarkStart w:id="5" w:name="page6"/>
    <w:bookmarkEnd w:id="5"/>
    <w:p>
      <w:pPr>
        <w:ind w:left="20"/>
        <w:spacing w:after="0"/>
        <w:rPr>
          <w:sz w:val="20"/>
          <w:szCs w:val="20"/>
          <w:color w:val="auto"/>
        </w:rPr>
      </w:pPr>
      <w:r>
        <w:rPr>
          <w:rFonts w:ascii="Arial" w:cs="Arial" w:eastAsia="Arial" w:hAnsi="Arial"/>
          <w:sz w:val="24"/>
          <w:szCs w:val="24"/>
          <w:b w:val="1"/>
          <w:bCs w:val="1"/>
          <w:color w:val="00539B"/>
        </w:rPr>
        <w:t>Consolidated Condensed Statements of Operations</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jc w:val="right"/>
        <w:spacing w:after="0" w:line="238" w:lineRule="auto"/>
        <w:rPr>
          <w:sz w:val="20"/>
          <w:szCs w:val="20"/>
          <w:color w:val="auto"/>
        </w:rPr>
      </w:pPr>
      <w:r>
        <w:rPr>
          <w:rFonts w:ascii="Arial" w:cs="Arial" w:eastAsia="Arial" w:hAnsi="Arial"/>
          <w:sz w:val="17"/>
          <w:szCs w:val="17"/>
          <w:color w:val="auto"/>
        </w:rPr>
        <w:t>Occidental Petroleum Corporation and Subsidiaries</w:t>
      </w:r>
    </w:p>
    <w:p>
      <w:pPr>
        <w:spacing w:after="0" w:line="104" w:lineRule="exact"/>
        <w:rPr>
          <w:sz w:val="20"/>
          <w:szCs w:val="20"/>
          <w:color w:val="auto"/>
        </w:rPr>
      </w:pPr>
    </w:p>
    <w:p>
      <w:pPr>
        <w:sectPr>
          <w:pgSz w:w="11900" w:h="16838" w:orient="portrait"/>
          <w:cols w:equalWidth="0" w:num="2">
            <w:col w:w="7640" w:space="720"/>
            <w:col w:w="2860"/>
          </w:cols>
          <w:pgMar w:left="320" w:top="938" w:right="359" w:bottom="1440" w:gutter="0" w:footer="0" w:header="0"/>
        </w:sectPr>
      </w:pPr>
    </w:p>
    <w:tbl>
      <w:tblPr>
        <w:tblLayout w:type="fixed"/>
        <w:tblInd w:w="0" w:type="dxa"/>
        <w:tblCellMar>
          <w:top w:w="0" w:type="dxa"/>
          <w:left w:w="0" w:type="dxa"/>
          <w:bottom w:w="0" w:type="dxa"/>
          <w:right w:w="0" w:type="dxa"/>
        </w:tblCellMar>
      </w:tblPr>
      <w:tr>
        <w:trPr>
          <w:trHeight w:val="174"/>
        </w:trPr>
        <w:tc>
          <w:tcPr>
            <w:tcW w:w="644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2200" w:type="dxa"/>
            <w:vAlign w:val="bottom"/>
            <w:tcBorders>
              <w:top w:val="single" w:sz="8" w:color="auto"/>
            </w:tcBorders>
            <w:gridSpan w:val="3"/>
          </w:tcPr>
          <w:p>
            <w:pPr>
              <w:jc w:val="right"/>
              <w:spacing w:after="0" w:line="174" w:lineRule="exact"/>
              <w:rPr>
                <w:sz w:val="20"/>
                <w:szCs w:val="20"/>
                <w:color w:val="auto"/>
              </w:rPr>
            </w:pPr>
            <w:r>
              <w:rPr>
                <w:rFonts w:ascii="Arial" w:cs="Arial" w:eastAsia="Arial" w:hAnsi="Arial"/>
                <w:sz w:val="17"/>
                <w:szCs w:val="17"/>
                <w:b w:val="1"/>
                <w:bCs w:val="1"/>
                <w:color w:val="auto"/>
              </w:rPr>
              <w:t>Three months ended June</w:t>
            </w:r>
          </w:p>
        </w:tc>
        <w:tc>
          <w:tcPr>
            <w:tcW w:w="140" w:type="dxa"/>
            <w:vAlign w:val="bottom"/>
            <w:tcBorders>
              <w:top w:val="single" w:sz="8" w:color="auto"/>
            </w:tcBorders>
          </w:tcPr>
          <w:p>
            <w:pPr>
              <w:spacing w:after="0"/>
              <w:rPr>
                <w:sz w:val="15"/>
                <w:szCs w:val="15"/>
                <w:color w:val="auto"/>
              </w:rPr>
            </w:pPr>
          </w:p>
        </w:tc>
        <w:tc>
          <w:tcPr>
            <w:tcW w:w="2220" w:type="dxa"/>
            <w:vAlign w:val="bottom"/>
            <w:tcBorders>
              <w:top w:val="single" w:sz="8" w:color="auto"/>
            </w:tcBorders>
            <w:gridSpan w:val="3"/>
            <w:vMerge w:val="restart"/>
          </w:tcPr>
          <w:p>
            <w:pPr>
              <w:jc w:val="center"/>
              <w:spacing w:after="0"/>
              <w:rPr>
                <w:sz w:val="20"/>
                <w:szCs w:val="20"/>
                <w:color w:val="auto"/>
              </w:rPr>
            </w:pPr>
            <w:r>
              <w:rPr>
                <w:rFonts w:ascii="Arial" w:cs="Arial" w:eastAsia="Arial" w:hAnsi="Arial"/>
                <w:sz w:val="17"/>
                <w:szCs w:val="17"/>
                <w:b w:val="1"/>
                <w:bCs w:val="1"/>
                <w:color w:val="auto"/>
                <w:w w:val="99"/>
              </w:rPr>
              <w:t>Six months ended June 30,</w:t>
            </w:r>
          </w:p>
        </w:tc>
        <w:tc>
          <w:tcPr>
            <w:tcW w:w="0" w:type="dxa"/>
            <w:vAlign w:val="bottom"/>
          </w:tcPr>
          <w:p>
            <w:pPr>
              <w:spacing w:after="0"/>
              <w:rPr>
                <w:sz w:val="1"/>
                <w:szCs w:val="1"/>
                <w:color w:val="auto"/>
              </w:rPr>
            </w:pPr>
          </w:p>
        </w:tc>
      </w:tr>
      <w:tr>
        <w:trPr>
          <w:trHeight w:val="141"/>
        </w:trPr>
        <w:tc>
          <w:tcPr>
            <w:tcW w:w="6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30,</w:t>
            </w:r>
          </w:p>
        </w:tc>
        <w:tc>
          <w:tcPr>
            <w:tcW w:w="140" w:type="dxa"/>
            <w:vAlign w:val="bottom"/>
          </w:tcPr>
          <w:p>
            <w:pPr>
              <w:spacing w:after="0"/>
              <w:rPr>
                <w:sz w:val="12"/>
                <w:szCs w:val="12"/>
                <w:color w:val="auto"/>
              </w:rPr>
            </w:pPr>
          </w:p>
        </w:tc>
        <w:tc>
          <w:tcPr>
            <w:tcW w:w="22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5"/>
        </w:trPr>
        <w:tc>
          <w:tcPr>
            <w:tcW w:w="6440" w:type="dxa"/>
            <w:vAlign w:val="bottom"/>
            <w:vMerge w:val="restart"/>
          </w:tcPr>
          <w:p>
            <w:pPr>
              <w:ind w:left="20"/>
              <w:spacing w:after="0"/>
              <w:rPr>
                <w:sz w:val="20"/>
                <w:szCs w:val="20"/>
                <w:color w:val="auto"/>
              </w:rPr>
            </w:pPr>
            <w:r>
              <w:rPr>
                <w:rFonts w:ascii="Arial" w:cs="Arial" w:eastAsia="Arial" w:hAnsi="Arial"/>
                <w:sz w:val="17"/>
                <w:szCs w:val="17"/>
                <w:i w:val="1"/>
                <w:iCs w:val="1"/>
                <w:color w:val="auto"/>
              </w:rPr>
              <w:t>millions, except per-share amounts</w:t>
            </w:r>
          </w:p>
        </w:tc>
        <w:tc>
          <w:tcPr>
            <w:tcW w:w="18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vMerge w:val="continue"/>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04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0"/>
        </w:trPr>
        <w:tc>
          <w:tcPr>
            <w:tcW w:w="6440" w:type="dxa"/>
            <w:vAlign w:val="bottom"/>
            <w:tcBorders>
              <w:bottom w:val="single" w:sz="8" w:color="auto"/>
            </w:tcBorders>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2023</w:t>
            </w: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2022</w:t>
            </w: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2023</w:t>
            </w: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2022</w:t>
            </w:r>
          </w:p>
        </w:tc>
        <w:tc>
          <w:tcPr>
            <w:tcW w:w="0" w:type="dxa"/>
            <w:vAlign w:val="bottom"/>
          </w:tcPr>
          <w:p>
            <w:pPr>
              <w:spacing w:after="0"/>
              <w:rPr>
                <w:sz w:val="1"/>
                <w:szCs w:val="1"/>
                <w:color w:val="auto"/>
              </w:rPr>
            </w:pPr>
          </w:p>
        </w:tc>
      </w:tr>
      <w:tr>
        <w:trPr>
          <w:trHeight w:val="482"/>
        </w:trPr>
        <w:tc>
          <w:tcPr>
            <w:tcW w:w="6440" w:type="dxa"/>
            <w:vAlign w:val="bottom"/>
          </w:tcPr>
          <w:p>
            <w:pPr>
              <w:ind w:left="20"/>
              <w:spacing w:after="0"/>
              <w:rPr>
                <w:sz w:val="20"/>
                <w:szCs w:val="20"/>
                <w:color w:val="auto"/>
              </w:rPr>
            </w:pPr>
            <w:r>
              <w:rPr>
                <w:rFonts w:ascii="Arial" w:cs="Arial" w:eastAsia="Arial" w:hAnsi="Arial"/>
                <w:sz w:val="18"/>
                <w:szCs w:val="18"/>
                <w:b w:val="1"/>
                <w:bCs w:val="1"/>
                <w:color w:val="auto"/>
              </w:rPr>
              <w:t>REVENUES AND OTHER INCOME</w:t>
            </w:r>
          </w:p>
        </w:tc>
        <w:tc>
          <w:tcPr>
            <w:tcW w:w="180" w:type="dxa"/>
            <w:vAlign w:val="bottom"/>
            <w:vMerge w:val="restart"/>
          </w:tcPr>
          <w:p>
            <w:pPr>
              <w:jc w:val="right"/>
              <w:spacing w:after="0"/>
              <w:rPr>
                <w:sz w:val="20"/>
                <w:szCs w:val="20"/>
                <w:color w:val="auto"/>
              </w:rPr>
            </w:pPr>
            <w:r>
              <w:rPr>
                <w:rFonts w:ascii="Arial" w:cs="Arial" w:eastAsia="Arial" w:hAnsi="Arial"/>
                <w:sz w:val="17"/>
                <w:szCs w:val="17"/>
                <w:b w:val="1"/>
                <w:bCs w:val="1"/>
                <w:color w:val="00539B"/>
              </w:rPr>
              <w:t>$</w:t>
            </w:r>
          </w:p>
        </w:tc>
        <w:tc>
          <w:tcPr>
            <w:tcW w:w="1000" w:type="dxa"/>
            <w:vAlign w:val="bottom"/>
            <w:vMerge w:val="restart"/>
          </w:tcPr>
          <w:p>
            <w:pPr>
              <w:jc w:val="right"/>
              <w:spacing w:after="0"/>
              <w:rPr>
                <w:sz w:val="20"/>
                <w:szCs w:val="20"/>
                <w:color w:val="auto"/>
              </w:rPr>
            </w:pPr>
            <w:r>
              <w:rPr>
                <w:rFonts w:ascii="Arial" w:cs="Arial" w:eastAsia="Arial" w:hAnsi="Arial"/>
                <w:sz w:val="17"/>
                <w:szCs w:val="17"/>
                <w:b w:val="1"/>
                <w:bCs w:val="1"/>
                <w:color w:val="00539B"/>
              </w:rPr>
              <w:t>6,702</w:t>
            </w: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vMerge w:val="restart"/>
          </w:tcPr>
          <w:p>
            <w:pPr>
              <w:jc w:val="right"/>
              <w:spacing w:after="0"/>
              <w:rPr>
                <w:sz w:val="20"/>
                <w:szCs w:val="20"/>
                <w:color w:val="auto"/>
              </w:rPr>
            </w:pPr>
            <w:r>
              <w:rPr>
                <w:rFonts w:ascii="Arial" w:cs="Arial" w:eastAsia="Arial" w:hAnsi="Arial"/>
                <w:sz w:val="17"/>
                <w:szCs w:val="17"/>
                <w:b w:val="1"/>
                <w:bCs w:val="1"/>
                <w:color w:val="00539B"/>
                <w:w w:val="84"/>
              </w:rPr>
              <w:t>$</w:t>
            </w:r>
          </w:p>
        </w:tc>
        <w:tc>
          <w:tcPr>
            <w:tcW w:w="1040" w:type="dxa"/>
            <w:vAlign w:val="bottom"/>
            <w:vMerge w:val="restart"/>
          </w:tcPr>
          <w:p>
            <w:pPr>
              <w:jc w:val="right"/>
              <w:spacing w:after="0"/>
              <w:rPr>
                <w:sz w:val="20"/>
                <w:szCs w:val="20"/>
                <w:color w:val="auto"/>
              </w:rPr>
            </w:pPr>
            <w:r>
              <w:rPr>
                <w:rFonts w:ascii="Arial" w:cs="Arial" w:eastAsia="Arial" w:hAnsi="Arial"/>
                <w:sz w:val="17"/>
                <w:szCs w:val="17"/>
                <w:b w:val="1"/>
                <w:bCs w:val="1"/>
                <w:color w:val="00539B"/>
              </w:rPr>
              <w:t>13,927</w:t>
            </w: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6440" w:type="dxa"/>
            <w:vAlign w:val="bottom"/>
          </w:tcPr>
          <w:p>
            <w:pPr>
              <w:ind w:left="340"/>
              <w:spacing w:after="0"/>
              <w:rPr>
                <w:sz w:val="20"/>
                <w:szCs w:val="20"/>
                <w:color w:val="auto"/>
              </w:rPr>
            </w:pPr>
            <w:r>
              <w:rPr>
                <w:rFonts w:ascii="Arial" w:cs="Arial" w:eastAsia="Arial" w:hAnsi="Arial"/>
                <w:sz w:val="17"/>
                <w:szCs w:val="17"/>
                <w:color w:val="auto"/>
              </w:rPr>
              <w:t>Net sales</w:t>
            </w:r>
          </w:p>
        </w:tc>
        <w:tc>
          <w:tcPr>
            <w:tcW w:w="18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360" w:type="dxa"/>
            <w:vAlign w:val="bottom"/>
          </w:tcPr>
          <w:p>
            <w:pPr>
              <w:jc w:val="right"/>
              <w:ind w:right="156"/>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10,676</w:t>
            </w:r>
          </w:p>
        </w:tc>
        <w:tc>
          <w:tcPr>
            <w:tcW w:w="140" w:type="dxa"/>
            <w:vAlign w:val="bottom"/>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360" w:type="dxa"/>
            <w:vAlign w:val="bottom"/>
          </w:tcPr>
          <w:p>
            <w:pPr>
              <w:jc w:val="center"/>
              <w:ind w:right="136"/>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19,025</w:t>
            </w:r>
          </w:p>
        </w:tc>
        <w:tc>
          <w:tcPr>
            <w:tcW w:w="0" w:type="dxa"/>
            <w:vAlign w:val="bottom"/>
          </w:tcPr>
          <w:p>
            <w:pPr>
              <w:spacing w:after="0"/>
              <w:rPr>
                <w:sz w:val="1"/>
                <w:szCs w:val="1"/>
                <w:color w:val="auto"/>
              </w:rPr>
            </w:pPr>
          </w:p>
        </w:tc>
      </w:tr>
      <w:tr>
        <w:trPr>
          <w:trHeight w:val="227"/>
        </w:trPr>
        <w:tc>
          <w:tcPr>
            <w:tcW w:w="6440" w:type="dxa"/>
            <w:vAlign w:val="bottom"/>
          </w:tcPr>
          <w:p>
            <w:pPr>
              <w:ind w:left="340"/>
              <w:spacing w:after="0"/>
              <w:rPr>
                <w:sz w:val="20"/>
                <w:szCs w:val="20"/>
                <w:color w:val="auto"/>
              </w:rPr>
            </w:pPr>
            <w:r>
              <w:rPr>
                <w:rFonts w:ascii="Arial" w:cs="Arial" w:eastAsia="Arial" w:hAnsi="Arial"/>
                <w:sz w:val="17"/>
                <w:szCs w:val="17"/>
                <w:color w:val="auto"/>
              </w:rPr>
              <w:t>Interest, dividends and other income</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b w:val="1"/>
                <w:bCs w:val="1"/>
                <w:color w:val="00539B"/>
              </w:rPr>
              <w:t>28</w:t>
            </w: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36</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b w:val="1"/>
                <w:bCs w:val="1"/>
                <w:color w:val="00539B"/>
              </w:rPr>
              <w:t>57</w:t>
            </w: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85</w:t>
            </w:r>
          </w:p>
        </w:tc>
        <w:tc>
          <w:tcPr>
            <w:tcW w:w="0" w:type="dxa"/>
            <w:vAlign w:val="bottom"/>
          </w:tcPr>
          <w:p>
            <w:pPr>
              <w:spacing w:after="0"/>
              <w:rPr>
                <w:sz w:val="1"/>
                <w:szCs w:val="1"/>
                <w:color w:val="auto"/>
              </w:rPr>
            </w:pPr>
          </w:p>
        </w:tc>
      </w:tr>
      <w:tr>
        <w:trPr>
          <w:trHeight w:val="237"/>
        </w:trPr>
        <w:tc>
          <w:tcPr>
            <w:tcW w:w="6440" w:type="dxa"/>
            <w:vAlign w:val="bottom"/>
            <w:tcBorders>
              <w:bottom w:val="single" w:sz="8" w:color="auto"/>
            </w:tcBorders>
          </w:tcPr>
          <w:p>
            <w:pPr>
              <w:ind w:left="340"/>
              <w:spacing w:after="0"/>
              <w:rPr>
                <w:sz w:val="20"/>
                <w:szCs w:val="20"/>
                <w:color w:val="auto"/>
              </w:rPr>
            </w:pPr>
            <w:r>
              <w:rPr>
                <w:rFonts w:ascii="Arial" w:cs="Arial" w:eastAsia="Arial" w:hAnsi="Arial"/>
                <w:sz w:val="17"/>
                <w:szCs w:val="17"/>
                <w:color w:val="auto"/>
              </w:rPr>
              <w:t>Gains on sales of assets, net</w:t>
            </w: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1</w:t>
            </w:r>
          </w:p>
        </w:tc>
        <w:tc>
          <w:tcPr>
            <w:tcW w:w="3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w:t>
            </w: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5</w:t>
            </w:r>
          </w:p>
        </w:tc>
        <w:tc>
          <w:tcPr>
            <w:tcW w:w="3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158</w:t>
            </w:r>
          </w:p>
        </w:tc>
        <w:tc>
          <w:tcPr>
            <w:tcW w:w="0" w:type="dxa"/>
            <w:vAlign w:val="bottom"/>
          </w:tcPr>
          <w:p>
            <w:pPr>
              <w:spacing w:after="0"/>
              <w:rPr>
                <w:sz w:val="1"/>
                <w:szCs w:val="1"/>
                <w:color w:val="auto"/>
              </w:rPr>
            </w:pPr>
          </w:p>
        </w:tc>
      </w:tr>
      <w:tr>
        <w:trPr>
          <w:trHeight w:val="209"/>
        </w:trPr>
        <w:tc>
          <w:tcPr>
            <w:tcW w:w="6440" w:type="dxa"/>
            <w:vAlign w:val="bottom"/>
            <w:tcBorders>
              <w:bottom w:val="single" w:sz="8" w:color="auto"/>
            </w:tcBorders>
          </w:tcPr>
          <w:p>
            <w:pPr>
              <w:ind w:left="340"/>
              <w:spacing w:after="0"/>
              <w:rPr>
                <w:sz w:val="20"/>
                <w:szCs w:val="20"/>
                <w:color w:val="auto"/>
              </w:rPr>
            </w:pPr>
            <w:r>
              <w:rPr>
                <w:rFonts w:ascii="Arial" w:cs="Arial" w:eastAsia="Arial" w:hAnsi="Arial"/>
                <w:sz w:val="17"/>
                <w:szCs w:val="17"/>
                <w:color w:val="auto"/>
              </w:rPr>
              <w:t>Total</w:t>
            </w: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6,731</w:t>
            </w:r>
          </w:p>
        </w:tc>
        <w:tc>
          <w:tcPr>
            <w:tcW w:w="3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10,735</w:t>
            </w: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13,989</w:t>
            </w:r>
          </w:p>
        </w:tc>
        <w:tc>
          <w:tcPr>
            <w:tcW w:w="3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19,268</w:t>
            </w:r>
          </w:p>
        </w:tc>
        <w:tc>
          <w:tcPr>
            <w:tcW w:w="0" w:type="dxa"/>
            <w:vAlign w:val="bottom"/>
          </w:tcPr>
          <w:p>
            <w:pPr>
              <w:spacing w:after="0"/>
              <w:rPr>
                <w:sz w:val="1"/>
                <w:szCs w:val="1"/>
                <w:color w:val="auto"/>
              </w:rPr>
            </w:pPr>
          </w:p>
        </w:tc>
      </w:tr>
      <w:tr>
        <w:trPr>
          <w:trHeight w:val="482"/>
        </w:trPr>
        <w:tc>
          <w:tcPr>
            <w:tcW w:w="6440" w:type="dxa"/>
            <w:vAlign w:val="bottom"/>
          </w:tcPr>
          <w:p>
            <w:pPr>
              <w:ind w:left="20"/>
              <w:spacing w:after="0"/>
              <w:rPr>
                <w:sz w:val="20"/>
                <w:szCs w:val="20"/>
                <w:color w:val="auto"/>
              </w:rPr>
            </w:pPr>
            <w:r>
              <w:rPr>
                <w:rFonts w:ascii="Arial" w:cs="Arial" w:eastAsia="Arial" w:hAnsi="Arial"/>
                <w:sz w:val="18"/>
                <w:szCs w:val="18"/>
                <w:b w:val="1"/>
                <w:bCs w:val="1"/>
                <w:color w:val="auto"/>
              </w:rPr>
              <w:t>COSTS AND OTHER DEDUCTIONS</w:t>
            </w:r>
          </w:p>
        </w:tc>
        <w:tc>
          <w:tcPr>
            <w:tcW w:w="180" w:type="dxa"/>
            <w:vAlign w:val="bottom"/>
          </w:tcPr>
          <w:p>
            <w:pPr>
              <w:spacing w:after="0"/>
              <w:rPr>
                <w:sz w:val="24"/>
                <w:szCs w:val="24"/>
                <w:color w:val="auto"/>
              </w:rPr>
            </w:pPr>
          </w:p>
        </w:tc>
        <w:tc>
          <w:tcPr>
            <w:tcW w:w="1000" w:type="dxa"/>
            <w:vAlign w:val="bottom"/>
            <w:vMerge w:val="restart"/>
          </w:tcPr>
          <w:p>
            <w:pPr>
              <w:jc w:val="right"/>
              <w:spacing w:after="0"/>
              <w:rPr>
                <w:sz w:val="20"/>
                <w:szCs w:val="20"/>
                <w:color w:val="auto"/>
              </w:rPr>
            </w:pPr>
            <w:r>
              <w:rPr>
                <w:rFonts w:ascii="Arial" w:cs="Arial" w:eastAsia="Arial" w:hAnsi="Arial"/>
                <w:sz w:val="17"/>
                <w:szCs w:val="17"/>
                <w:b w:val="1"/>
                <w:bCs w:val="1"/>
                <w:color w:val="00539B"/>
              </w:rPr>
              <w:t>1,130</w:t>
            </w: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vMerge w:val="restart"/>
          </w:tcPr>
          <w:p>
            <w:pPr>
              <w:jc w:val="right"/>
              <w:spacing w:after="0"/>
              <w:rPr>
                <w:sz w:val="20"/>
                <w:szCs w:val="20"/>
                <w:color w:val="auto"/>
              </w:rPr>
            </w:pPr>
            <w:r>
              <w:rPr>
                <w:rFonts w:ascii="Arial" w:cs="Arial" w:eastAsia="Arial" w:hAnsi="Arial"/>
                <w:sz w:val="17"/>
                <w:szCs w:val="17"/>
                <w:b w:val="1"/>
                <w:bCs w:val="1"/>
                <w:color w:val="00539B"/>
              </w:rPr>
              <w:t>2,211</w:t>
            </w: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6440" w:type="dxa"/>
            <w:vAlign w:val="bottom"/>
          </w:tcPr>
          <w:p>
            <w:pPr>
              <w:ind w:left="340"/>
              <w:spacing w:after="0"/>
              <w:rPr>
                <w:sz w:val="20"/>
                <w:szCs w:val="20"/>
                <w:color w:val="auto"/>
              </w:rPr>
            </w:pPr>
            <w:r>
              <w:rPr>
                <w:rFonts w:ascii="Arial" w:cs="Arial" w:eastAsia="Arial" w:hAnsi="Arial"/>
                <w:sz w:val="17"/>
                <w:szCs w:val="17"/>
                <w:color w:val="auto"/>
              </w:rPr>
              <w:t>Oil and gas operating expense</w:t>
            </w:r>
          </w:p>
        </w:tc>
        <w:tc>
          <w:tcPr>
            <w:tcW w:w="18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1,005</w:t>
            </w:r>
          </w:p>
        </w:tc>
        <w:tc>
          <w:tcPr>
            <w:tcW w:w="14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1,869</w:t>
            </w:r>
          </w:p>
        </w:tc>
        <w:tc>
          <w:tcPr>
            <w:tcW w:w="0" w:type="dxa"/>
            <w:vAlign w:val="bottom"/>
          </w:tcPr>
          <w:p>
            <w:pPr>
              <w:spacing w:after="0"/>
              <w:rPr>
                <w:sz w:val="1"/>
                <w:szCs w:val="1"/>
                <w:color w:val="auto"/>
              </w:rPr>
            </w:pPr>
          </w:p>
        </w:tc>
      </w:tr>
      <w:tr>
        <w:trPr>
          <w:trHeight w:val="227"/>
        </w:trPr>
        <w:tc>
          <w:tcPr>
            <w:tcW w:w="6440" w:type="dxa"/>
            <w:vAlign w:val="bottom"/>
          </w:tcPr>
          <w:p>
            <w:pPr>
              <w:ind w:left="340"/>
              <w:spacing w:after="0"/>
              <w:rPr>
                <w:sz w:val="20"/>
                <w:szCs w:val="20"/>
                <w:color w:val="auto"/>
              </w:rPr>
            </w:pPr>
            <w:r>
              <w:rPr>
                <w:rFonts w:ascii="Arial" w:cs="Arial" w:eastAsia="Arial" w:hAnsi="Arial"/>
                <w:sz w:val="17"/>
                <w:szCs w:val="17"/>
                <w:color w:val="auto"/>
              </w:rPr>
              <w:t>Transportation and gathering expense</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b w:val="1"/>
                <w:bCs w:val="1"/>
                <w:color w:val="00539B"/>
              </w:rPr>
              <w:t>375</w:t>
            </w: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364</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b w:val="1"/>
                <w:bCs w:val="1"/>
                <w:color w:val="00539B"/>
              </w:rPr>
              <w:t>759</w:t>
            </w: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711</w:t>
            </w:r>
          </w:p>
        </w:tc>
        <w:tc>
          <w:tcPr>
            <w:tcW w:w="0" w:type="dxa"/>
            <w:vAlign w:val="bottom"/>
          </w:tcPr>
          <w:p>
            <w:pPr>
              <w:spacing w:after="0"/>
              <w:rPr>
                <w:sz w:val="1"/>
                <w:szCs w:val="1"/>
                <w:color w:val="auto"/>
              </w:rPr>
            </w:pPr>
          </w:p>
        </w:tc>
      </w:tr>
      <w:tr>
        <w:trPr>
          <w:trHeight w:val="213"/>
        </w:trPr>
        <w:tc>
          <w:tcPr>
            <w:tcW w:w="6440" w:type="dxa"/>
            <w:vAlign w:val="bottom"/>
          </w:tcPr>
          <w:p>
            <w:pPr>
              <w:ind w:left="340"/>
              <w:spacing w:after="0"/>
              <w:rPr>
                <w:sz w:val="20"/>
                <w:szCs w:val="20"/>
                <w:color w:val="auto"/>
              </w:rPr>
            </w:pPr>
            <w:r>
              <w:rPr>
                <w:rFonts w:ascii="Arial" w:cs="Arial" w:eastAsia="Arial" w:hAnsi="Arial"/>
                <w:sz w:val="17"/>
                <w:szCs w:val="17"/>
                <w:color w:val="auto"/>
              </w:rPr>
              <w:t>Chemical and midstream cost of sales</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b w:val="1"/>
                <w:bCs w:val="1"/>
                <w:color w:val="00539B"/>
              </w:rPr>
              <w:t>791</w:t>
            </w: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835</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b w:val="1"/>
                <w:bCs w:val="1"/>
                <w:color w:val="00539B"/>
              </w:rPr>
              <w:t>1,536</w:t>
            </w: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1,653</w:t>
            </w:r>
          </w:p>
        </w:tc>
        <w:tc>
          <w:tcPr>
            <w:tcW w:w="0" w:type="dxa"/>
            <w:vAlign w:val="bottom"/>
          </w:tcPr>
          <w:p>
            <w:pPr>
              <w:spacing w:after="0"/>
              <w:rPr>
                <w:sz w:val="1"/>
                <w:szCs w:val="1"/>
                <w:color w:val="auto"/>
              </w:rPr>
            </w:pPr>
          </w:p>
        </w:tc>
      </w:tr>
      <w:tr>
        <w:trPr>
          <w:trHeight w:val="227"/>
        </w:trPr>
        <w:tc>
          <w:tcPr>
            <w:tcW w:w="6440" w:type="dxa"/>
            <w:vAlign w:val="bottom"/>
          </w:tcPr>
          <w:p>
            <w:pPr>
              <w:ind w:left="340"/>
              <w:spacing w:after="0"/>
              <w:rPr>
                <w:sz w:val="20"/>
                <w:szCs w:val="20"/>
                <w:color w:val="auto"/>
              </w:rPr>
            </w:pPr>
            <w:r>
              <w:rPr>
                <w:rFonts w:ascii="Arial" w:cs="Arial" w:eastAsia="Arial" w:hAnsi="Arial"/>
                <w:sz w:val="17"/>
                <w:szCs w:val="17"/>
                <w:color w:val="auto"/>
              </w:rPr>
              <w:t>Purchased commodities</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b w:val="1"/>
                <w:bCs w:val="1"/>
                <w:color w:val="00539B"/>
              </w:rPr>
              <w:t>490</w:t>
            </w: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1,031</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b w:val="1"/>
                <w:bCs w:val="1"/>
                <w:color w:val="00539B"/>
              </w:rPr>
              <w:t>988</w:t>
            </w: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1,842</w:t>
            </w:r>
          </w:p>
        </w:tc>
        <w:tc>
          <w:tcPr>
            <w:tcW w:w="0" w:type="dxa"/>
            <w:vAlign w:val="bottom"/>
          </w:tcPr>
          <w:p>
            <w:pPr>
              <w:spacing w:after="0"/>
              <w:rPr>
                <w:sz w:val="1"/>
                <w:szCs w:val="1"/>
                <w:color w:val="auto"/>
              </w:rPr>
            </w:pPr>
          </w:p>
        </w:tc>
      </w:tr>
      <w:tr>
        <w:trPr>
          <w:trHeight w:val="227"/>
        </w:trPr>
        <w:tc>
          <w:tcPr>
            <w:tcW w:w="6440" w:type="dxa"/>
            <w:vAlign w:val="bottom"/>
          </w:tcPr>
          <w:p>
            <w:pPr>
              <w:ind w:left="340"/>
              <w:spacing w:after="0"/>
              <w:rPr>
                <w:sz w:val="20"/>
                <w:szCs w:val="20"/>
                <w:color w:val="auto"/>
              </w:rPr>
            </w:pPr>
            <w:r>
              <w:rPr>
                <w:rFonts w:ascii="Arial" w:cs="Arial" w:eastAsia="Arial" w:hAnsi="Arial"/>
                <w:sz w:val="17"/>
                <w:szCs w:val="17"/>
                <w:color w:val="auto"/>
              </w:rPr>
              <w:t>Selling, general and administrative expenses</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b w:val="1"/>
                <w:bCs w:val="1"/>
                <w:color w:val="00539B"/>
              </w:rPr>
              <w:t>277</w:t>
            </w: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244</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b w:val="1"/>
                <w:bCs w:val="1"/>
                <w:color w:val="00539B"/>
              </w:rPr>
              <w:t>518</w:t>
            </w: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440</w:t>
            </w:r>
          </w:p>
        </w:tc>
        <w:tc>
          <w:tcPr>
            <w:tcW w:w="0" w:type="dxa"/>
            <w:vAlign w:val="bottom"/>
          </w:tcPr>
          <w:p>
            <w:pPr>
              <w:spacing w:after="0"/>
              <w:rPr>
                <w:sz w:val="1"/>
                <w:szCs w:val="1"/>
                <w:color w:val="auto"/>
              </w:rPr>
            </w:pPr>
          </w:p>
        </w:tc>
      </w:tr>
      <w:tr>
        <w:trPr>
          <w:trHeight w:val="213"/>
        </w:trPr>
        <w:tc>
          <w:tcPr>
            <w:tcW w:w="6440" w:type="dxa"/>
            <w:vAlign w:val="bottom"/>
          </w:tcPr>
          <w:p>
            <w:pPr>
              <w:ind w:left="340"/>
              <w:spacing w:after="0"/>
              <w:rPr>
                <w:sz w:val="20"/>
                <w:szCs w:val="20"/>
                <w:color w:val="auto"/>
              </w:rPr>
            </w:pPr>
            <w:r>
              <w:rPr>
                <w:rFonts w:ascii="Arial" w:cs="Arial" w:eastAsia="Arial" w:hAnsi="Arial"/>
                <w:sz w:val="17"/>
                <w:szCs w:val="17"/>
                <w:color w:val="auto"/>
              </w:rPr>
              <w:t>Other operating and non-operating expense</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b w:val="1"/>
                <w:bCs w:val="1"/>
                <w:color w:val="00539B"/>
              </w:rPr>
              <w:t>10</w:t>
            </w: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291</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b w:val="1"/>
                <w:bCs w:val="1"/>
                <w:color w:val="00539B"/>
              </w:rPr>
              <w:t>318</w:t>
            </w: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590</w:t>
            </w:r>
          </w:p>
        </w:tc>
        <w:tc>
          <w:tcPr>
            <w:tcW w:w="0" w:type="dxa"/>
            <w:vAlign w:val="bottom"/>
          </w:tcPr>
          <w:p>
            <w:pPr>
              <w:spacing w:after="0"/>
              <w:rPr>
                <w:sz w:val="1"/>
                <w:szCs w:val="1"/>
                <w:color w:val="auto"/>
              </w:rPr>
            </w:pPr>
          </w:p>
        </w:tc>
      </w:tr>
      <w:tr>
        <w:trPr>
          <w:trHeight w:val="227"/>
        </w:trPr>
        <w:tc>
          <w:tcPr>
            <w:tcW w:w="6440" w:type="dxa"/>
            <w:vAlign w:val="bottom"/>
          </w:tcPr>
          <w:p>
            <w:pPr>
              <w:ind w:left="340"/>
              <w:spacing w:after="0"/>
              <w:rPr>
                <w:sz w:val="20"/>
                <w:szCs w:val="20"/>
                <w:color w:val="auto"/>
              </w:rPr>
            </w:pPr>
            <w:r>
              <w:rPr>
                <w:rFonts w:ascii="Arial" w:cs="Arial" w:eastAsia="Arial" w:hAnsi="Arial"/>
                <w:sz w:val="17"/>
                <w:szCs w:val="17"/>
                <w:color w:val="auto"/>
              </w:rPr>
              <w:t>Taxes other than on income</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b w:val="1"/>
                <w:bCs w:val="1"/>
                <w:color w:val="00539B"/>
              </w:rPr>
              <w:t>266</w:t>
            </w: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426</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b w:val="1"/>
                <w:bCs w:val="1"/>
                <w:color w:val="00539B"/>
              </w:rPr>
              <w:t>572</w:t>
            </w: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761</w:t>
            </w:r>
          </w:p>
        </w:tc>
        <w:tc>
          <w:tcPr>
            <w:tcW w:w="0" w:type="dxa"/>
            <w:vAlign w:val="bottom"/>
          </w:tcPr>
          <w:p>
            <w:pPr>
              <w:spacing w:after="0"/>
              <w:rPr>
                <w:sz w:val="1"/>
                <w:szCs w:val="1"/>
                <w:color w:val="auto"/>
              </w:rPr>
            </w:pPr>
          </w:p>
        </w:tc>
      </w:tr>
      <w:tr>
        <w:trPr>
          <w:trHeight w:val="213"/>
        </w:trPr>
        <w:tc>
          <w:tcPr>
            <w:tcW w:w="6440" w:type="dxa"/>
            <w:vAlign w:val="bottom"/>
          </w:tcPr>
          <w:p>
            <w:pPr>
              <w:ind w:left="340"/>
              <w:spacing w:after="0"/>
              <w:rPr>
                <w:sz w:val="20"/>
                <w:szCs w:val="20"/>
                <w:color w:val="auto"/>
              </w:rPr>
            </w:pPr>
            <w:r>
              <w:rPr>
                <w:rFonts w:ascii="Arial" w:cs="Arial" w:eastAsia="Arial" w:hAnsi="Arial"/>
                <w:sz w:val="17"/>
                <w:szCs w:val="17"/>
                <w:color w:val="auto"/>
              </w:rPr>
              <w:t>Depreciation, depletion and amortization</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b w:val="1"/>
                <w:bCs w:val="1"/>
                <w:color w:val="00539B"/>
              </w:rPr>
              <w:t>1,709</w:t>
            </w: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1,728</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b w:val="1"/>
                <w:bCs w:val="1"/>
                <w:color w:val="00539B"/>
              </w:rPr>
              <w:t>3,430</w:t>
            </w: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3,371</w:t>
            </w:r>
          </w:p>
        </w:tc>
        <w:tc>
          <w:tcPr>
            <w:tcW w:w="0" w:type="dxa"/>
            <w:vAlign w:val="bottom"/>
          </w:tcPr>
          <w:p>
            <w:pPr>
              <w:spacing w:after="0"/>
              <w:rPr>
                <w:sz w:val="1"/>
                <w:szCs w:val="1"/>
                <w:color w:val="auto"/>
              </w:rPr>
            </w:pPr>
          </w:p>
        </w:tc>
      </w:tr>
      <w:tr>
        <w:trPr>
          <w:trHeight w:val="227"/>
        </w:trPr>
        <w:tc>
          <w:tcPr>
            <w:tcW w:w="6440" w:type="dxa"/>
            <w:vAlign w:val="bottom"/>
          </w:tcPr>
          <w:p>
            <w:pPr>
              <w:ind w:left="340"/>
              <w:spacing w:after="0"/>
              <w:rPr>
                <w:sz w:val="20"/>
                <w:szCs w:val="20"/>
                <w:color w:val="auto"/>
              </w:rPr>
            </w:pPr>
            <w:r>
              <w:rPr>
                <w:rFonts w:ascii="Arial" w:cs="Arial" w:eastAsia="Arial" w:hAnsi="Arial"/>
                <w:sz w:val="17"/>
                <w:szCs w:val="17"/>
                <w:color w:val="auto"/>
              </w:rPr>
              <w:t>Asset impairments and other charges</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b w:val="1"/>
                <w:bCs w:val="1"/>
                <w:color w:val="00539B"/>
              </w:rPr>
              <w:t>209</w:t>
            </w: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b w:val="1"/>
                <w:bCs w:val="1"/>
                <w:color w:val="00539B"/>
              </w:rPr>
              <w:t>209</w:t>
            </w: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7"/>
        </w:trPr>
        <w:tc>
          <w:tcPr>
            <w:tcW w:w="6440" w:type="dxa"/>
            <w:vAlign w:val="bottom"/>
          </w:tcPr>
          <w:p>
            <w:pPr>
              <w:ind w:left="340"/>
              <w:spacing w:after="0"/>
              <w:rPr>
                <w:sz w:val="20"/>
                <w:szCs w:val="20"/>
                <w:color w:val="auto"/>
              </w:rPr>
            </w:pPr>
            <w:r>
              <w:rPr>
                <w:rFonts w:ascii="Arial" w:cs="Arial" w:eastAsia="Arial" w:hAnsi="Arial"/>
                <w:sz w:val="17"/>
                <w:szCs w:val="17"/>
                <w:color w:val="auto"/>
              </w:rPr>
              <w:t>Anadarko acquisition-related costs</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b w:val="1"/>
                <w:bCs w:val="1"/>
                <w:color w:val="00539B"/>
              </w:rPr>
              <w:t>—</w:t>
            </w: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13</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b w:val="1"/>
                <w:bCs w:val="1"/>
                <w:color w:val="00539B"/>
              </w:rPr>
              <w:t>—</w:t>
            </w: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78</w:t>
            </w:r>
          </w:p>
        </w:tc>
        <w:tc>
          <w:tcPr>
            <w:tcW w:w="0" w:type="dxa"/>
            <w:vAlign w:val="bottom"/>
          </w:tcPr>
          <w:p>
            <w:pPr>
              <w:spacing w:after="0"/>
              <w:rPr>
                <w:sz w:val="1"/>
                <w:szCs w:val="1"/>
                <w:color w:val="auto"/>
              </w:rPr>
            </w:pPr>
          </w:p>
        </w:tc>
      </w:tr>
      <w:tr>
        <w:trPr>
          <w:trHeight w:val="213"/>
        </w:trPr>
        <w:tc>
          <w:tcPr>
            <w:tcW w:w="6440" w:type="dxa"/>
            <w:vAlign w:val="bottom"/>
          </w:tcPr>
          <w:p>
            <w:pPr>
              <w:ind w:left="340"/>
              <w:spacing w:after="0"/>
              <w:rPr>
                <w:sz w:val="20"/>
                <w:szCs w:val="20"/>
                <w:color w:val="auto"/>
              </w:rPr>
            </w:pPr>
            <w:r>
              <w:rPr>
                <w:rFonts w:ascii="Arial" w:cs="Arial" w:eastAsia="Arial" w:hAnsi="Arial"/>
                <w:sz w:val="17"/>
                <w:szCs w:val="17"/>
                <w:color w:val="auto"/>
              </w:rPr>
              <w:t>Exploration expense</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b w:val="1"/>
                <w:bCs w:val="1"/>
                <w:color w:val="00539B"/>
              </w:rPr>
              <w:t>102</w:t>
            </w: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26</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b w:val="1"/>
                <w:bCs w:val="1"/>
                <w:color w:val="00539B"/>
              </w:rPr>
              <w:t>204</w:t>
            </w: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51</w:t>
            </w:r>
          </w:p>
        </w:tc>
        <w:tc>
          <w:tcPr>
            <w:tcW w:w="0" w:type="dxa"/>
            <w:vAlign w:val="bottom"/>
          </w:tcPr>
          <w:p>
            <w:pPr>
              <w:spacing w:after="0"/>
              <w:rPr>
                <w:sz w:val="1"/>
                <w:szCs w:val="1"/>
                <w:color w:val="auto"/>
              </w:rPr>
            </w:pPr>
          </w:p>
        </w:tc>
      </w:tr>
      <w:tr>
        <w:trPr>
          <w:trHeight w:val="237"/>
        </w:trPr>
        <w:tc>
          <w:tcPr>
            <w:tcW w:w="6440" w:type="dxa"/>
            <w:vAlign w:val="bottom"/>
            <w:tcBorders>
              <w:bottom w:val="single" w:sz="8" w:color="auto"/>
            </w:tcBorders>
          </w:tcPr>
          <w:p>
            <w:pPr>
              <w:ind w:left="340"/>
              <w:spacing w:after="0"/>
              <w:rPr>
                <w:sz w:val="20"/>
                <w:szCs w:val="20"/>
                <w:color w:val="auto"/>
              </w:rPr>
            </w:pPr>
            <w:r>
              <w:rPr>
                <w:rFonts w:ascii="Arial" w:cs="Arial" w:eastAsia="Arial" w:hAnsi="Arial"/>
                <w:sz w:val="17"/>
                <w:szCs w:val="17"/>
                <w:color w:val="auto"/>
              </w:rPr>
              <w:t>Interest and debt expense, net</w:t>
            </w: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230</w:t>
            </w:r>
          </w:p>
        </w:tc>
        <w:tc>
          <w:tcPr>
            <w:tcW w:w="3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114</w:t>
            </w: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468</w:t>
            </w:r>
          </w:p>
        </w:tc>
        <w:tc>
          <w:tcPr>
            <w:tcW w:w="3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485</w:t>
            </w:r>
          </w:p>
        </w:tc>
        <w:tc>
          <w:tcPr>
            <w:tcW w:w="0" w:type="dxa"/>
            <w:vAlign w:val="bottom"/>
          </w:tcPr>
          <w:p>
            <w:pPr>
              <w:spacing w:after="0"/>
              <w:rPr>
                <w:sz w:val="1"/>
                <w:szCs w:val="1"/>
                <w:color w:val="auto"/>
              </w:rPr>
            </w:pPr>
          </w:p>
        </w:tc>
      </w:tr>
      <w:tr>
        <w:trPr>
          <w:trHeight w:val="223"/>
        </w:trPr>
        <w:tc>
          <w:tcPr>
            <w:tcW w:w="6440" w:type="dxa"/>
            <w:vAlign w:val="bottom"/>
            <w:tcBorders>
              <w:bottom w:val="single" w:sz="8" w:color="auto"/>
            </w:tcBorders>
          </w:tcPr>
          <w:p>
            <w:pPr>
              <w:ind w:left="340"/>
              <w:spacing w:after="0"/>
              <w:rPr>
                <w:sz w:val="20"/>
                <w:szCs w:val="20"/>
                <w:color w:val="auto"/>
              </w:rPr>
            </w:pPr>
            <w:r>
              <w:rPr>
                <w:rFonts w:ascii="Arial" w:cs="Arial" w:eastAsia="Arial" w:hAnsi="Arial"/>
                <w:sz w:val="17"/>
                <w:szCs w:val="17"/>
                <w:color w:val="auto"/>
              </w:rPr>
              <w:t>Total</w:t>
            </w: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5,589</w:t>
            </w: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6,077</w:t>
            </w: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11,213</w:t>
            </w: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11,851</w:t>
            </w:r>
          </w:p>
        </w:tc>
        <w:tc>
          <w:tcPr>
            <w:tcW w:w="0" w:type="dxa"/>
            <w:vAlign w:val="bottom"/>
          </w:tcPr>
          <w:p>
            <w:pPr>
              <w:spacing w:after="0"/>
              <w:rPr>
                <w:sz w:val="1"/>
                <w:szCs w:val="1"/>
                <w:color w:val="auto"/>
              </w:rPr>
            </w:pPr>
          </w:p>
        </w:tc>
      </w:tr>
      <w:tr>
        <w:trPr>
          <w:trHeight w:val="469"/>
        </w:trPr>
        <w:tc>
          <w:tcPr>
            <w:tcW w:w="6440" w:type="dxa"/>
            <w:vAlign w:val="bottom"/>
          </w:tcPr>
          <w:p>
            <w:pPr>
              <w:ind w:left="20"/>
              <w:spacing w:after="0"/>
              <w:rPr>
                <w:sz w:val="20"/>
                <w:szCs w:val="20"/>
                <w:color w:val="auto"/>
              </w:rPr>
            </w:pPr>
            <w:r>
              <w:rPr>
                <w:rFonts w:ascii="Arial" w:cs="Arial" w:eastAsia="Arial" w:hAnsi="Arial"/>
                <w:sz w:val="17"/>
                <w:szCs w:val="17"/>
                <w:b w:val="1"/>
                <w:bCs w:val="1"/>
                <w:color w:val="auto"/>
              </w:rPr>
              <w:t>Income before income taxes and other items</w:t>
            </w:r>
          </w:p>
        </w:tc>
        <w:tc>
          <w:tcPr>
            <w:tcW w:w="1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7"/>
                <w:szCs w:val="17"/>
                <w:b w:val="1"/>
                <w:bCs w:val="1"/>
                <w:color w:val="00539B"/>
              </w:rPr>
              <w:t>1,142</w:t>
            </w:r>
          </w:p>
        </w:tc>
        <w:tc>
          <w:tcPr>
            <w:tcW w:w="3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4,658</w:t>
            </w:r>
          </w:p>
        </w:tc>
        <w:tc>
          <w:tcPr>
            <w:tcW w:w="1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7"/>
                <w:szCs w:val="17"/>
                <w:b w:val="1"/>
                <w:bCs w:val="1"/>
                <w:color w:val="00539B"/>
              </w:rPr>
              <w:t>2,776</w:t>
            </w:r>
          </w:p>
        </w:tc>
        <w:tc>
          <w:tcPr>
            <w:tcW w:w="3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7,417</w:t>
            </w:r>
          </w:p>
        </w:tc>
        <w:tc>
          <w:tcPr>
            <w:tcW w:w="0" w:type="dxa"/>
            <w:vAlign w:val="bottom"/>
          </w:tcPr>
          <w:p>
            <w:pPr>
              <w:spacing w:after="0"/>
              <w:rPr>
                <w:sz w:val="1"/>
                <w:szCs w:val="1"/>
                <w:color w:val="auto"/>
              </w:rPr>
            </w:pPr>
          </w:p>
        </w:tc>
      </w:tr>
      <w:tr>
        <w:trPr>
          <w:trHeight w:val="494"/>
        </w:trPr>
        <w:tc>
          <w:tcPr>
            <w:tcW w:w="6440" w:type="dxa"/>
            <w:vAlign w:val="bottom"/>
          </w:tcPr>
          <w:p>
            <w:pPr>
              <w:ind w:left="20"/>
              <w:spacing w:after="0"/>
              <w:rPr>
                <w:sz w:val="20"/>
                <w:szCs w:val="20"/>
                <w:color w:val="auto"/>
              </w:rPr>
            </w:pPr>
            <w:r>
              <w:rPr>
                <w:rFonts w:ascii="Arial" w:cs="Arial" w:eastAsia="Arial" w:hAnsi="Arial"/>
                <w:sz w:val="18"/>
                <w:szCs w:val="18"/>
                <w:b w:val="1"/>
                <w:bCs w:val="1"/>
                <w:color w:val="auto"/>
              </w:rPr>
              <w:t>OTHER ITEMS</w:t>
            </w:r>
          </w:p>
        </w:tc>
        <w:tc>
          <w:tcPr>
            <w:tcW w:w="180" w:type="dxa"/>
            <w:vAlign w:val="bottom"/>
          </w:tcPr>
          <w:p>
            <w:pPr>
              <w:spacing w:after="0"/>
              <w:rPr>
                <w:sz w:val="24"/>
                <w:szCs w:val="24"/>
                <w:color w:val="auto"/>
              </w:rPr>
            </w:pPr>
          </w:p>
        </w:tc>
        <w:tc>
          <w:tcPr>
            <w:tcW w:w="1000" w:type="dxa"/>
            <w:vAlign w:val="bottom"/>
            <w:vMerge w:val="restart"/>
          </w:tcPr>
          <w:p>
            <w:pPr>
              <w:jc w:val="right"/>
              <w:spacing w:after="0"/>
              <w:rPr>
                <w:sz w:val="20"/>
                <w:szCs w:val="20"/>
                <w:color w:val="auto"/>
              </w:rPr>
            </w:pPr>
            <w:r>
              <w:rPr>
                <w:rFonts w:ascii="Arial" w:cs="Arial" w:eastAsia="Arial" w:hAnsi="Arial"/>
                <w:sz w:val="17"/>
                <w:szCs w:val="17"/>
                <w:b w:val="1"/>
                <w:bCs w:val="1"/>
                <w:color w:val="00539B"/>
              </w:rPr>
              <w:t>—</w:t>
            </w: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vMerge w:val="restart"/>
          </w:tcPr>
          <w:p>
            <w:pPr>
              <w:jc w:val="right"/>
              <w:spacing w:after="0"/>
              <w:rPr>
                <w:sz w:val="20"/>
                <w:szCs w:val="20"/>
                <w:color w:val="auto"/>
              </w:rPr>
            </w:pPr>
            <w:r>
              <w:rPr>
                <w:rFonts w:ascii="Arial" w:cs="Arial" w:eastAsia="Arial" w:hAnsi="Arial"/>
                <w:sz w:val="17"/>
                <w:szCs w:val="17"/>
                <w:b w:val="1"/>
                <w:bCs w:val="1"/>
                <w:color w:val="00539B"/>
              </w:rPr>
              <w:t>—</w:t>
            </w: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6440" w:type="dxa"/>
            <w:vAlign w:val="bottom"/>
          </w:tcPr>
          <w:p>
            <w:pPr>
              <w:ind w:left="340"/>
              <w:spacing w:after="0"/>
              <w:rPr>
                <w:sz w:val="20"/>
                <w:szCs w:val="20"/>
                <w:color w:val="auto"/>
              </w:rPr>
            </w:pPr>
            <w:r>
              <w:rPr>
                <w:rFonts w:ascii="Arial" w:cs="Arial" w:eastAsia="Arial" w:hAnsi="Arial"/>
                <w:sz w:val="17"/>
                <w:szCs w:val="17"/>
                <w:color w:val="auto"/>
              </w:rPr>
              <w:t>Gains on interest rate swaps, net</w:t>
            </w:r>
          </w:p>
        </w:tc>
        <w:tc>
          <w:tcPr>
            <w:tcW w:w="18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127</w:t>
            </w:r>
          </w:p>
        </w:tc>
        <w:tc>
          <w:tcPr>
            <w:tcW w:w="14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262</w:t>
            </w:r>
          </w:p>
        </w:tc>
        <w:tc>
          <w:tcPr>
            <w:tcW w:w="0" w:type="dxa"/>
            <w:vAlign w:val="bottom"/>
          </w:tcPr>
          <w:p>
            <w:pPr>
              <w:spacing w:after="0"/>
              <w:rPr>
                <w:sz w:val="1"/>
                <w:szCs w:val="1"/>
                <w:color w:val="auto"/>
              </w:rPr>
            </w:pPr>
          </w:p>
        </w:tc>
      </w:tr>
      <w:tr>
        <w:trPr>
          <w:trHeight w:val="237"/>
        </w:trPr>
        <w:tc>
          <w:tcPr>
            <w:tcW w:w="6440" w:type="dxa"/>
            <w:vAlign w:val="bottom"/>
            <w:tcBorders>
              <w:bottom w:val="single" w:sz="8" w:color="auto"/>
            </w:tcBorders>
          </w:tcPr>
          <w:p>
            <w:pPr>
              <w:ind w:left="340"/>
              <w:spacing w:after="0"/>
              <w:rPr>
                <w:sz w:val="20"/>
                <w:szCs w:val="20"/>
                <w:color w:val="auto"/>
              </w:rPr>
            </w:pPr>
            <w:r>
              <w:rPr>
                <w:rFonts w:ascii="Arial" w:cs="Arial" w:eastAsia="Arial" w:hAnsi="Arial"/>
                <w:sz w:val="17"/>
                <w:szCs w:val="17"/>
                <w:color w:val="auto"/>
              </w:rPr>
              <w:t>Income from equity investments and other</w:t>
            </w: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185</w:t>
            </w:r>
          </w:p>
        </w:tc>
        <w:tc>
          <w:tcPr>
            <w:tcW w:w="3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201</w:t>
            </w: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285</w:t>
            </w:r>
          </w:p>
        </w:tc>
        <w:tc>
          <w:tcPr>
            <w:tcW w:w="3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390</w:t>
            </w:r>
          </w:p>
        </w:tc>
        <w:tc>
          <w:tcPr>
            <w:tcW w:w="0" w:type="dxa"/>
            <w:vAlign w:val="bottom"/>
          </w:tcPr>
          <w:p>
            <w:pPr>
              <w:spacing w:after="0"/>
              <w:rPr>
                <w:sz w:val="1"/>
                <w:szCs w:val="1"/>
                <w:color w:val="auto"/>
              </w:rPr>
            </w:pPr>
          </w:p>
        </w:tc>
      </w:tr>
      <w:tr>
        <w:trPr>
          <w:trHeight w:val="209"/>
        </w:trPr>
        <w:tc>
          <w:tcPr>
            <w:tcW w:w="6440" w:type="dxa"/>
            <w:vAlign w:val="bottom"/>
            <w:tcBorders>
              <w:bottom w:val="single" w:sz="8" w:color="auto"/>
            </w:tcBorders>
          </w:tcPr>
          <w:p>
            <w:pPr>
              <w:ind w:left="340"/>
              <w:spacing w:after="0"/>
              <w:rPr>
                <w:sz w:val="20"/>
                <w:szCs w:val="20"/>
                <w:color w:val="auto"/>
              </w:rPr>
            </w:pPr>
            <w:r>
              <w:rPr>
                <w:rFonts w:ascii="Arial" w:cs="Arial" w:eastAsia="Arial" w:hAnsi="Arial"/>
                <w:sz w:val="17"/>
                <w:szCs w:val="17"/>
                <w:color w:val="auto"/>
              </w:rPr>
              <w:t>Total</w:t>
            </w: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185</w:t>
            </w:r>
          </w:p>
        </w:tc>
        <w:tc>
          <w:tcPr>
            <w:tcW w:w="3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328</w:t>
            </w: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285</w:t>
            </w:r>
          </w:p>
        </w:tc>
        <w:tc>
          <w:tcPr>
            <w:tcW w:w="3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652</w:t>
            </w:r>
          </w:p>
        </w:tc>
        <w:tc>
          <w:tcPr>
            <w:tcW w:w="0" w:type="dxa"/>
            <w:vAlign w:val="bottom"/>
          </w:tcPr>
          <w:p>
            <w:pPr>
              <w:spacing w:after="0"/>
              <w:rPr>
                <w:sz w:val="1"/>
                <w:szCs w:val="1"/>
                <w:color w:val="auto"/>
              </w:rPr>
            </w:pPr>
          </w:p>
        </w:tc>
      </w:tr>
      <w:tr>
        <w:trPr>
          <w:trHeight w:val="461"/>
        </w:trPr>
        <w:tc>
          <w:tcPr>
            <w:tcW w:w="6440" w:type="dxa"/>
            <w:vAlign w:val="bottom"/>
          </w:tcPr>
          <w:p>
            <w:pPr>
              <w:ind w:left="20"/>
              <w:spacing w:after="0"/>
              <w:rPr>
                <w:sz w:val="20"/>
                <w:szCs w:val="20"/>
                <w:color w:val="auto"/>
              </w:rPr>
            </w:pPr>
            <w:r>
              <w:rPr>
                <w:rFonts w:ascii="Arial" w:cs="Arial" w:eastAsia="Arial" w:hAnsi="Arial"/>
                <w:sz w:val="17"/>
                <w:szCs w:val="17"/>
                <w:b w:val="1"/>
                <w:bCs w:val="1"/>
                <w:color w:val="auto"/>
              </w:rPr>
              <w:t>Income before income taxes</w:t>
            </w:r>
          </w:p>
        </w:tc>
        <w:tc>
          <w:tcPr>
            <w:tcW w:w="1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7"/>
                <w:szCs w:val="17"/>
                <w:b w:val="1"/>
                <w:bCs w:val="1"/>
                <w:color w:val="00539B"/>
              </w:rPr>
              <w:t>1,327</w:t>
            </w:r>
          </w:p>
        </w:tc>
        <w:tc>
          <w:tcPr>
            <w:tcW w:w="3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4,986</w:t>
            </w:r>
          </w:p>
        </w:tc>
        <w:tc>
          <w:tcPr>
            <w:tcW w:w="1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7"/>
                <w:szCs w:val="17"/>
                <w:b w:val="1"/>
                <w:bCs w:val="1"/>
                <w:color w:val="00539B"/>
              </w:rPr>
              <w:t>3,061</w:t>
            </w:r>
          </w:p>
        </w:tc>
        <w:tc>
          <w:tcPr>
            <w:tcW w:w="3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8,069</w:t>
            </w:r>
          </w:p>
        </w:tc>
        <w:tc>
          <w:tcPr>
            <w:tcW w:w="0" w:type="dxa"/>
            <w:vAlign w:val="bottom"/>
          </w:tcPr>
          <w:p>
            <w:pPr>
              <w:spacing w:after="0"/>
              <w:rPr>
                <w:sz w:val="1"/>
                <w:szCs w:val="1"/>
                <w:color w:val="auto"/>
              </w:rPr>
            </w:pPr>
          </w:p>
        </w:tc>
      </w:tr>
      <w:tr>
        <w:trPr>
          <w:trHeight w:val="237"/>
        </w:trPr>
        <w:tc>
          <w:tcPr>
            <w:tcW w:w="6440" w:type="dxa"/>
            <w:vAlign w:val="bottom"/>
            <w:tcBorders>
              <w:bottom w:val="single" w:sz="8" w:color="auto"/>
            </w:tcBorders>
          </w:tcPr>
          <w:p>
            <w:pPr>
              <w:ind w:left="340"/>
              <w:spacing w:after="0"/>
              <w:rPr>
                <w:sz w:val="20"/>
                <w:szCs w:val="20"/>
                <w:color w:val="auto"/>
              </w:rPr>
            </w:pPr>
            <w:r>
              <w:rPr>
                <w:rFonts w:ascii="Arial" w:cs="Arial" w:eastAsia="Arial" w:hAnsi="Arial"/>
                <w:sz w:val="17"/>
                <w:szCs w:val="17"/>
                <w:color w:val="auto"/>
              </w:rPr>
              <w:t>Income tax benefit (expense)</w:t>
            </w: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(467)</w:t>
            </w:r>
          </w:p>
        </w:tc>
        <w:tc>
          <w:tcPr>
            <w:tcW w:w="3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(1,231)</w:t>
            </w: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(938)</w:t>
            </w:r>
          </w:p>
        </w:tc>
        <w:tc>
          <w:tcPr>
            <w:tcW w:w="3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562</w:t>
            </w:r>
          </w:p>
        </w:tc>
        <w:tc>
          <w:tcPr>
            <w:tcW w:w="0" w:type="dxa"/>
            <w:vAlign w:val="bottom"/>
          </w:tcPr>
          <w:p>
            <w:pPr>
              <w:spacing w:after="0"/>
              <w:rPr>
                <w:sz w:val="1"/>
                <w:szCs w:val="1"/>
                <w:color w:val="auto"/>
              </w:rPr>
            </w:pPr>
          </w:p>
        </w:tc>
      </w:tr>
      <w:tr>
        <w:trPr>
          <w:trHeight w:val="210"/>
        </w:trPr>
        <w:tc>
          <w:tcPr>
            <w:tcW w:w="6440" w:type="dxa"/>
            <w:vAlign w:val="bottom"/>
          </w:tcPr>
          <w:p>
            <w:pPr>
              <w:ind w:left="20"/>
              <w:spacing w:after="0"/>
              <w:rPr>
                <w:sz w:val="20"/>
                <w:szCs w:val="20"/>
                <w:color w:val="auto"/>
              </w:rPr>
            </w:pPr>
            <w:r>
              <w:rPr>
                <w:rFonts w:ascii="Arial" w:cs="Arial" w:eastAsia="Arial" w:hAnsi="Arial"/>
                <w:sz w:val="18"/>
                <w:szCs w:val="18"/>
                <w:b w:val="1"/>
                <w:bCs w:val="1"/>
                <w:color w:val="auto"/>
              </w:rPr>
              <w:t>NET INCOME</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b w:val="1"/>
                <w:bCs w:val="1"/>
                <w:color w:val="00539B"/>
              </w:rPr>
              <w:t>860</w:t>
            </w: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3,755</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b w:val="1"/>
                <w:bCs w:val="1"/>
                <w:color w:val="00539B"/>
              </w:rPr>
              <w:t>2,123</w:t>
            </w: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8,631</w:t>
            </w:r>
          </w:p>
        </w:tc>
        <w:tc>
          <w:tcPr>
            <w:tcW w:w="0" w:type="dxa"/>
            <w:vAlign w:val="bottom"/>
          </w:tcPr>
          <w:p>
            <w:pPr>
              <w:spacing w:after="0"/>
              <w:rPr>
                <w:sz w:val="1"/>
                <w:szCs w:val="1"/>
                <w:color w:val="auto"/>
              </w:rPr>
            </w:pPr>
          </w:p>
        </w:tc>
      </w:tr>
      <w:tr>
        <w:trPr>
          <w:trHeight w:val="237"/>
        </w:trPr>
        <w:tc>
          <w:tcPr>
            <w:tcW w:w="6440" w:type="dxa"/>
            <w:vAlign w:val="bottom"/>
            <w:tcBorders>
              <w:bottom w:val="single" w:sz="8" w:color="auto"/>
            </w:tcBorders>
          </w:tcPr>
          <w:p>
            <w:pPr>
              <w:ind w:left="340"/>
              <w:spacing w:after="0"/>
              <w:rPr>
                <w:sz w:val="20"/>
                <w:szCs w:val="20"/>
                <w:color w:val="auto"/>
              </w:rPr>
            </w:pPr>
            <w:r>
              <w:rPr>
                <w:rFonts w:ascii="Arial" w:cs="Arial" w:eastAsia="Arial" w:hAnsi="Arial"/>
                <w:sz w:val="17"/>
                <w:szCs w:val="17"/>
                <w:color w:val="auto"/>
              </w:rPr>
              <w:t>Less: Preferred stock dividends and redemption premiums</w:t>
            </w: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(255)</w:t>
            </w:r>
          </w:p>
        </w:tc>
        <w:tc>
          <w:tcPr>
            <w:tcW w:w="3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(200)</w:t>
            </w: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(535)</w:t>
            </w:r>
          </w:p>
        </w:tc>
        <w:tc>
          <w:tcPr>
            <w:tcW w:w="3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(400)</w:t>
            </w:r>
          </w:p>
        </w:tc>
        <w:tc>
          <w:tcPr>
            <w:tcW w:w="0" w:type="dxa"/>
            <w:vAlign w:val="bottom"/>
          </w:tcPr>
          <w:p>
            <w:pPr>
              <w:spacing w:after="0"/>
              <w:rPr>
                <w:sz w:val="1"/>
                <w:szCs w:val="1"/>
                <w:color w:val="auto"/>
              </w:rPr>
            </w:pPr>
          </w:p>
        </w:tc>
      </w:tr>
      <w:tr>
        <w:trPr>
          <w:trHeight w:val="223"/>
        </w:trPr>
        <w:tc>
          <w:tcPr>
            <w:tcW w:w="64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NET INCOME ATTRIBUTABLE TO COMMON STOCKHOLDERS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605</w:t>
            </w:r>
          </w:p>
        </w:tc>
        <w:tc>
          <w:tcPr>
            <w:tcW w:w="360" w:type="dxa"/>
            <w:vAlign w:val="bottom"/>
            <w:tcBorders>
              <w:bottom w:val="single" w:sz="8" w:color="auto"/>
            </w:tcBorders>
          </w:tcPr>
          <w:p>
            <w:pPr>
              <w:jc w:val="right"/>
              <w:ind w:right="156"/>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3,555</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w w:val="84"/>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1,588</w:t>
            </w:r>
          </w:p>
        </w:tc>
        <w:tc>
          <w:tcPr>
            <w:tcW w:w="360" w:type="dxa"/>
            <w:vAlign w:val="bottom"/>
            <w:tcBorders>
              <w:bottom w:val="single" w:sz="8" w:color="auto"/>
            </w:tcBorders>
          </w:tcPr>
          <w:p>
            <w:pPr>
              <w:jc w:val="center"/>
              <w:ind w:right="136"/>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8,231</w:t>
            </w:r>
          </w:p>
        </w:tc>
        <w:tc>
          <w:tcPr>
            <w:tcW w:w="0" w:type="dxa"/>
            <w:vAlign w:val="bottom"/>
          </w:tcPr>
          <w:p>
            <w:pPr>
              <w:spacing w:after="0"/>
              <w:rPr>
                <w:sz w:val="1"/>
                <w:szCs w:val="1"/>
                <w:color w:val="auto"/>
              </w:rPr>
            </w:pPr>
          </w:p>
        </w:tc>
      </w:tr>
      <w:tr>
        <w:trPr>
          <w:trHeight w:val="474"/>
        </w:trPr>
        <w:tc>
          <w:tcPr>
            <w:tcW w:w="64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PER COMMON SHARE</w:t>
            </w:r>
          </w:p>
        </w:tc>
        <w:tc>
          <w:tcPr>
            <w:tcW w:w="1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64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Net income attributable to common stockholders—basic</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0.68</w:t>
            </w:r>
          </w:p>
        </w:tc>
        <w:tc>
          <w:tcPr>
            <w:tcW w:w="360" w:type="dxa"/>
            <w:vAlign w:val="bottom"/>
            <w:tcBorders>
              <w:bottom w:val="single" w:sz="8" w:color="auto"/>
            </w:tcBorders>
          </w:tcPr>
          <w:p>
            <w:pPr>
              <w:jc w:val="right"/>
              <w:ind w:right="156"/>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3.76</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w w:val="84"/>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1.76</w:t>
            </w:r>
          </w:p>
        </w:tc>
        <w:tc>
          <w:tcPr>
            <w:tcW w:w="360" w:type="dxa"/>
            <w:vAlign w:val="bottom"/>
            <w:tcBorders>
              <w:bottom w:val="single" w:sz="8" w:color="auto"/>
            </w:tcBorders>
          </w:tcPr>
          <w:p>
            <w:pPr>
              <w:jc w:val="center"/>
              <w:ind w:right="136"/>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8.71</w:t>
            </w:r>
          </w:p>
        </w:tc>
        <w:tc>
          <w:tcPr>
            <w:tcW w:w="0" w:type="dxa"/>
            <w:vAlign w:val="bottom"/>
          </w:tcPr>
          <w:p>
            <w:pPr>
              <w:spacing w:after="0"/>
              <w:rPr>
                <w:sz w:val="1"/>
                <w:szCs w:val="1"/>
                <w:color w:val="auto"/>
              </w:rPr>
            </w:pPr>
          </w:p>
        </w:tc>
      </w:tr>
      <w:tr>
        <w:trPr>
          <w:trHeight w:val="220"/>
        </w:trPr>
        <w:tc>
          <w:tcPr>
            <w:tcW w:w="64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Net income attributable to common stockholders—diluted</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0.63</w:t>
            </w:r>
          </w:p>
        </w:tc>
        <w:tc>
          <w:tcPr>
            <w:tcW w:w="360" w:type="dxa"/>
            <w:vAlign w:val="bottom"/>
            <w:tcBorders>
              <w:bottom w:val="single" w:sz="8" w:color="auto"/>
            </w:tcBorders>
          </w:tcPr>
          <w:p>
            <w:pPr>
              <w:jc w:val="right"/>
              <w:ind w:right="156"/>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3.47</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w w:val="84"/>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1.63</w:t>
            </w:r>
          </w:p>
        </w:tc>
        <w:tc>
          <w:tcPr>
            <w:tcW w:w="360" w:type="dxa"/>
            <w:vAlign w:val="bottom"/>
            <w:tcBorders>
              <w:bottom w:val="single" w:sz="8" w:color="auto"/>
            </w:tcBorders>
          </w:tcPr>
          <w:p>
            <w:pPr>
              <w:jc w:val="center"/>
              <w:ind w:right="136"/>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8.11</w:t>
            </w:r>
          </w:p>
        </w:tc>
        <w:tc>
          <w:tcPr>
            <w:tcW w:w="0" w:type="dxa"/>
            <w:vAlign w:val="bottom"/>
          </w:tcPr>
          <w:p>
            <w:pPr>
              <w:spacing w:after="0"/>
              <w:rPr>
                <w:sz w:val="1"/>
                <w:szCs w:val="1"/>
                <w:color w:val="auto"/>
              </w:rPr>
            </w:pPr>
          </w:p>
        </w:tc>
      </w:tr>
    </w:tbl>
    <w:p>
      <w:pPr>
        <w:spacing w:after="0" w:line="129" w:lineRule="exact"/>
        <w:rPr>
          <w:sz w:val="20"/>
          <w:szCs w:val="20"/>
          <w:color w:val="auto"/>
        </w:rPr>
      </w:pPr>
    </w:p>
    <w:p>
      <w:pPr>
        <w:ind w:left="20"/>
        <w:spacing w:after="0"/>
        <w:rPr>
          <w:sz w:val="20"/>
          <w:szCs w:val="20"/>
          <w:color w:val="auto"/>
        </w:rPr>
      </w:pPr>
      <w:r>
        <w:rPr>
          <w:rFonts w:ascii="Arial" w:cs="Arial" w:eastAsia="Arial" w:hAnsi="Arial"/>
          <w:sz w:val="17"/>
          <w:szCs w:val="17"/>
          <w:color w:val="auto"/>
        </w:rPr>
        <w:t>The accompanying notes are an integral part of these Consolidated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715962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938" w:right="359" w:bottom="1440" w:gutter="0" w:footer="0" w:header="0"/>
          <w:type w:val="continuous"/>
        </w:sectPr>
      </w:pPr>
    </w:p>
    <w:bookmarkStart w:id="6" w:name="page7"/>
    <w:bookmarkEnd w:id="6"/>
    <w:p>
      <w:pPr>
        <w:ind w:left="20" w:right="20"/>
        <w:spacing w:after="0" w:line="261" w:lineRule="auto"/>
        <w:rPr>
          <w:sz w:val="20"/>
          <w:szCs w:val="20"/>
          <w:color w:val="auto"/>
        </w:rPr>
      </w:pPr>
      <w:r>
        <w:rPr>
          <w:rFonts w:ascii="Arial" w:cs="Arial" w:eastAsia="Arial" w:hAnsi="Arial"/>
          <w:sz w:val="25"/>
          <w:szCs w:val="25"/>
          <w:b w:val="1"/>
          <w:bCs w:val="1"/>
          <w:color w:val="00539B"/>
        </w:rPr>
        <w:t>Consolidated Condensed Statements of Comprehensive Income (Loss)</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jc w:val="right"/>
        <w:ind w:right="20"/>
        <w:spacing w:after="0" w:line="238" w:lineRule="auto"/>
        <w:rPr>
          <w:sz w:val="20"/>
          <w:szCs w:val="20"/>
          <w:color w:val="auto"/>
        </w:rPr>
      </w:pPr>
      <w:r>
        <w:rPr>
          <w:rFonts w:ascii="Arial" w:cs="Arial" w:eastAsia="Arial" w:hAnsi="Arial"/>
          <w:sz w:val="17"/>
          <w:szCs w:val="17"/>
          <w:color w:val="auto"/>
        </w:rPr>
        <w:t>Occidental Petroleum Corporation and Subsidiaries</w:t>
      </w:r>
    </w:p>
    <w:p>
      <w:pPr>
        <w:spacing w:after="0" w:line="263" w:lineRule="exact"/>
        <w:rPr>
          <w:sz w:val="20"/>
          <w:szCs w:val="20"/>
          <w:color w:val="auto"/>
        </w:rPr>
      </w:pPr>
    </w:p>
    <w:p>
      <w:pPr>
        <w:sectPr>
          <w:pgSz w:w="11900" w:h="16838" w:orient="portrait"/>
          <w:cols w:equalWidth="0" w:num="2">
            <w:col w:w="7640" w:space="720"/>
            <w:col w:w="2880"/>
          </w:cols>
          <w:pgMar w:left="320" w:top="938" w:right="339" w:bottom="1440" w:gutter="0" w:footer="0" w:header="0"/>
        </w:sectPr>
      </w:pPr>
    </w:p>
    <w:tbl>
      <w:tblPr>
        <w:tblLayout w:type="fixed"/>
        <w:tblInd w:w="0" w:type="dxa"/>
        <w:tblCellMar>
          <w:top w:w="0" w:type="dxa"/>
          <w:left w:w="0" w:type="dxa"/>
          <w:bottom w:w="0" w:type="dxa"/>
          <w:right w:w="0" w:type="dxa"/>
        </w:tblCellMar>
      </w:tblPr>
      <w:tr>
        <w:trPr>
          <w:trHeight w:val="174"/>
        </w:trPr>
        <w:tc>
          <w:tcPr>
            <w:tcW w:w="650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2180" w:type="dxa"/>
            <w:vAlign w:val="bottom"/>
            <w:tcBorders>
              <w:top w:val="single" w:sz="8" w:color="auto"/>
            </w:tcBorders>
            <w:gridSpan w:val="3"/>
          </w:tcPr>
          <w:p>
            <w:pPr>
              <w:jc w:val="right"/>
              <w:spacing w:after="0" w:line="174" w:lineRule="exact"/>
              <w:rPr>
                <w:sz w:val="20"/>
                <w:szCs w:val="20"/>
                <w:color w:val="auto"/>
              </w:rPr>
            </w:pPr>
            <w:r>
              <w:rPr>
                <w:rFonts w:ascii="Arial" w:cs="Arial" w:eastAsia="Arial" w:hAnsi="Arial"/>
                <w:sz w:val="17"/>
                <w:szCs w:val="17"/>
                <w:b w:val="1"/>
                <w:bCs w:val="1"/>
                <w:color w:val="auto"/>
              </w:rPr>
              <w:t>Three months ended June</w:t>
            </w:r>
          </w:p>
        </w:tc>
        <w:tc>
          <w:tcPr>
            <w:tcW w:w="160" w:type="dxa"/>
            <w:vAlign w:val="bottom"/>
            <w:tcBorders>
              <w:top w:val="single" w:sz="8" w:color="auto"/>
            </w:tcBorders>
          </w:tcPr>
          <w:p>
            <w:pPr>
              <w:spacing w:after="0"/>
              <w:rPr>
                <w:sz w:val="15"/>
                <w:szCs w:val="15"/>
                <w:color w:val="auto"/>
              </w:rPr>
            </w:pPr>
          </w:p>
        </w:tc>
        <w:tc>
          <w:tcPr>
            <w:tcW w:w="2220" w:type="dxa"/>
            <w:vAlign w:val="bottom"/>
            <w:tcBorders>
              <w:top w:val="single" w:sz="8" w:color="auto"/>
            </w:tcBorders>
            <w:gridSpan w:val="3"/>
            <w:vMerge w:val="restart"/>
          </w:tcPr>
          <w:p>
            <w:pPr>
              <w:jc w:val="center"/>
              <w:spacing w:after="0"/>
              <w:rPr>
                <w:sz w:val="20"/>
                <w:szCs w:val="20"/>
                <w:color w:val="auto"/>
              </w:rPr>
            </w:pPr>
            <w:r>
              <w:rPr>
                <w:rFonts w:ascii="Arial" w:cs="Arial" w:eastAsia="Arial" w:hAnsi="Arial"/>
                <w:sz w:val="17"/>
                <w:szCs w:val="17"/>
                <w:b w:val="1"/>
                <w:bCs w:val="1"/>
                <w:color w:val="auto"/>
                <w:w w:val="99"/>
              </w:rPr>
              <w:t>Six months ended June 30,</w:t>
            </w:r>
          </w:p>
        </w:tc>
        <w:tc>
          <w:tcPr>
            <w:tcW w:w="0" w:type="dxa"/>
            <w:vAlign w:val="bottom"/>
          </w:tcPr>
          <w:p>
            <w:pPr>
              <w:spacing w:after="0"/>
              <w:rPr>
                <w:sz w:val="1"/>
                <w:szCs w:val="1"/>
                <w:color w:val="auto"/>
              </w:rPr>
            </w:pPr>
          </w:p>
        </w:tc>
      </w:tr>
      <w:tr>
        <w:trPr>
          <w:trHeight w:val="141"/>
        </w:trPr>
        <w:tc>
          <w:tcPr>
            <w:tcW w:w="6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30,</w:t>
            </w:r>
          </w:p>
        </w:tc>
        <w:tc>
          <w:tcPr>
            <w:tcW w:w="160" w:type="dxa"/>
            <w:vAlign w:val="bottom"/>
          </w:tcPr>
          <w:p>
            <w:pPr>
              <w:spacing w:after="0"/>
              <w:rPr>
                <w:sz w:val="12"/>
                <w:szCs w:val="12"/>
                <w:color w:val="auto"/>
              </w:rPr>
            </w:pPr>
          </w:p>
        </w:tc>
        <w:tc>
          <w:tcPr>
            <w:tcW w:w="22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5"/>
        </w:trPr>
        <w:tc>
          <w:tcPr>
            <w:tcW w:w="6500" w:type="dxa"/>
            <w:vAlign w:val="bottom"/>
            <w:vMerge w:val="restart"/>
          </w:tcPr>
          <w:p>
            <w:pPr>
              <w:ind w:left="20"/>
              <w:spacing w:after="0"/>
              <w:rPr>
                <w:sz w:val="20"/>
                <w:szCs w:val="20"/>
                <w:color w:val="auto"/>
              </w:rPr>
            </w:pPr>
            <w:r>
              <w:rPr>
                <w:rFonts w:ascii="Arial" w:cs="Arial" w:eastAsia="Arial" w:hAnsi="Arial"/>
                <w:sz w:val="17"/>
                <w:szCs w:val="17"/>
                <w:i w:val="1"/>
                <w:iCs w:val="1"/>
                <w:color w:val="auto"/>
              </w:rPr>
              <w:t>millions</w:t>
            </w:r>
          </w:p>
        </w:tc>
        <w:tc>
          <w:tcPr>
            <w:tcW w:w="18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04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0"/>
        </w:trPr>
        <w:tc>
          <w:tcPr>
            <w:tcW w:w="6500" w:type="dxa"/>
            <w:vAlign w:val="bottom"/>
            <w:tcBorders>
              <w:bottom w:val="single" w:sz="8" w:color="auto"/>
            </w:tcBorders>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2023</w:t>
            </w:r>
          </w:p>
        </w:tc>
        <w:tc>
          <w:tcPr>
            <w:tcW w:w="4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2022</w:t>
            </w: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2023</w:t>
            </w:r>
          </w:p>
        </w:tc>
        <w:tc>
          <w:tcPr>
            <w:tcW w:w="4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2022</w:t>
            </w:r>
          </w:p>
        </w:tc>
        <w:tc>
          <w:tcPr>
            <w:tcW w:w="0" w:type="dxa"/>
            <w:vAlign w:val="bottom"/>
          </w:tcPr>
          <w:p>
            <w:pPr>
              <w:spacing w:after="0"/>
              <w:rPr>
                <w:sz w:val="1"/>
                <w:szCs w:val="1"/>
                <w:color w:val="auto"/>
              </w:rPr>
            </w:pPr>
          </w:p>
        </w:tc>
      </w:tr>
      <w:tr>
        <w:trPr>
          <w:trHeight w:val="461"/>
        </w:trPr>
        <w:tc>
          <w:tcPr>
            <w:tcW w:w="6500" w:type="dxa"/>
            <w:vAlign w:val="bottom"/>
          </w:tcPr>
          <w:p>
            <w:pPr>
              <w:ind w:left="20"/>
              <w:spacing w:after="0"/>
              <w:rPr>
                <w:sz w:val="20"/>
                <w:szCs w:val="20"/>
                <w:color w:val="auto"/>
              </w:rPr>
            </w:pPr>
            <w:r>
              <w:rPr>
                <w:rFonts w:ascii="Arial" w:cs="Arial" w:eastAsia="Arial" w:hAnsi="Arial"/>
                <w:sz w:val="17"/>
                <w:szCs w:val="17"/>
                <w:b w:val="1"/>
                <w:bCs w:val="1"/>
                <w:color w:val="auto"/>
              </w:rPr>
              <w:t>Net income</w:t>
            </w:r>
          </w:p>
        </w:tc>
        <w:tc>
          <w:tcPr>
            <w:tcW w:w="180" w:type="dxa"/>
            <w:vAlign w:val="bottom"/>
          </w:tcPr>
          <w:p>
            <w:pPr>
              <w:jc w:val="right"/>
              <w:spacing w:after="0"/>
              <w:rPr>
                <w:sz w:val="20"/>
                <w:szCs w:val="20"/>
                <w:color w:val="auto"/>
              </w:rPr>
            </w:pPr>
            <w:r>
              <w:rPr>
                <w:rFonts w:ascii="Arial" w:cs="Arial" w:eastAsia="Arial" w:hAnsi="Arial"/>
                <w:sz w:val="17"/>
                <w:szCs w:val="17"/>
                <w:b w:val="1"/>
                <w:bCs w:val="1"/>
                <w:color w:val="00539B"/>
                <w:w w:val="84"/>
              </w:rPr>
              <w:t>$</w:t>
            </w:r>
          </w:p>
        </w:tc>
        <w:tc>
          <w:tcPr>
            <w:tcW w:w="1000" w:type="dxa"/>
            <w:vAlign w:val="bottom"/>
          </w:tcPr>
          <w:p>
            <w:pPr>
              <w:jc w:val="right"/>
              <w:spacing w:after="0"/>
              <w:rPr>
                <w:sz w:val="20"/>
                <w:szCs w:val="20"/>
                <w:color w:val="auto"/>
              </w:rPr>
            </w:pPr>
            <w:r>
              <w:rPr>
                <w:rFonts w:ascii="Arial" w:cs="Arial" w:eastAsia="Arial" w:hAnsi="Arial"/>
                <w:sz w:val="17"/>
                <w:szCs w:val="17"/>
                <w:b w:val="1"/>
                <w:bCs w:val="1"/>
                <w:color w:val="00539B"/>
              </w:rPr>
              <w:t>860</w:t>
            </w:r>
          </w:p>
        </w:tc>
        <w:tc>
          <w:tcPr>
            <w:tcW w:w="400" w:type="dxa"/>
            <w:vAlign w:val="bottom"/>
          </w:tcPr>
          <w:p>
            <w:pPr>
              <w:jc w:val="right"/>
              <w:ind w:right="216"/>
              <w:spacing w:after="0"/>
              <w:rPr>
                <w:sz w:val="20"/>
                <w:szCs w:val="20"/>
                <w:color w:val="auto"/>
              </w:rPr>
            </w:pPr>
            <w:r>
              <w:rPr>
                <w:rFonts w:ascii="Arial" w:cs="Arial" w:eastAsia="Arial" w:hAnsi="Arial"/>
                <w:sz w:val="17"/>
                <w:szCs w:val="17"/>
                <w:color w:val="auto"/>
                <w:w w:val="84"/>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3,755</w:t>
            </w:r>
          </w:p>
        </w:tc>
        <w:tc>
          <w:tcPr>
            <w:tcW w:w="160" w:type="dxa"/>
            <w:vAlign w:val="bottom"/>
          </w:tcPr>
          <w:p>
            <w:pPr>
              <w:jc w:val="right"/>
              <w:spacing w:after="0"/>
              <w:rPr>
                <w:sz w:val="20"/>
                <w:szCs w:val="20"/>
                <w:color w:val="auto"/>
              </w:rPr>
            </w:pPr>
            <w:r>
              <w:rPr>
                <w:rFonts w:ascii="Arial" w:cs="Arial" w:eastAsia="Arial" w:hAnsi="Arial"/>
                <w:sz w:val="17"/>
                <w:szCs w:val="17"/>
                <w:b w:val="1"/>
                <w:bCs w:val="1"/>
                <w:color w:val="00539B"/>
              </w:rPr>
              <w:t>$</w:t>
            </w:r>
          </w:p>
        </w:tc>
        <w:tc>
          <w:tcPr>
            <w:tcW w:w="1040" w:type="dxa"/>
            <w:vAlign w:val="bottom"/>
          </w:tcPr>
          <w:p>
            <w:pPr>
              <w:jc w:val="right"/>
              <w:spacing w:after="0"/>
              <w:rPr>
                <w:sz w:val="20"/>
                <w:szCs w:val="20"/>
                <w:color w:val="auto"/>
              </w:rPr>
            </w:pPr>
            <w:r>
              <w:rPr>
                <w:rFonts w:ascii="Arial" w:cs="Arial" w:eastAsia="Arial" w:hAnsi="Arial"/>
                <w:sz w:val="17"/>
                <w:szCs w:val="17"/>
                <w:b w:val="1"/>
                <w:bCs w:val="1"/>
                <w:color w:val="00539B"/>
              </w:rPr>
              <w:t>2,123</w:t>
            </w:r>
          </w:p>
        </w:tc>
        <w:tc>
          <w:tcPr>
            <w:tcW w:w="400" w:type="dxa"/>
            <w:vAlign w:val="bottom"/>
          </w:tcPr>
          <w:p>
            <w:pPr>
              <w:jc w:val="center"/>
              <w:ind w:right="196"/>
              <w:spacing w:after="0"/>
              <w:rPr>
                <w:sz w:val="20"/>
                <w:szCs w:val="20"/>
                <w:color w:val="auto"/>
              </w:rPr>
            </w:pPr>
            <w:r>
              <w:rPr>
                <w:rFonts w:ascii="Arial" w:cs="Arial" w:eastAsia="Arial" w:hAnsi="Arial"/>
                <w:sz w:val="17"/>
                <w:szCs w:val="17"/>
                <w:color w:val="auto"/>
                <w:w w:val="84"/>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8,631</w:t>
            </w:r>
          </w:p>
        </w:tc>
        <w:tc>
          <w:tcPr>
            <w:tcW w:w="0" w:type="dxa"/>
            <w:vAlign w:val="bottom"/>
          </w:tcPr>
          <w:p>
            <w:pPr>
              <w:spacing w:after="0"/>
              <w:rPr>
                <w:sz w:val="1"/>
                <w:szCs w:val="1"/>
                <w:color w:val="auto"/>
              </w:rPr>
            </w:pPr>
          </w:p>
        </w:tc>
      </w:tr>
      <w:tr>
        <w:trPr>
          <w:trHeight w:val="226"/>
        </w:trPr>
        <w:tc>
          <w:tcPr>
            <w:tcW w:w="6500" w:type="dxa"/>
            <w:vAlign w:val="bottom"/>
          </w:tcPr>
          <w:p>
            <w:pPr>
              <w:ind w:left="20"/>
              <w:spacing w:after="0"/>
              <w:rPr>
                <w:sz w:val="20"/>
                <w:szCs w:val="20"/>
                <w:color w:val="auto"/>
              </w:rPr>
            </w:pPr>
            <w:r>
              <w:rPr>
                <w:rFonts w:ascii="Arial" w:cs="Arial" w:eastAsia="Arial" w:hAnsi="Arial"/>
                <w:sz w:val="17"/>
                <w:szCs w:val="17"/>
                <w:b w:val="1"/>
                <w:bCs w:val="1"/>
                <w:color w:val="auto"/>
              </w:rPr>
              <w:t>Other comprehensive income (loss) items:</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500" w:type="dxa"/>
            <w:vAlign w:val="bottom"/>
          </w:tcPr>
          <w:p>
            <w:pPr>
              <w:ind w:left="340"/>
              <w:spacing w:after="0" w:line="215" w:lineRule="exact"/>
              <w:rPr>
                <w:sz w:val="20"/>
                <w:szCs w:val="20"/>
                <w:color w:val="auto"/>
              </w:rPr>
            </w:pPr>
            <w:r>
              <w:rPr>
                <w:rFonts w:ascii="Arial" w:cs="Arial" w:eastAsia="Arial" w:hAnsi="Arial"/>
                <w:sz w:val="17"/>
                <w:szCs w:val="17"/>
                <w:color w:val="auto"/>
              </w:rPr>
              <w:t xml:space="preserve">Gains (losses) on derivatives </w:t>
            </w:r>
            <w:r>
              <w:rPr>
                <w:rFonts w:ascii="Arial" w:cs="Arial" w:eastAsia="Arial" w:hAnsi="Arial"/>
                <w:sz w:val="21"/>
                <w:szCs w:val="21"/>
                <w:color w:val="auto"/>
                <w:vertAlign w:val="superscript"/>
              </w:rPr>
              <w:t>(a)</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b w:val="1"/>
                <w:bCs w:val="1"/>
                <w:color w:val="00539B"/>
              </w:rPr>
              <w:t>(5)</w:t>
            </w:r>
          </w:p>
        </w:tc>
        <w:tc>
          <w:tcPr>
            <w:tcW w:w="4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37</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b w:val="1"/>
                <w:bCs w:val="1"/>
                <w:color w:val="00539B"/>
              </w:rPr>
              <w:t>58</w:t>
            </w:r>
          </w:p>
        </w:tc>
        <w:tc>
          <w:tcPr>
            <w:tcW w:w="4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64</w:t>
            </w:r>
          </w:p>
        </w:tc>
        <w:tc>
          <w:tcPr>
            <w:tcW w:w="0" w:type="dxa"/>
            <w:vAlign w:val="bottom"/>
          </w:tcPr>
          <w:p>
            <w:pPr>
              <w:spacing w:after="0"/>
              <w:rPr>
                <w:sz w:val="1"/>
                <w:szCs w:val="1"/>
                <w:color w:val="auto"/>
              </w:rPr>
            </w:pPr>
          </w:p>
        </w:tc>
      </w:tr>
      <w:tr>
        <w:trPr>
          <w:trHeight w:val="227"/>
        </w:trPr>
        <w:tc>
          <w:tcPr>
            <w:tcW w:w="6500" w:type="dxa"/>
            <w:vAlign w:val="bottom"/>
          </w:tcPr>
          <w:p>
            <w:pPr>
              <w:ind w:left="360"/>
              <w:spacing w:after="0" w:line="227" w:lineRule="exact"/>
              <w:rPr>
                <w:sz w:val="20"/>
                <w:szCs w:val="20"/>
                <w:color w:val="auto"/>
              </w:rPr>
            </w:pPr>
            <w:r>
              <w:rPr>
                <w:rFonts w:ascii="Arial" w:cs="Arial" w:eastAsia="Arial" w:hAnsi="Arial"/>
                <w:sz w:val="17"/>
                <w:szCs w:val="17"/>
                <w:color w:val="auto"/>
              </w:rPr>
              <w:t xml:space="preserve">Pension and postretirement gains (losses) </w:t>
            </w:r>
            <w:r>
              <w:rPr>
                <w:rFonts w:ascii="Arial" w:cs="Arial" w:eastAsia="Arial" w:hAnsi="Arial"/>
                <w:sz w:val="21"/>
                <w:szCs w:val="21"/>
                <w:color w:val="auto"/>
                <w:vertAlign w:val="superscript"/>
              </w:rPr>
              <w:t>(b)</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b w:val="1"/>
                <w:bCs w:val="1"/>
                <w:color w:val="00539B"/>
              </w:rPr>
              <w:t>(2)</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8</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b w:val="1"/>
                <w:bCs w:val="1"/>
                <w:color w:val="00539B"/>
              </w:rPr>
              <w:t>(7)</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237"/>
        </w:trPr>
        <w:tc>
          <w:tcPr>
            <w:tcW w:w="6500" w:type="dxa"/>
            <w:vAlign w:val="bottom"/>
            <w:tcBorders>
              <w:bottom w:val="single" w:sz="8" w:color="auto"/>
            </w:tcBorders>
          </w:tcPr>
          <w:p>
            <w:pPr>
              <w:ind w:left="340"/>
              <w:spacing w:after="0"/>
              <w:rPr>
                <w:sz w:val="20"/>
                <w:szCs w:val="20"/>
                <w:color w:val="auto"/>
              </w:rPr>
            </w:pPr>
            <w:r>
              <w:rPr>
                <w:rFonts w:ascii="Arial" w:cs="Arial" w:eastAsia="Arial" w:hAnsi="Arial"/>
                <w:sz w:val="17"/>
                <w:szCs w:val="17"/>
                <w:color w:val="auto"/>
              </w:rPr>
              <w:t>Other</w:t>
            </w: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(1)</w:t>
            </w:r>
          </w:p>
        </w:tc>
        <w:tc>
          <w:tcPr>
            <w:tcW w:w="4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1</w:t>
            </w:r>
          </w:p>
        </w:tc>
        <w:tc>
          <w:tcPr>
            <w:tcW w:w="4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6500" w:type="dxa"/>
            <w:vAlign w:val="bottom"/>
            <w:tcBorders>
              <w:bottom w:val="single" w:sz="8" w:color="auto"/>
            </w:tcBorders>
          </w:tcPr>
          <w:p>
            <w:pPr>
              <w:ind w:left="340"/>
              <w:spacing w:after="0"/>
              <w:rPr>
                <w:sz w:val="20"/>
                <w:szCs w:val="20"/>
                <w:color w:val="auto"/>
              </w:rPr>
            </w:pPr>
            <w:r>
              <w:rPr>
                <w:rFonts w:ascii="Arial" w:cs="Arial" w:eastAsia="Arial" w:hAnsi="Arial"/>
                <w:sz w:val="17"/>
                <w:szCs w:val="17"/>
                <w:color w:val="auto"/>
              </w:rPr>
              <w:t>Other comprehensive income (losses), net of tax</w:t>
            </w: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(8)</w:t>
            </w:r>
          </w:p>
        </w:tc>
        <w:tc>
          <w:tcPr>
            <w:tcW w:w="4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w:t>
            </w: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52</w:t>
            </w:r>
          </w:p>
        </w:tc>
        <w:tc>
          <w:tcPr>
            <w:tcW w:w="4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73</w:t>
            </w:r>
          </w:p>
        </w:tc>
        <w:tc>
          <w:tcPr>
            <w:tcW w:w="0" w:type="dxa"/>
            <w:vAlign w:val="bottom"/>
          </w:tcPr>
          <w:p>
            <w:pPr>
              <w:spacing w:after="0"/>
              <w:rPr>
                <w:sz w:val="1"/>
                <w:szCs w:val="1"/>
                <w:color w:val="auto"/>
              </w:rPr>
            </w:pPr>
          </w:p>
        </w:tc>
      </w:tr>
      <w:tr>
        <w:trPr>
          <w:trHeight w:val="220"/>
        </w:trPr>
        <w:tc>
          <w:tcPr>
            <w:tcW w:w="650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Comprehensive income attributable to preferred and common stockholders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w w:val="84"/>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852</w:t>
            </w:r>
          </w:p>
        </w:tc>
        <w:tc>
          <w:tcPr>
            <w:tcW w:w="400" w:type="dxa"/>
            <w:vAlign w:val="bottom"/>
            <w:tcBorders>
              <w:bottom w:val="single" w:sz="8" w:color="auto"/>
            </w:tcBorders>
          </w:tcPr>
          <w:p>
            <w:pPr>
              <w:jc w:val="right"/>
              <w:ind w:right="216"/>
              <w:spacing w:after="0"/>
              <w:rPr>
                <w:sz w:val="20"/>
                <w:szCs w:val="20"/>
                <w:color w:val="auto"/>
              </w:rPr>
            </w:pPr>
            <w:r>
              <w:rPr>
                <w:rFonts w:ascii="Arial" w:cs="Arial" w:eastAsia="Arial" w:hAnsi="Arial"/>
                <w:sz w:val="17"/>
                <w:szCs w:val="17"/>
                <w:color w:val="auto"/>
                <w:w w:val="84"/>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3,800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2,175</w:t>
            </w:r>
          </w:p>
        </w:tc>
        <w:tc>
          <w:tcPr>
            <w:tcW w:w="400" w:type="dxa"/>
            <w:vAlign w:val="bottom"/>
            <w:tcBorders>
              <w:bottom w:val="single" w:sz="8" w:color="auto"/>
            </w:tcBorders>
          </w:tcPr>
          <w:p>
            <w:pPr>
              <w:jc w:val="center"/>
              <w:ind w:right="196"/>
              <w:spacing w:after="0"/>
              <w:rPr>
                <w:sz w:val="20"/>
                <w:szCs w:val="20"/>
                <w:color w:val="auto"/>
              </w:rPr>
            </w:pPr>
            <w:r>
              <w:rPr>
                <w:rFonts w:ascii="Arial" w:cs="Arial" w:eastAsia="Arial" w:hAnsi="Arial"/>
                <w:sz w:val="17"/>
                <w:szCs w:val="17"/>
                <w:color w:val="auto"/>
                <w:w w:val="84"/>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8,704</w:t>
            </w:r>
          </w:p>
        </w:tc>
        <w:tc>
          <w:tcPr>
            <w:tcW w:w="0" w:type="dxa"/>
            <w:vAlign w:val="bottom"/>
          </w:tcPr>
          <w:p>
            <w:pPr>
              <w:spacing w:after="0"/>
              <w:rPr>
                <w:sz w:val="1"/>
                <w:szCs w:val="1"/>
                <w:color w:val="auto"/>
              </w:rPr>
            </w:pPr>
          </w:p>
        </w:tc>
      </w:tr>
    </w:tbl>
    <w:p>
      <w:pPr>
        <w:spacing w:after="0" w:line="83" w:lineRule="exact"/>
        <w:rPr>
          <w:sz w:val="20"/>
          <w:szCs w:val="20"/>
          <w:color w:val="auto"/>
        </w:rPr>
      </w:pPr>
    </w:p>
    <w:p>
      <w:pPr>
        <w:ind w:left="320" w:hanging="313"/>
        <w:spacing w:after="0" w:line="217" w:lineRule="auto"/>
        <w:tabs>
          <w:tab w:leader="none" w:pos="354" w:val="left"/>
        </w:tabs>
        <w:numPr>
          <w:ilvl w:val="0"/>
          <w:numId w:val="7"/>
        </w:numPr>
        <w:rPr>
          <w:rFonts w:ascii="Arial" w:cs="Arial" w:eastAsia="Arial" w:hAnsi="Arial"/>
          <w:sz w:val="21"/>
          <w:szCs w:val="21"/>
          <w:color w:val="auto"/>
          <w:vertAlign w:val="superscript"/>
        </w:rPr>
      </w:pPr>
      <w:r>
        <w:rPr>
          <w:rFonts w:ascii="Arial" w:cs="Arial" w:eastAsia="Arial" w:hAnsi="Arial"/>
          <w:sz w:val="16"/>
          <w:szCs w:val="16"/>
          <w:color w:val="auto"/>
        </w:rPr>
        <w:t>Net of tax expense of zero and $(10) million for the three months ended June 30, 2023 and 2022, respectively, and zero and $(18) million for the six months ended June 30, 2023 and 2022, respectively.</w:t>
      </w:r>
    </w:p>
    <w:p>
      <w:pPr>
        <w:ind w:left="320" w:hanging="313"/>
        <w:spacing w:after="0" w:line="221" w:lineRule="auto"/>
        <w:tabs>
          <w:tab w:leader="none" w:pos="284" w:val="left"/>
        </w:tabs>
        <w:numPr>
          <w:ilvl w:val="0"/>
          <w:numId w:val="7"/>
        </w:numPr>
        <w:rPr>
          <w:rFonts w:ascii="Arial" w:cs="Arial" w:eastAsia="Arial" w:hAnsi="Arial"/>
          <w:sz w:val="21"/>
          <w:szCs w:val="21"/>
          <w:color w:val="auto"/>
          <w:vertAlign w:val="superscript"/>
        </w:rPr>
      </w:pPr>
      <w:r>
        <w:rPr>
          <w:rFonts w:ascii="Arial" w:cs="Arial" w:eastAsia="Arial" w:hAnsi="Arial"/>
          <w:sz w:val="16"/>
          <w:szCs w:val="16"/>
          <w:color w:val="auto"/>
        </w:rPr>
        <w:t>Net of tax benefit (expense) of $1 million and $(3) million for the three months ended June 30, 2023 and 2022, respectively, and $2 million and $(3) million for the six months ended June 30, 2023 and 2022, respectively.</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are an integral part of these Consolidated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715962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38" w:right="339" w:bottom="1440" w:gutter="0" w:footer="0" w:header="0"/>
          <w:type w:val="continuous"/>
        </w:sectPr>
      </w:pPr>
    </w:p>
    <w:bookmarkStart w:id="7" w:name="page8"/>
    <w:bookmarkEnd w:id="7"/>
    <w:p>
      <w:pPr>
        <w:ind w:left="20"/>
        <w:spacing w:after="0"/>
        <w:rPr>
          <w:sz w:val="20"/>
          <w:szCs w:val="20"/>
          <w:color w:val="auto"/>
        </w:rPr>
      </w:pPr>
      <w:r>
        <w:rPr>
          <w:rFonts w:ascii="Arial" w:cs="Arial" w:eastAsia="Arial" w:hAnsi="Arial"/>
          <w:sz w:val="24"/>
          <w:szCs w:val="24"/>
          <w:b w:val="1"/>
          <w:bCs w:val="1"/>
          <w:color w:val="00539B"/>
        </w:rPr>
        <w:t>Consolidated Condensed Statements of Cash Flows</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jc w:val="right"/>
        <w:ind w:right="20"/>
        <w:spacing w:after="0" w:line="238" w:lineRule="auto"/>
        <w:rPr>
          <w:sz w:val="20"/>
          <w:szCs w:val="20"/>
          <w:color w:val="auto"/>
        </w:rPr>
      </w:pPr>
      <w:r>
        <w:rPr>
          <w:rFonts w:ascii="Arial" w:cs="Arial" w:eastAsia="Arial" w:hAnsi="Arial"/>
          <w:sz w:val="17"/>
          <w:szCs w:val="17"/>
          <w:color w:val="auto"/>
        </w:rPr>
        <w:t>Occidental Petroleum Corporation and Subsidiaries</w:t>
      </w:r>
    </w:p>
    <w:p>
      <w:pPr>
        <w:spacing w:after="0" w:line="104" w:lineRule="exact"/>
        <w:rPr>
          <w:sz w:val="20"/>
          <w:szCs w:val="20"/>
          <w:color w:val="auto"/>
        </w:rPr>
      </w:pPr>
    </w:p>
    <w:p>
      <w:pPr>
        <w:sectPr>
          <w:pgSz w:w="11900" w:h="16838" w:orient="portrait"/>
          <w:cols w:equalWidth="0" w:num="2">
            <w:col w:w="7640" w:space="720"/>
            <w:col w:w="2880"/>
          </w:cols>
          <w:pgMar w:left="320" w:top="1098" w:right="339" w:bottom="1440" w:gutter="0" w:footer="0" w:header="0"/>
        </w:sectPr>
      </w:pPr>
    </w:p>
    <w:tbl>
      <w:tblPr>
        <w:tblLayout w:type="fixed"/>
        <w:tblInd w:w="0" w:type="dxa"/>
        <w:tblCellMar>
          <w:top w:w="0" w:type="dxa"/>
          <w:left w:w="0" w:type="dxa"/>
          <w:bottom w:w="0" w:type="dxa"/>
          <w:right w:w="0" w:type="dxa"/>
        </w:tblCellMar>
      </w:tblPr>
      <w:tr>
        <w:trPr>
          <w:trHeight w:val="227"/>
        </w:trPr>
        <w:tc>
          <w:tcPr>
            <w:tcW w:w="7840" w:type="dxa"/>
            <w:vAlign w:val="bottom"/>
            <w:tcBorders>
              <w:top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spacing w:after="0"/>
              <w:rPr>
                <w:sz w:val="19"/>
                <w:szCs w:val="19"/>
                <w:color w:val="auto"/>
              </w:rPr>
            </w:pPr>
          </w:p>
        </w:tc>
        <w:tc>
          <w:tcPr>
            <w:tcW w:w="27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Six months ended June 30,</w:t>
            </w:r>
          </w:p>
        </w:tc>
        <w:tc>
          <w:tcPr>
            <w:tcW w:w="0" w:type="dxa"/>
            <w:vAlign w:val="bottom"/>
          </w:tcPr>
          <w:p>
            <w:pPr>
              <w:spacing w:after="0"/>
              <w:rPr>
                <w:sz w:val="1"/>
                <w:szCs w:val="1"/>
                <w:color w:val="auto"/>
              </w:rPr>
            </w:pPr>
          </w:p>
        </w:tc>
      </w:tr>
      <w:tr>
        <w:trPr>
          <w:trHeight w:val="207"/>
        </w:trPr>
        <w:tc>
          <w:tcPr>
            <w:tcW w:w="784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millions</w:t>
            </w:r>
          </w:p>
        </w:tc>
        <w:tc>
          <w:tcPr>
            <w:tcW w:w="6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00539B"/>
              </w:rPr>
              <w:t>2023</w:t>
            </w:r>
          </w:p>
        </w:tc>
        <w:tc>
          <w:tcPr>
            <w:tcW w:w="6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2022</w:t>
            </w:r>
          </w:p>
        </w:tc>
        <w:tc>
          <w:tcPr>
            <w:tcW w:w="0" w:type="dxa"/>
            <w:vAlign w:val="bottom"/>
          </w:tcPr>
          <w:p>
            <w:pPr>
              <w:spacing w:after="0"/>
              <w:rPr>
                <w:sz w:val="1"/>
                <w:szCs w:val="1"/>
                <w:color w:val="auto"/>
              </w:rPr>
            </w:pPr>
          </w:p>
        </w:tc>
      </w:tr>
      <w:tr>
        <w:trPr>
          <w:trHeight w:val="303"/>
        </w:trPr>
        <w:tc>
          <w:tcPr>
            <w:tcW w:w="7840" w:type="dxa"/>
            <w:vAlign w:val="bottom"/>
          </w:tcPr>
          <w:p>
            <w:pPr>
              <w:ind w:left="20"/>
              <w:spacing w:after="0"/>
              <w:rPr>
                <w:sz w:val="20"/>
                <w:szCs w:val="20"/>
                <w:color w:val="auto"/>
              </w:rPr>
            </w:pPr>
            <w:r>
              <w:rPr>
                <w:rFonts w:ascii="Arial" w:cs="Arial" w:eastAsia="Arial" w:hAnsi="Arial"/>
                <w:sz w:val="16"/>
                <w:szCs w:val="16"/>
                <w:b w:val="1"/>
                <w:bCs w:val="1"/>
                <w:color w:val="auto"/>
              </w:rPr>
              <w:t>CASH FLOW FROM OPERATING ACTIVITIES</w:t>
            </w:r>
          </w:p>
        </w:tc>
        <w:tc>
          <w:tcPr>
            <w:tcW w:w="640" w:type="dxa"/>
            <w:vAlign w:val="bottom"/>
            <w:vMerge w:val="restart"/>
          </w:tcPr>
          <w:p>
            <w:pPr>
              <w:jc w:val="right"/>
              <w:ind w:right="460"/>
              <w:spacing w:after="0"/>
              <w:rPr>
                <w:sz w:val="20"/>
                <w:szCs w:val="20"/>
                <w:color w:val="auto"/>
              </w:rPr>
            </w:pPr>
            <w:r>
              <w:rPr>
                <w:rFonts w:ascii="Arial" w:cs="Arial" w:eastAsia="Arial" w:hAnsi="Arial"/>
                <w:sz w:val="16"/>
                <w:szCs w:val="16"/>
                <w:b w:val="1"/>
                <w:bCs w:val="1"/>
                <w:color w:val="00539B"/>
                <w:w w:val="89"/>
              </w:rPr>
              <w:t>$</w:t>
            </w:r>
          </w:p>
        </w:tc>
        <w:tc>
          <w:tcPr>
            <w:tcW w:w="1060" w:type="dxa"/>
            <w:vAlign w:val="bottom"/>
            <w:vMerge w:val="restart"/>
          </w:tcPr>
          <w:p>
            <w:pPr>
              <w:jc w:val="right"/>
              <w:spacing w:after="0"/>
              <w:rPr>
                <w:sz w:val="20"/>
                <w:szCs w:val="20"/>
                <w:color w:val="auto"/>
              </w:rPr>
            </w:pPr>
            <w:r>
              <w:rPr>
                <w:rFonts w:ascii="Arial" w:cs="Arial" w:eastAsia="Arial" w:hAnsi="Arial"/>
                <w:sz w:val="16"/>
                <w:szCs w:val="16"/>
                <w:b w:val="1"/>
                <w:bCs w:val="1"/>
                <w:color w:val="00539B"/>
              </w:rPr>
              <w:t>2,123</w:t>
            </w:r>
          </w:p>
        </w:tc>
        <w:tc>
          <w:tcPr>
            <w:tcW w:w="6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784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640" w:type="dxa"/>
            <w:vAlign w:val="bottom"/>
            <w:vMerge w:val="continue"/>
          </w:tcPr>
          <w:p>
            <w:pPr>
              <w:spacing w:after="0"/>
              <w:rPr>
                <w:sz w:val="18"/>
                <w:szCs w:val="18"/>
                <w:color w:val="auto"/>
              </w:rPr>
            </w:pPr>
          </w:p>
        </w:tc>
        <w:tc>
          <w:tcPr>
            <w:tcW w:w="1060" w:type="dxa"/>
            <w:vAlign w:val="bottom"/>
            <w:vMerge w:val="continue"/>
          </w:tcPr>
          <w:p>
            <w:pPr>
              <w:spacing w:after="0"/>
              <w:rPr>
                <w:sz w:val="18"/>
                <w:szCs w:val="18"/>
                <w:color w:val="auto"/>
              </w:rPr>
            </w:pPr>
          </w:p>
        </w:tc>
        <w:tc>
          <w:tcPr>
            <w:tcW w:w="640" w:type="dxa"/>
            <w:vAlign w:val="bottom"/>
          </w:tcPr>
          <w:p>
            <w:pPr>
              <w:jc w:val="right"/>
              <w:ind w:right="460"/>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8,631</w:t>
            </w:r>
          </w:p>
        </w:tc>
        <w:tc>
          <w:tcPr>
            <w:tcW w:w="0" w:type="dxa"/>
            <w:vAlign w:val="bottom"/>
          </w:tcPr>
          <w:p>
            <w:pPr>
              <w:spacing w:after="0"/>
              <w:rPr>
                <w:sz w:val="1"/>
                <w:szCs w:val="1"/>
                <w:color w:val="auto"/>
              </w:rPr>
            </w:pPr>
          </w:p>
        </w:tc>
      </w:tr>
      <w:tr>
        <w:trPr>
          <w:trHeight w:val="205"/>
        </w:trPr>
        <w:tc>
          <w:tcPr>
            <w:tcW w:w="7840" w:type="dxa"/>
            <w:vAlign w:val="bottom"/>
          </w:tcPr>
          <w:p>
            <w:pPr>
              <w:ind w:left="2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6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7840" w:type="dxa"/>
            <w:vAlign w:val="bottom"/>
          </w:tcPr>
          <w:p>
            <w:pPr>
              <w:ind w:left="340"/>
              <w:spacing w:after="0"/>
              <w:rPr>
                <w:sz w:val="20"/>
                <w:szCs w:val="20"/>
                <w:color w:val="auto"/>
              </w:rPr>
            </w:pPr>
            <w:r>
              <w:rPr>
                <w:rFonts w:ascii="Arial" w:cs="Arial" w:eastAsia="Arial" w:hAnsi="Arial"/>
                <w:sz w:val="16"/>
                <w:szCs w:val="16"/>
                <w:color w:val="auto"/>
              </w:rPr>
              <w:t>Depreciation, depletion and amortization of assets</w:t>
            </w:r>
          </w:p>
        </w:tc>
        <w:tc>
          <w:tcPr>
            <w:tcW w:w="6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00539B"/>
              </w:rPr>
              <w:t>3,430</w:t>
            </w:r>
          </w:p>
        </w:tc>
        <w:tc>
          <w:tcPr>
            <w:tcW w:w="6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3,371</w:t>
            </w:r>
          </w:p>
        </w:tc>
        <w:tc>
          <w:tcPr>
            <w:tcW w:w="0" w:type="dxa"/>
            <w:vAlign w:val="bottom"/>
          </w:tcPr>
          <w:p>
            <w:pPr>
              <w:spacing w:after="0"/>
              <w:rPr>
                <w:sz w:val="1"/>
                <w:szCs w:val="1"/>
                <w:color w:val="auto"/>
              </w:rPr>
            </w:pPr>
          </w:p>
        </w:tc>
      </w:tr>
      <w:tr>
        <w:trPr>
          <w:trHeight w:val="213"/>
        </w:trPr>
        <w:tc>
          <w:tcPr>
            <w:tcW w:w="7840" w:type="dxa"/>
            <w:vAlign w:val="bottom"/>
          </w:tcPr>
          <w:p>
            <w:pPr>
              <w:ind w:left="340"/>
              <w:spacing w:after="0"/>
              <w:rPr>
                <w:sz w:val="20"/>
                <w:szCs w:val="20"/>
                <w:color w:val="auto"/>
              </w:rPr>
            </w:pPr>
            <w:r>
              <w:rPr>
                <w:rFonts w:ascii="Arial" w:cs="Arial" w:eastAsia="Arial" w:hAnsi="Arial"/>
                <w:sz w:val="16"/>
                <w:szCs w:val="16"/>
                <w:color w:val="auto"/>
              </w:rPr>
              <w:t>Deferred income tax provision (benefit)</w:t>
            </w:r>
          </w:p>
        </w:tc>
        <w:tc>
          <w:tcPr>
            <w:tcW w:w="6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00539B"/>
              </w:rPr>
              <w:t>98</w:t>
            </w:r>
          </w:p>
        </w:tc>
        <w:tc>
          <w:tcPr>
            <w:tcW w:w="6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(2,037)</w:t>
            </w:r>
          </w:p>
        </w:tc>
        <w:tc>
          <w:tcPr>
            <w:tcW w:w="0" w:type="dxa"/>
            <w:vAlign w:val="bottom"/>
          </w:tcPr>
          <w:p>
            <w:pPr>
              <w:spacing w:after="0"/>
              <w:rPr>
                <w:sz w:val="1"/>
                <w:szCs w:val="1"/>
                <w:color w:val="auto"/>
              </w:rPr>
            </w:pPr>
          </w:p>
        </w:tc>
      </w:tr>
      <w:tr>
        <w:trPr>
          <w:trHeight w:val="213"/>
        </w:trPr>
        <w:tc>
          <w:tcPr>
            <w:tcW w:w="7840" w:type="dxa"/>
            <w:vAlign w:val="bottom"/>
          </w:tcPr>
          <w:p>
            <w:pPr>
              <w:ind w:left="340"/>
              <w:spacing w:after="0"/>
              <w:rPr>
                <w:sz w:val="20"/>
                <w:szCs w:val="20"/>
                <w:color w:val="auto"/>
              </w:rPr>
            </w:pPr>
            <w:r>
              <w:rPr>
                <w:rFonts w:ascii="Arial" w:cs="Arial" w:eastAsia="Arial" w:hAnsi="Arial"/>
                <w:sz w:val="16"/>
                <w:szCs w:val="16"/>
                <w:color w:val="auto"/>
              </w:rPr>
              <w:t>Asset impairments and other charges</w:t>
            </w:r>
          </w:p>
        </w:tc>
        <w:tc>
          <w:tcPr>
            <w:tcW w:w="6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00539B"/>
              </w:rPr>
              <w:t>209</w:t>
            </w:r>
          </w:p>
        </w:tc>
        <w:tc>
          <w:tcPr>
            <w:tcW w:w="6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840" w:type="dxa"/>
            <w:vAlign w:val="bottom"/>
          </w:tcPr>
          <w:p>
            <w:pPr>
              <w:ind w:left="340"/>
              <w:spacing w:after="0"/>
              <w:rPr>
                <w:sz w:val="20"/>
                <w:szCs w:val="20"/>
                <w:color w:val="auto"/>
              </w:rPr>
            </w:pPr>
            <w:r>
              <w:rPr>
                <w:rFonts w:ascii="Arial" w:cs="Arial" w:eastAsia="Arial" w:hAnsi="Arial"/>
                <w:sz w:val="16"/>
                <w:szCs w:val="16"/>
                <w:color w:val="auto"/>
              </w:rPr>
              <w:t>Gains on sales of assets, net</w:t>
            </w:r>
          </w:p>
        </w:tc>
        <w:tc>
          <w:tcPr>
            <w:tcW w:w="6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00539B"/>
              </w:rPr>
              <w:t>(5)</w:t>
            </w:r>
          </w:p>
        </w:tc>
        <w:tc>
          <w:tcPr>
            <w:tcW w:w="6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(158)</w:t>
            </w:r>
          </w:p>
        </w:tc>
        <w:tc>
          <w:tcPr>
            <w:tcW w:w="0" w:type="dxa"/>
            <w:vAlign w:val="bottom"/>
          </w:tcPr>
          <w:p>
            <w:pPr>
              <w:spacing w:after="0"/>
              <w:rPr>
                <w:sz w:val="1"/>
                <w:szCs w:val="1"/>
                <w:color w:val="auto"/>
              </w:rPr>
            </w:pPr>
          </w:p>
        </w:tc>
      </w:tr>
      <w:tr>
        <w:trPr>
          <w:trHeight w:val="221"/>
        </w:trPr>
        <w:tc>
          <w:tcPr>
            <w:tcW w:w="7840" w:type="dxa"/>
            <w:vAlign w:val="bottom"/>
          </w:tcPr>
          <w:p>
            <w:pPr>
              <w:ind w:left="340"/>
              <w:spacing w:after="0"/>
              <w:rPr>
                <w:sz w:val="20"/>
                <w:szCs w:val="20"/>
                <w:color w:val="auto"/>
              </w:rPr>
            </w:pPr>
            <w:r>
              <w:rPr>
                <w:rFonts w:ascii="Arial" w:cs="Arial" w:eastAsia="Arial" w:hAnsi="Arial"/>
                <w:sz w:val="16"/>
                <w:szCs w:val="16"/>
                <w:color w:val="auto"/>
              </w:rPr>
              <w:t>Noncash charges to income and other</w:t>
            </w:r>
          </w:p>
        </w:tc>
        <w:tc>
          <w:tcPr>
            <w:tcW w:w="6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00539B"/>
              </w:rPr>
              <w:t>(51)</w:t>
            </w:r>
          </w:p>
        </w:tc>
        <w:tc>
          <w:tcPr>
            <w:tcW w:w="6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(481)</w:t>
            </w:r>
          </w:p>
        </w:tc>
        <w:tc>
          <w:tcPr>
            <w:tcW w:w="0" w:type="dxa"/>
            <w:vAlign w:val="bottom"/>
          </w:tcPr>
          <w:p>
            <w:pPr>
              <w:spacing w:after="0"/>
              <w:rPr>
                <w:sz w:val="1"/>
                <w:szCs w:val="1"/>
                <w:color w:val="auto"/>
              </w:rPr>
            </w:pPr>
          </w:p>
        </w:tc>
      </w:tr>
      <w:tr>
        <w:trPr>
          <w:trHeight w:val="205"/>
        </w:trPr>
        <w:tc>
          <w:tcPr>
            <w:tcW w:w="7840" w:type="dxa"/>
            <w:vAlign w:val="bottom"/>
          </w:tcPr>
          <w:p>
            <w:pPr>
              <w:ind w:left="20"/>
              <w:spacing w:after="0"/>
              <w:rPr>
                <w:sz w:val="20"/>
                <w:szCs w:val="20"/>
                <w:color w:val="auto"/>
              </w:rPr>
            </w:pPr>
            <w:r>
              <w:rPr>
                <w:rFonts w:ascii="Arial" w:cs="Arial" w:eastAsia="Arial" w:hAnsi="Arial"/>
                <w:sz w:val="16"/>
                <w:szCs w:val="16"/>
                <w:color w:val="auto"/>
              </w:rPr>
              <w:t>Changes in operating assets and liabilities:</w:t>
            </w:r>
          </w:p>
        </w:tc>
        <w:tc>
          <w:tcPr>
            <w:tcW w:w="6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7840" w:type="dxa"/>
            <w:vAlign w:val="bottom"/>
          </w:tcPr>
          <w:p>
            <w:pPr>
              <w:ind w:left="340"/>
              <w:spacing w:after="0"/>
              <w:rPr>
                <w:sz w:val="20"/>
                <w:szCs w:val="20"/>
                <w:color w:val="auto"/>
              </w:rPr>
            </w:pPr>
            <w:r>
              <w:rPr>
                <w:rFonts w:ascii="Arial" w:cs="Arial" w:eastAsia="Arial" w:hAnsi="Arial"/>
                <w:sz w:val="16"/>
                <w:szCs w:val="16"/>
                <w:color w:val="auto"/>
              </w:rPr>
              <w:t>(Increase) decrease in receivables</w:t>
            </w:r>
          </w:p>
        </w:tc>
        <w:tc>
          <w:tcPr>
            <w:tcW w:w="6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00539B"/>
              </w:rPr>
              <w:t>1,432</w:t>
            </w:r>
          </w:p>
        </w:tc>
        <w:tc>
          <w:tcPr>
            <w:tcW w:w="6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(2,155)</w:t>
            </w:r>
          </w:p>
        </w:tc>
        <w:tc>
          <w:tcPr>
            <w:tcW w:w="0" w:type="dxa"/>
            <w:vAlign w:val="bottom"/>
          </w:tcPr>
          <w:p>
            <w:pPr>
              <w:spacing w:after="0"/>
              <w:rPr>
                <w:sz w:val="1"/>
                <w:szCs w:val="1"/>
                <w:color w:val="auto"/>
              </w:rPr>
            </w:pPr>
          </w:p>
        </w:tc>
      </w:tr>
      <w:tr>
        <w:trPr>
          <w:trHeight w:val="213"/>
        </w:trPr>
        <w:tc>
          <w:tcPr>
            <w:tcW w:w="7840" w:type="dxa"/>
            <w:vAlign w:val="bottom"/>
          </w:tcPr>
          <w:p>
            <w:pPr>
              <w:ind w:left="340"/>
              <w:spacing w:after="0"/>
              <w:rPr>
                <w:sz w:val="20"/>
                <w:szCs w:val="20"/>
                <w:color w:val="auto"/>
              </w:rPr>
            </w:pPr>
            <w:r>
              <w:rPr>
                <w:rFonts w:ascii="Arial" w:cs="Arial" w:eastAsia="Arial" w:hAnsi="Arial"/>
                <w:sz w:val="16"/>
                <w:szCs w:val="16"/>
                <w:color w:val="auto"/>
              </w:rPr>
              <w:t>(Increase) decrease in inventories</w:t>
            </w:r>
          </w:p>
        </w:tc>
        <w:tc>
          <w:tcPr>
            <w:tcW w:w="6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00539B"/>
              </w:rPr>
              <w:t>(75)</w:t>
            </w:r>
          </w:p>
        </w:tc>
        <w:tc>
          <w:tcPr>
            <w:tcW w:w="6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287</w:t>
            </w:r>
          </w:p>
        </w:tc>
        <w:tc>
          <w:tcPr>
            <w:tcW w:w="0" w:type="dxa"/>
            <w:vAlign w:val="bottom"/>
          </w:tcPr>
          <w:p>
            <w:pPr>
              <w:spacing w:after="0"/>
              <w:rPr>
                <w:sz w:val="1"/>
                <w:szCs w:val="1"/>
                <w:color w:val="auto"/>
              </w:rPr>
            </w:pPr>
          </w:p>
        </w:tc>
      </w:tr>
      <w:tr>
        <w:trPr>
          <w:trHeight w:val="213"/>
        </w:trPr>
        <w:tc>
          <w:tcPr>
            <w:tcW w:w="7840" w:type="dxa"/>
            <w:vAlign w:val="bottom"/>
          </w:tcPr>
          <w:p>
            <w:pPr>
              <w:ind w:left="340"/>
              <w:spacing w:after="0"/>
              <w:rPr>
                <w:sz w:val="20"/>
                <w:szCs w:val="20"/>
                <w:color w:val="auto"/>
              </w:rPr>
            </w:pPr>
            <w:r>
              <w:rPr>
                <w:rFonts w:ascii="Arial" w:cs="Arial" w:eastAsia="Arial" w:hAnsi="Arial"/>
                <w:sz w:val="16"/>
                <w:szCs w:val="16"/>
                <w:color w:val="auto"/>
              </w:rPr>
              <w:t>(Increase) decrease in other current assets</w:t>
            </w:r>
          </w:p>
        </w:tc>
        <w:tc>
          <w:tcPr>
            <w:tcW w:w="6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00539B"/>
              </w:rPr>
              <w:t>(347)</w:t>
            </w:r>
          </w:p>
        </w:tc>
        <w:tc>
          <w:tcPr>
            <w:tcW w:w="6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13"/>
        </w:trPr>
        <w:tc>
          <w:tcPr>
            <w:tcW w:w="7840" w:type="dxa"/>
            <w:vAlign w:val="bottom"/>
          </w:tcPr>
          <w:p>
            <w:pPr>
              <w:ind w:left="340"/>
              <w:spacing w:after="0"/>
              <w:rPr>
                <w:sz w:val="20"/>
                <w:szCs w:val="20"/>
                <w:color w:val="auto"/>
              </w:rPr>
            </w:pPr>
            <w:r>
              <w:rPr>
                <w:rFonts w:ascii="Arial" w:cs="Arial" w:eastAsia="Arial" w:hAnsi="Arial"/>
                <w:sz w:val="16"/>
                <w:szCs w:val="16"/>
                <w:color w:val="auto"/>
              </w:rPr>
              <w:t>Increase (decrease) in accounts payable and accrued liabilities</w:t>
            </w:r>
          </w:p>
        </w:tc>
        <w:tc>
          <w:tcPr>
            <w:tcW w:w="6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00539B"/>
              </w:rPr>
              <w:t>(1,007)</w:t>
            </w:r>
          </w:p>
        </w:tc>
        <w:tc>
          <w:tcPr>
            <w:tcW w:w="6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771</w:t>
            </w:r>
          </w:p>
        </w:tc>
        <w:tc>
          <w:tcPr>
            <w:tcW w:w="0" w:type="dxa"/>
            <w:vAlign w:val="bottom"/>
          </w:tcPr>
          <w:p>
            <w:pPr>
              <w:spacing w:after="0"/>
              <w:rPr>
                <w:sz w:val="1"/>
                <w:szCs w:val="1"/>
                <w:color w:val="auto"/>
              </w:rPr>
            </w:pPr>
          </w:p>
        </w:tc>
      </w:tr>
      <w:tr>
        <w:trPr>
          <w:trHeight w:val="218"/>
        </w:trPr>
        <w:tc>
          <w:tcPr>
            <w:tcW w:w="7840" w:type="dxa"/>
            <w:vAlign w:val="bottom"/>
            <w:tcBorders>
              <w:bottom w:val="single" w:sz="8" w:color="auto"/>
            </w:tcBorders>
          </w:tcPr>
          <w:p>
            <w:pPr>
              <w:ind w:left="340"/>
              <w:spacing w:after="0"/>
              <w:rPr>
                <w:sz w:val="20"/>
                <w:szCs w:val="20"/>
                <w:color w:val="auto"/>
              </w:rPr>
            </w:pPr>
            <w:r>
              <w:rPr>
                <w:rFonts w:ascii="Arial" w:cs="Arial" w:eastAsia="Arial" w:hAnsi="Arial"/>
                <w:sz w:val="16"/>
                <w:szCs w:val="16"/>
                <w:color w:val="auto"/>
              </w:rPr>
              <w:t>Increase in current domestic and foreign income taxes</w:t>
            </w:r>
          </w:p>
        </w:tc>
        <w:tc>
          <w:tcPr>
            <w:tcW w:w="6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00539B"/>
              </w:rPr>
              <w:t>133</w:t>
            </w:r>
          </w:p>
        </w:tc>
        <w:tc>
          <w:tcPr>
            <w:tcW w:w="6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327</w:t>
            </w:r>
          </w:p>
        </w:tc>
        <w:tc>
          <w:tcPr>
            <w:tcW w:w="0" w:type="dxa"/>
            <w:vAlign w:val="bottom"/>
          </w:tcPr>
          <w:p>
            <w:pPr>
              <w:spacing w:after="0"/>
              <w:rPr>
                <w:sz w:val="1"/>
                <w:szCs w:val="1"/>
                <w:color w:val="auto"/>
              </w:rPr>
            </w:pPr>
          </w:p>
        </w:tc>
      </w:tr>
      <w:tr>
        <w:trPr>
          <w:trHeight w:val="207"/>
        </w:trPr>
        <w:tc>
          <w:tcPr>
            <w:tcW w:w="7840" w:type="dxa"/>
            <w:vAlign w:val="bottom"/>
            <w:tcBorders>
              <w:bottom w:val="single" w:sz="8" w:color="auto"/>
            </w:tcBorders>
          </w:tcPr>
          <w:p>
            <w:pPr>
              <w:ind w:left="340"/>
              <w:spacing w:after="0"/>
              <w:rPr>
                <w:sz w:val="20"/>
                <w:szCs w:val="20"/>
                <w:color w:val="auto"/>
              </w:rPr>
            </w:pPr>
            <w:r>
              <w:rPr>
                <w:rFonts w:ascii="Arial" w:cs="Arial" w:eastAsia="Arial" w:hAnsi="Arial"/>
                <w:sz w:val="16"/>
                <w:szCs w:val="16"/>
                <w:b w:val="1"/>
                <w:bCs w:val="1"/>
                <w:color w:val="auto"/>
              </w:rPr>
              <w:t>Net cash provided by operating activities</w:t>
            </w:r>
          </w:p>
        </w:tc>
        <w:tc>
          <w:tcPr>
            <w:tcW w:w="6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00539B"/>
              </w:rPr>
              <w:t>5,940</w:t>
            </w:r>
          </w:p>
        </w:tc>
        <w:tc>
          <w:tcPr>
            <w:tcW w:w="6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8,568</w:t>
            </w:r>
          </w:p>
        </w:tc>
        <w:tc>
          <w:tcPr>
            <w:tcW w:w="0" w:type="dxa"/>
            <w:vAlign w:val="bottom"/>
          </w:tcPr>
          <w:p>
            <w:pPr>
              <w:spacing w:after="0"/>
              <w:rPr>
                <w:sz w:val="1"/>
                <w:szCs w:val="1"/>
                <w:color w:val="auto"/>
              </w:rPr>
            </w:pPr>
          </w:p>
        </w:tc>
      </w:tr>
      <w:tr>
        <w:trPr>
          <w:trHeight w:val="303"/>
        </w:trPr>
        <w:tc>
          <w:tcPr>
            <w:tcW w:w="7840" w:type="dxa"/>
            <w:vAlign w:val="bottom"/>
          </w:tcPr>
          <w:p>
            <w:pPr>
              <w:ind w:left="20"/>
              <w:spacing w:after="0"/>
              <w:rPr>
                <w:sz w:val="20"/>
                <w:szCs w:val="20"/>
                <w:color w:val="auto"/>
              </w:rPr>
            </w:pPr>
            <w:r>
              <w:rPr>
                <w:rFonts w:ascii="Arial" w:cs="Arial" w:eastAsia="Arial" w:hAnsi="Arial"/>
                <w:sz w:val="16"/>
                <w:szCs w:val="16"/>
                <w:b w:val="1"/>
                <w:bCs w:val="1"/>
                <w:color w:val="auto"/>
              </w:rPr>
              <w:t>CASH FLOW FROM INVESTING ACTIVITIES</w:t>
            </w:r>
          </w:p>
        </w:tc>
        <w:tc>
          <w:tcPr>
            <w:tcW w:w="640" w:type="dxa"/>
            <w:vAlign w:val="bottom"/>
          </w:tcPr>
          <w:p>
            <w:pPr>
              <w:spacing w:after="0"/>
              <w:rPr>
                <w:sz w:val="24"/>
                <w:szCs w:val="24"/>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b w:val="1"/>
                <w:bCs w:val="1"/>
                <w:color w:val="00539B"/>
              </w:rPr>
              <w:t>(3,107)</w:t>
            </w:r>
          </w:p>
        </w:tc>
        <w:tc>
          <w:tcPr>
            <w:tcW w:w="6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7840" w:type="dxa"/>
            <w:vAlign w:val="bottom"/>
          </w:tcPr>
          <w:p>
            <w:pPr>
              <w:ind w:left="20"/>
              <w:spacing w:after="0"/>
              <w:rPr>
                <w:sz w:val="20"/>
                <w:szCs w:val="20"/>
                <w:color w:val="auto"/>
              </w:rPr>
            </w:pPr>
            <w:r>
              <w:rPr>
                <w:rFonts w:ascii="Arial" w:cs="Arial" w:eastAsia="Arial" w:hAnsi="Arial"/>
                <w:sz w:val="16"/>
                <w:szCs w:val="16"/>
                <w:color w:val="auto"/>
              </w:rPr>
              <w:t>Capital expenditures</w:t>
            </w:r>
          </w:p>
        </w:tc>
        <w:tc>
          <w:tcPr>
            <w:tcW w:w="64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6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(1,830)</w:t>
            </w:r>
          </w:p>
        </w:tc>
        <w:tc>
          <w:tcPr>
            <w:tcW w:w="0" w:type="dxa"/>
            <w:vAlign w:val="bottom"/>
          </w:tcPr>
          <w:p>
            <w:pPr>
              <w:spacing w:after="0"/>
              <w:rPr>
                <w:sz w:val="1"/>
                <w:szCs w:val="1"/>
                <w:color w:val="auto"/>
              </w:rPr>
            </w:pPr>
          </w:p>
        </w:tc>
      </w:tr>
      <w:tr>
        <w:trPr>
          <w:trHeight w:val="213"/>
        </w:trPr>
        <w:tc>
          <w:tcPr>
            <w:tcW w:w="7840" w:type="dxa"/>
            <w:vAlign w:val="bottom"/>
          </w:tcPr>
          <w:p>
            <w:pPr>
              <w:ind w:left="20"/>
              <w:spacing w:after="0"/>
              <w:rPr>
                <w:sz w:val="20"/>
                <w:szCs w:val="20"/>
                <w:color w:val="auto"/>
              </w:rPr>
            </w:pPr>
            <w:r>
              <w:rPr>
                <w:rFonts w:ascii="Arial" w:cs="Arial" w:eastAsia="Arial" w:hAnsi="Arial"/>
                <w:sz w:val="16"/>
                <w:szCs w:val="16"/>
                <w:color w:val="auto"/>
              </w:rPr>
              <w:t>Change in capital accrual</w:t>
            </w:r>
          </w:p>
        </w:tc>
        <w:tc>
          <w:tcPr>
            <w:tcW w:w="6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00539B"/>
              </w:rPr>
              <w:t>5</w:t>
            </w:r>
          </w:p>
        </w:tc>
        <w:tc>
          <w:tcPr>
            <w:tcW w:w="6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213"/>
        </w:trPr>
        <w:tc>
          <w:tcPr>
            <w:tcW w:w="7840" w:type="dxa"/>
            <w:vAlign w:val="bottom"/>
          </w:tcPr>
          <w:p>
            <w:pPr>
              <w:ind w:left="20"/>
              <w:spacing w:after="0"/>
              <w:rPr>
                <w:sz w:val="20"/>
                <w:szCs w:val="20"/>
                <w:color w:val="auto"/>
              </w:rPr>
            </w:pPr>
            <w:r>
              <w:rPr>
                <w:rFonts w:ascii="Arial" w:cs="Arial" w:eastAsia="Arial" w:hAnsi="Arial"/>
                <w:sz w:val="16"/>
                <w:szCs w:val="16"/>
                <w:color w:val="auto"/>
              </w:rPr>
              <w:t>Purchases of businesses and assets, net</w:t>
            </w:r>
          </w:p>
        </w:tc>
        <w:tc>
          <w:tcPr>
            <w:tcW w:w="6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00539B"/>
              </w:rPr>
              <w:t>(140)</w:t>
            </w:r>
          </w:p>
        </w:tc>
        <w:tc>
          <w:tcPr>
            <w:tcW w:w="6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(309)</w:t>
            </w:r>
          </w:p>
        </w:tc>
        <w:tc>
          <w:tcPr>
            <w:tcW w:w="0" w:type="dxa"/>
            <w:vAlign w:val="bottom"/>
          </w:tcPr>
          <w:p>
            <w:pPr>
              <w:spacing w:after="0"/>
              <w:rPr>
                <w:sz w:val="1"/>
                <w:szCs w:val="1"/>
                <w:color w:val="auto"/>
              </w:rPr>
            </w:pPr>
          </w:p>
        </w:tc>
      </w:tr>
      <w:tr>
        <w:trPr>
          <w:trHeight w:val="213"/>
        </w:trPr>
        <w:tc>
          <w:tcPr>
            <w:tcW w:w="7840" w:type="dxa"/>
            <w:vAlign w:val="bottom"/>
          </w:tcPr>
          <w:p>
            <w:pPr>
              <w:ind w:left="20"/>
              <w:spacing w:after="0"/>
              <w:rPr>
                <w:sz w:val="20"/>
                <w:szCs w:val="20"/>
                <w:color w:val="auto"/>
              </w:rPr>
            </w:pPr>
            <w:r>
              <w:rPr>
                <w:rFonts w:ascii="Arial" w:cs="Arial" w:eastAsia="Arial" w:hAnsi="Arial"/>
                <w:sz w:val="16"/>
                <w:szCs w:val="16"/>
                <w:color w:val="auto"/>
              </w:rPr>
              <w:t>Proceeds from sales of assets, net</w:t>
            </w:r>
          </w:p>
        </w:tc>
        <w:tc>
          <w:tcPr>
            <w:tcW w:w="6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00539B"/>
              </w:rPr>
              <w:t>80</w:t>
            </w:r>
          </w:p>
        </w:tc>
        <w:tc>
          <w:tcPr>
            <w:tcW w:w="6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324</w:t>
            </w:r>
          </w:p>
        </w:tc>
        <w:tc>
          <w:tcPr>
            <w:tcW w:w="0" w:type="dxa"/>
            <w:vAlign w:val="bottom"/>
          </w:tcPr>
          <w:p>
            <w:pPr>
              <w:spacing w:after="0"/>
              <w:rPr>
                <w:sz w:val="1"/>
                <w:szCs w:val="1"/>
                <w:color w:val="auto"/>
              </w:rPr>
            </w:pPr>
          </w:p>
        </w:tc>
      </w:tr>
      <w:tr>
        <w:trPr>
          <w:trHeight w:val="218"/>
        </w:trPr>
        <w:tc>
          <w:tcPr>
            <w:tcW w:w="78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Equity investments and other, net</w:t>
            </w:r>
          </w:p>
        </w:tc>
        <w:tc>
          <w:tcPr>
            <w:tcW w:w="6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00539B"/>
              </w:rPr>
              <w:t>(375)</w:t>
            </w:r>
          </w:p>
        </w:tc>
        <w:tc>
          <w:tcPr>
            <w:tcW w:w="6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207"/>
        </w:trPr>
        <w:tc>
          <w:tcPr>
            <w:tcW w:w="7840" w:type="dxa"/>
            <w:vAlign w:val="bottom"/>
            <w:tcBorders>
              <w:bottom w:val="single" w:sz="8" w:color="auto"/>
            </w:tcBorders>
          </w:tcPr>
          <w:p>
            <w:pPr>
              <w:ind w:left="340"/>
              <w:spacing w:after="0"/>
              <w:rPr>
                <w:sz w:val="20"/>
                <w:szCs w:val="20"/>
                <w:color w:val="auto"/>
              </w:rPr>
            </w:pPr>
            <w:r>
              <w:rPr>
                <w:rFonts w:ascii="Arial" w:cs="Arial" w:eastAsia="Arial" w:hAnsi="Arial"/>
                <w:sz w:val="16"/>
                <w:szCs w:val="16"/>
                <w:b w:val="1"/>
                <w:bCs w:val="1"/>
                <w:color w:val="auto"/>
              </w:rPr>
              <w:t>Net cash used by investing activities</w:t>
            </w:r>
          </w:p>
        </w:tc>
        <w:tc>
          <w:tcPr>
            <w:tcW w:w="6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00539B"/>
              </w:rPr>
              <w:t>(3,537)</w:t>
            </w:r>
          </w:p>
        </w:tc>
        <w:tc>
          <w:tcPr>
            <w:tcW w:w="6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(1,955)</w:t>
            </w:r>
          </w:p>
        </w:tc>
        <w:tc>
          <w:tcPr>
            <w:tcW w:w="0" w:type="dxa"/>
            <w:vAlign w:val="bottom"/>
          </w:tcPr>
          <w:p>
            <w:pPr>
              <w:spacing w:after="0"/>
              <w:rPr>
                <w:sz w:val="1"/>
                <w:szCs w:val="1"/>
                <w:color w:val="auto"/>
              </w:rPr>
            </w:pPr>
          </w:p>
        </w:tc>
      </w:tr>
      <w:tr>
        <w:trPr>
          <w:trHeight w:val="303"/>
        </w:trPr>
        <w:tc>
          <w:tcPr>
            <w:tcW w:w="7840" w:type="dxa"/>
            <w:vAlign w:val="bottom"/>
          </w:tcPr>
          <w:p>
            <w:pPr>
              <w:ind w:left="20"/>
              <w:spacing w:after="0"/>
              <w:rPr>
                <w:sz w:val="20"/>
                <w:szCs w:val="20"/>
                <w:color w:val="auto"/>
              </w:rPr>
            </w:pPr>
            <w:r>
              <w:rPr>
                <w:rFonts w:ascii="Arial" w:cs="Arial" w:eastAsia="Arial" w:hAnsi="Arial"/>
                <w:sz w:val="16"/>
                <w:szCs w:val="16"/>
                <w:b w:val="1"/>
                <w:bCs w:val="1"/>
                <w:color w:val="auto"/>
              </w:rPr>
              <w:t>CASH FLOW FROM FINANCING ACTIVITIES</w:t>
            </w:r>
          </w:p>
        </w:tc>
        <w:tc>
          <w:tcPr>
            <w:tcW w:w="640" w:type="dxa"/>
            <w:vAlign w:val="bottom"/>
          </w:tcPr>
          <w:p>
            <w:pPr>
              <w:spacing w:after="0"/>
              <w:rPr>
                <w:sz w:val="24"/>
                <w:szCs w:val="24"/>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b w:val="1"/>
                <w:bCs w:val="1"/>
                <w:color w:val="00539B"/>
              </w:rPr>
              <w:t>—</w:t>
            </w:r>
          </w:p>
        </w:tc>
        <w:tc>
          <w:tcPr>
            <w:tcW w:w="6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7840" w:type="dxa"/>
            <w:vAlign w:val="bottom"/>
          </w:tcPr>
          <w:p>
            <w:pPr>
              <w:ind w:left="20"/>
              <w:spacing w:after="0"/>
              <w:rPr>
                <w:sz w:val="20"/>
                <w:szCs w:val="20"/>
                <w:color w:val="auto"/>
              </w:rPr>
            </w:pPr>
            <w:r>
              <w:rPr>
                <w:rFonts w:ascii="Arial" w:cs="Arial" w:eastAsia="Arial" w:hAnsi="Arial"/>
                <w:sz w:val="16"/>
                <w:szCs w:val="16"/>
                <w:color w:val="auto"/>
              </w:rPr>
              <w:t>Draws on receivables securitization facility</w:t>
            </w:r>
          </w:p>
        </w:tc>
        <w:tc>
          <w:tcPr>
            <w:tcW w:w="64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6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400</w:t>
            </w:r>
          </w:p>
        </w:tc>
        <w:tc>
          <w:tcPr>
            <w:tcW w:w="0" w:type="dxa"/>
            <w:vAlign w:val="bottom"/>
          </w:tcPr>
          <w:p>
            <w:pPr>
              <w:spacing w:after="0"/>
              <w:rPr>
                <w:sz w:val="1"/>
                <w:szCs w:val="1"/>
                <w:color w:val="auto"/>
              </w:rPr>
            </w:pPr>
          </w:p>
        </w:tc>
      </w:tr>
      <w:tr>
        <w:trPr>
          <w:trHeight w:val="213"/>
        </w:trPr>
        <w:tc>
          <w:tcPr>
            <w:tcW w:w="7840" w:type="dxa"/>
            <w:vAlign w:val="bottom"/>
          </w:tcPr>
          <w:p>
            <w:pPr>
              <w:ind w:left="20"/>
              <w:spacing w:after="0"/>
              <w:rPr>
                <w:sz w:val="20"/>
                <w:szCs w:val="20"/>
                <w:color w:val="auto"/>
              </w:rPr>
            </w:pPr>
            <w:r>
              <w:rPr>
                <w:rFonts w:ascii="Arial" w:cs="Arial" w:eastAsia="Arial" w:hAnsi="Arial"/>
                <w:sz w:val="16"/>
                <w:szCs w:val="16"/>
                <w:color w:val="auto"/>
              </w:rPr>
              <w:t>Payment of receivables securitization facility</w:t>
            </w:r>
          </w:p>
        </w:tc>
        <w:tc>
          <w:tcPr>
            <w:tcW w:w="6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00539B"/>
              </w:rPr>
              <w:t>—</w:t>
            </w:r>
          </w:p>
        </w:tc>
        <w:tc>
          <w:tcPr>
            <w:tcW w:w="6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(400)</w:t>
            </w:r>
          </w:p>
        </w:tc>
        <w:tc>
          <w:tcPr>
            <w:tcW w:w="0" w:type="dxa"/>
            <w:vAlign w:val="bottom"/>
          </w:tcPr>
          <w:p>
            <w:pPr>
              <w:spacing w:after="0"/>
              <w:rPr>
                <w:sz w:val="1"/>
                <w:szCs w:val="1"/>
                <w:color w:val="auto"/>
              </w:rPr>
            </w:pPr>
          </w:p>
        </w:tc>
      </w:tr>
      <w:tr>
        <w:trPr>
          <w:trHeight w:val="213"/>
        </w:trPr>
        <w:tc>
          <w:tcPr>
            <w:tcW w:w="7840" w:type="dxa"/>
            <w:vAlign w:val="bottom"/>
          </w:tcPr>
          <w:p>
            <w:pPr>
              <w:ind w:left="20"/>
              <w:spacing w:after="0"/>
              <w:rPr>
                <w:sz w:val="20"/>
                <w:szCs w:val="20"/>
                <w:color w:val="auto"/>
              </w:rPr>
            </w:pPr>
            <w:r>
              <w:rPr>
                <w:rFonts w:ascii="Arial" w:cs="Arial" w:eastAsia="Arial" w:hAnsi="Arial"/>
                <w:sz w:val="16"/>
                <w:szCs w:val="16"/>
                <w:color w:val="auto"/>
              </w:rPr>
              <w:t>Payments of long-term debt, net</w:t>
            </w:r>
          </w:p>
        </w:tc>
        <w:tc>
          <w:tcPr>
            <w:tcW w:w="6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00539B"/>
              </w:rPr>
              <w:t>(22)</w:t>
            </w:r>
          </w:p>
        </w:tc>
        <w:tc>
          <w:tcPr>
            <w:tcW w:w="6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(7,108)</w:t>
            </w:r>
          </w:p>
        </w:tc>
        <w:tc>
          <w:tcPr>
            <w:tcW w:w="0" w:type="dxa"/>
            <w:vAlign w:val="bottom"/>
          </w:tcPr>
          <w:p>
            <w:pPr>
              <w:spacing w:after="0"/>
              <w:rPr>
                <w:sz w:val="1"/>
                <w:szCs w:val="1"/>
                <w:color w:val="auto"/>
              </w:rPr>
            </w:pPr>
          </w:p>
        </w:tc>
      </w:tr>
      <w:tr>
        <w:trPr>
          <w:trHeight w:val="213"/>
        </w:trPr>
        <w:tc>
          <w:tcPr>
            <w:tcW w:w="7840" w:type="dxa"/>
            <w:vAlign w:val="bottom"/>
          </w:tcPr>
          <w:p>
            <w:pPr>
              <w:ind w:left="20"/>
              <w:spacing w:after="0"/>
              <w:rPr>
                <w:sz w:val="20"/>
                <w:szCs w:val="20"/>
                <w:color w:val="auto"/>
              </w:rPr>
            </w:pPr>
            <w:r>
              <w:rPr>
                <w:rFonts w:ascii="Arial" w:cs="Arial" w:eastAsia="Arial" w:hAnsi="Arial"/>
                <w:sz w:val="16"/>
                <w:szCs w:val="16"/>
                <w:color w:val="auto"/>
              </w:rPr>
              <w:t>Proceeds from issuance of common stock</w:t>
            </w:r>
          </w:p>
        </w:tc>
        <w:tc>
          <w:tcPr>
            <w:tcW w:w="6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00539B"/>
              </w:rPr>
              <w:t>37</w:t>
            </w:r>
          </w:p>
        </w:tc>
        <w:tc>
          <w:tcPr>
            <w:tcW w:w="6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117</w:t>
            </w:r>
          </w:p>
        </w:tc>
        <w:tc>
          <w:tcPr>
            <w:tcW w:w="0" w:type="dxa"/>
            <w:vAlign w:val="bottom"/>
          </w:tcPr>
          <w:p>
            <w:pPr>
              <w:spacing w:after="0"/>
              <w:rPr>
                <w:sz w:val="1"/>
                <w:szCs w:val="1"/>
                <w:color w:val="auto"/>
              </w:rPr>
            </w:pPr>
          </w:p>
        </w:tc>
      </w:tr>
      <w:tr>
        <w:trPr>
          <w:trHeight w:val="213"/>
        </w:trPr>
        <w:tc>
          <w:tcPr>
            <w:tcW w:w="7840" w:type="dxa"/>
            <w:vAlign w:val="bottom"/>
          </w:tcPr>
          <w:p>
            <w:pPr>
              <w:ind w:left="20"/>
              <w:spacing w:after="0"/>
              <w:rPr>
                <w:sz w:val="20"/>
                <w:szCs w:val="20"/>
                <w:color w:val="auto"/>
              </w:rPr>
            </w:pPr>
            <w:r>
              <w:rPr>
                <w:rFonts w:ascii="Arial" w:cs="Arial" w:eastAsia="Arial" w:hAnsi="Arial"/>
                <w:sz w:val="16"/>
                <w:szCs w:val="16"/>
                <w:color w:val="auto"/>
              </w:rPr>
              <w:t>Redemption of preferred stock</w:t>
            </w:r>
          </w:p>
        </w:tc>
        <w:tc>
          <w:tcPr>
            <w:tcW w:w="6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00539B"/>
              </w:rPr>
              <w:t>(982)</w:t>
            </w:r>
          </w:p>
        </w:tc>
        <w:tc>
          <w:tcPr>
            <w:tcW w:w="6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840" w:type="dxa"/>
            <w:vAlign w:val="bottom"/>
          </w:tcPr>
          <w:p>
            <w:pPr>
              <w:ind w:left="20"/>
              <w:spacing w:after="0"/>
              <w:rPr>
                <w:sz w:val="20"/>
                <w:szCs w:val="20"/>
                <w:color w:val="auto"/>
              </w:rPr>
            </w:pPr>
            <w:r>
              <w:rPr>
                <w:rFonts w:ascii="Arial" w:cs="Arial" w:eastAsia="Arial" w:hAnsi="Arial"/>
                <w:sz w:val="16"/>
                <w:szCs w:val="16"/>
                <w:color w:val="auto"/>
              </w:rPr>
              <w:t>Purchases of treasury stock</w:t>
            </w:r>
          </w:p>
        </w:tc>
        <w:tc>
          <w:tcPr>
            <w:tcW w:w="6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00539B"/>
              </w:rPr>
              <w:t>(1,177)</w:t>
            </w:r>
          </w:p>
        </w:tc>
        <w:tc>
          <w:tcPr>
            <w:tcW w:w="6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(568)</w:t>
            </w:r>
          </w:p>
        </w:tc>
        <w:tc>
          <w:tcPr>
            <w:tcW w:w="0" w:type="dxa"/>
            <w:vAlign w:val="bottom"/>
          </w:tcPr>
          <w:p>
            <w:pPr>
              <w:spacing w:after="0"/>
              <w:rPr>
                <w:sz w:val="1"/>
                <w:szCs w:val="1"/>
                <w:color w:val="auto"/>
              </w:rPr>
            </w:pPr>
          </w:p>
        </w:tc>
      </w:tr>
      <w:tr>
        <w:trPr>
          <w:trHeight w:val="213"/>
        </w:trPr>
        <w:tc>
          <w:tcPr>
            <w:tcW w:w="7840" w:type="dxa"/>
            <w:vAlign w:val="bottom"/>
          </w:tcPr>
          <w:p>
            <w:pPr>
              <w:ind w:left="20"/>
              <w:spacing w:after="0"/>
              <w:rPr>
                <w:sz w:val="20"/>
                <w:szCs w:val="20"/>
                <w:color w:val="auto"/>
              </w:rPr>
            </w:pPr>
            <w:r>
              <w:rPr>
                <w:rFonts w:ascii="Arial" w:cs="Arial" w:eastAsia="Arial" w:hAnsi="Arial"/>
                <w:sz w:val="16"/>
                <w:szCs w:val="16"/>
                <w:color w:val="auto"/>
              </w:rPr>
              <w:t>Cash dividends paid on common and preferred stock</w:t>
            </w:r>
          </w:p>
        </w:tc>
        <w:tc>
          <w:tcPr>
            <w:tcW w:w="6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00539B"/>
              </w:rPr>
              <w:t>(688)</w:t>
            </w:r>
          </w:p>
        </w:tc>
        <w:tc>
          <w:tcPr>
            <w:tcW w:w="6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(539)</w:t>
            </w:r>
          </w:p>
        </w:tc>
        <w:tc>
          <w:tcPr>
            <w:tcW w:w="0" w:type="dxa"/>
            <w:vAlign w:val="bottom"/>
          </w:tcPr>
          <w:p>
            <w:pPr>
              <w:spacing w:after="0"/>
              <w:rPr>
                <w:sz w:val="1"/>
                <w:szCs w:val="1"/>
                <w:color w:val="auto"/>
              </w:rPr>
            </w:pPr>
          </w:p>
        </w:tc>
      </w:tr>
      <w:tr>
        <w:trPr>
          <w:trHeight w:val="213"/>
        </w:trPr>
        <w:tc>
          <w:tcPr>
            <w:tcW w:w="7840" w:type="dxa"/>
            <w:vAlign w:val="bottom"/>
          </w:tcPr>
          <w:p>
            <w:pPr>
              <w:ind w:left="20"/>
              <w:spacing w:after="0"/>
              <w:rPr>
                <w:sz w:val="20"/>
                <w:szCs w:val="20"/>
                <w:color w:val="auto"/>
              </w:rPr>
            </w:pPr>
            <w:r>
              <w:rPr>
                <w:rFonts w:ascii="Arial" w:cs="Arial" w:eastAsia="Arial" w:hAnsi="Arial"/>
                <w:sz w:val="16"/>
                <w:szCs w:val="16"/>
                <w:color w:val="auto"/>
              </w:rPr>
              <w:t>Financing portion of net cash received for derivative instruments</w:t>
            </w:r>
          </w:p>
        </w:tc>
        <w:tc>
          <w:tcPr>
            <w:tcW w:w="6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00539B"/>
              </w:rPr>
              <w:t>—</w:t>
            </w:r>
          </w:p>
        </w:tc>
        <w:tc>
          <w:tcPr>
            <w:tcW w:w="6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140</w:t>
            </w:r>
          </w:p>
        </w:tc>
        <w:tc>
          <w:tcPr>
            <w:tcW w:w="0" w:type="dxa"/>
            <w:vAlign w:val="bottom"/>
          </w:tcPr>
          <w:p>
            <w:pPr>
              <w:spacing w:after="0"/>
              <w:rPr>
                <w:sz w:val="1"/>
                <w:szCs w:val="1"/>
                <w:color w:val="auto"/>
              </w:rPr>
            </w:pPr>
          </w:p>
        </w:tc>
      </w:tr>
      <w:tr>
        <w:trPr>
          <w:trHeight w:val="218"/>
        </w:trPr>
        <w:tc>
          <w:tcPr>
            <w:tcW w:w="78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 financing, net</w:t>
            </w:r>
          </w:p>
        </w:tc>
        <w:tc>
          <w:tcPr>
            <w:tcW w:w="6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00539B"/>
              </w:rPr>
              <w:t>(64)</w:t>
            </w:r>
          </w:p>
        </w:tc>
        <w:tc>
          <w:tcPr>
            <w:tcW w:w="6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207"/>
        </w:trPr>
        <w:tc>
          <w:tcPr>
            <w:tcW w:w="7840" w:type="dxa"/>
            <w:vAlign w:val="bottom"/>
            <w:tcBorders>
              <w:bottom w:val="single" w:sz="8" w:color="auto"/>
            </w:tcBorders>
          </w:tcPr>
          <w:p>
            <w:pPr>
              <w:ind w:left="340"/>
              <w:spacing w:after="0"/>
              <w:rPr>
                <w:sz w:val="20"/>
                <w:szCs w:val="20"/>
                <w:color w:val="auto"/>
              </w:rPr>
            </w:pPr>
            <w:r>
              <w:rPr>
                <w:rFonts w:ascii="Arial" w:cs="Arial" w:eastAsia="Arial" w:hAnsi="Arial"/>
                <w:sz w:val="16"/>
                <w:szCs w:val="16"/>
                <w:b w:val="1"/>
                <w:bCs w:val="1"/>
                <w:color w:val="auto"/>
              </w:rPr>
              <w:t>Net cash used by financing activities</w:t>
            </w:r>
          </w:p>
        </w:tc>
        <w:tc>
          <w:tcPr>
            <w:tcW w:w="6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00539B"/>
              </w:rPr>
              <w:t>(2,896)</w:t>
            </w:r>
          </w:p>
        </w:tc>
        <w:tc>
          <w:tcPr>
            <w:tcW w:w="6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(8,015)</w:t>
            </w:r>
          </w:p>
        </w:tc>
        <w:tc>
          <w:tcPr>
            <w:tcW w:w="0" w:type="dxa"/>
            <w:vAlign w:val="bottom"/>
          </w:tcPr>
          <w:p>
            <w:pPr>
              <w:spacing w:after="0"/>
              <w:rPr>
                <w:sz w:val="1"/>
                <w:szCs w:val="1"/>
                <w:color w:val="auto"/>
              </w:rPr>
            </w:pPr>
          </w:p>
        </w:tc>
      </w:tr>
      <w:tr>
        <w:trPr>
          <w:trHeight w:val="87"/>
        </w:trPr>
        <w:tc>
          <w:tcPr>
            <w:tcW w:w="784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7"/>
        </w:trPr>
        <w:tc>
          <w:tcPr>
            <w:tcW w:w="78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Decrease in cash, cash equivalents, restricted cash and restricted cash equivalents</w:t>
            </w:r>
          </w:p>
        </w:tc>
        <w:tc>
          <w:tcPr>
            <w:tcW w:w="6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00539B"/>
              </w:rPr>
              <w:t>(493)</w:t>
            </w:r>
          </w:p>
        </w:tc>
        <w:tc>
          <w:tcPr>
            <w:tcW w:w="6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(1,402)</w:t>
            </w:r>
          </w:p>
        </w:tc>
        <w:tc>
          <w:tcPr>
            <w:tcW w:w="0" w:type="dxa"/>
            <w:vAlign w:val="bottom"/>
          </w:tcPr>
          <w:p>
            <w:pPr>
              <w:spacing w:after="0"/>
              <w:rPr>
                <w:sz w:val="1"/>
                <w:szCs w:val="1"/>
                <w:color w:val="auto"/>
              </w:rPr>
            </w:pPr>
          </w:p>
        </w:tc>
      </w:tr>
      <w:tr>
        <w:trPr>
          <w:trHeight w:val="207"/>
        </w:trPr>
        <w:tc>
          <w:tcPr>
            <w:tcW w:w="78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Cash, cash equivalents, restricted cash and restricted cash equivalents — beginning of period</w:t>
            </w:r>
          </w:p>
        </w:tc>
        <w:tc>
          <w:tcPr>
            <w:tcW w:w="6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00539B"/>
              </w:rPr>
              <w:t>1,026</w:t>
            </w:r>
          </w:p>
        </w:tc>
        <w:tc>
          <w:tcPr>
            <w:tcW w:w="6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2,803</w:t>
            </w:r>
          </w:p>
        </w:tc>
        <w:tc>
          <w:tcPr>
            <w:tcW w:w="0" w:type="dxa"/>
            <w:vAlign w:val="bottom"/>
          </w:tcPr>
          <w:p>
            <w:pPr>
              <w:spacing w:after="0"/>
              <w:rPr>
                <w:sz w:val="1"/>
                <w:szCs w:val="1"/>
                <w:color w:val="auto"/>
              </w:rPr>
            </w:pPr>
          </w:p>
        </w:tc>
      </w:tr>
      <w:tr>
        <w:trPr>
          <w:trHeight w:val="207"/>
        </w:trPr>
        <w:tc>
          <w:tcPr>
            <w:tcW w:w="78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Cash, cash equivalents, restricted cash and restricted cash equivalents — end of period</w:t>
            </w:r>
          </w:p>
        </w:tc>
        <w:tc>
          <w:tcPr>
            <w:tcW w:w="640" w:type="dxa"/>
            <w:vAlign w:val="bottom"/>
            <w:tcBorders>
              <w:bottom w:val="single" w:sz="8" w:color="auto"/>
            </w:tcBorders>
          </w:tcPr>
          <w:p>
            <w:pPr>
              <w:jc w:val="right"/>
              <w:ind w:right="460"/>
              <w:spacing w:after="0"/>
              <w:rPr>
                <w:sz w:val="20"/>
                <w:szCs w:val="20"/>
                <w:color w:val="auto"/>
              </w:rPr>
            </w:pPr>
            <w:r>
              <w:rPr>
                <w:rFonts w:ascii="Arial" w:cs="Arial" w:eastAsia="Arial" w:hAnsi="Arial"/>
                <w:sz w:val="16"/>
                <w:szCs w:val="16"/>
                <w:b w:val="1"/>
                <w:bCs w:val="1"/>
                <w:color w:val="00539B"/>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00539B"/>
              </w:rPr>
              <w:t>533</w:t>
            </w:r>
          </w:p>
        </w:tc>
        <w:tc>
          <w:tcPr>
            <w:tcW w:w="640" w:type="dxa"/>
            <w:vAlign w:val="bottom"/>
            <w:tcBorders>
              <w:bottom w:val="single" w:sz="8" w:color="auto"/>
            </w:tcBorders>
          </w:tcPr>
          <w:p>
            <w:pPr>
              <w:jc w:val="right"/>
              <w:ind w:right="460"/>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1,401</w:t>
            </w:r>
          </w:p>
        </w:tc>
        <w:tc>
          <w:tcPr>
            <w:tcW w:w="0" w:type="dxa"/>
            <w:vAlign w:val="bottom"/>
          </w:tcPr>
          <w:p>
            <w:pPr>
              <w:spacing w:after="0"/>
              <w:rPr>
                <w:sz w:val="1"/>
                <w:szCs w:val="1"/>
                <w:color w:val="auto"/>
              </w:rPr>
            </w:pPr>
          </w:p>
        </w:tc>
      </w:tr>
    </w:tbl>
    <w:p>
      <w:pPr>
        <w:spacing w:after="0" w:line="97" w:lineRule="exact"/>
        <w:rPr>
          <w:sz w:val="20"/>
          <w:szCs w:val="20"/>
          <w:color w:val="auto"/>
        </w:rPr>
      </w:pPr>
    </w:p>
    <w:p>
      <w:pPr>
        <w:ind w:left="20"/>
        <w:spacing w:after="0"/>
        <w:rPr>
          <w:sz w:val="20"/>
          <w:szCs w:val="20"/>
          <w:color w:val="auto"/>
        </w:rPr>
      </w:pPr>
      <w:r>
        <w:rPr>
          <w:rFonts w:ascii="Arial" w:cs="Arial" w:eastAsia="Arial" w:hAnsi="Arial"/>
          <w:sz w:val="16"/>
          <w:szCs w:val="16"/>
          <w:color w:val="auto"/>
        </w:rPr>
        <w:t>The accompanying notes are an integral part of these Consolidated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715962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8" w:right="339" w:bottom="1440" w:gutter="0" w:footer="0" w:header="0"/>
          <w:type w:val="continuous"/>
        </w:sectPr>
      </w:pPr>
    </w:p>
    <w:bookmarkStart w:id="8" w:name="page9"/>
    <w:bookmarkEnd w:id="8"/>
    <w:p>
      <w:pPr>
        <w:ind w:left="20"/>
        <w:spacing w:after="0"/>
        <w:rPr>
          <w:sz w:val="20"/>
          <w:szCs w:val="20"/>
          <w:color w:val="auto"/>
        </w:rPr>
      </w:pPr>
      <w:r>
        <w:rPr>
          <w:rFonts w:ascii="Arial" w:cs="Arial" w:eastAsia="Arial" w:hAnsi="Arial"/>
          <w:sz w:val="24"/>
          <w:szCs w:val="24"/>
          <w:b w:val="1"/>
          <w:bCs w:val="1"/>
          <w:color w:val="00539B"/>
        </w:rPr>
        <w:t>Consolidated Condensed Statements of Equity</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jc w:val="right"/>
        <w:ind w:right="20"/>
        <w:spacing w:after="0" w:line="238" w:lineRule="auto"/>
        <w:rPr>
          <w:sz w:val="20"/>
          <w:szCs w:val="20"/>
          <w:color w:val="auto"/>
        </w:rPr>
      </w:pPr>
      <w:r>
        <w:rPr>
          <w:rFonts w:ascii="Arial" w:cs="Arial" w:eastAsia="Arial" w:hAnsi="Arial"/>
          <w:sz w:val="17"/>
          <w:szCs w:val="17"/>
          <w:color w:val="auto"/>
        </w:rPr>
        <w:t>Occidental Petroleum Corporation and Subsidiaries</w:t>
      </w:r>
    </w:p>
    <w:p>
      <w:pPr>
        <w:spacing w:after="0" w:line="104" w:lineRule="exact"/>
        <w:rPr>
          <w:sz w:val="20"/>
          <w:szCs w:val="20"/>
          <w:color w:val="auto"/>
        </w:rPr>
      </w:pPr>
    </w:p>
    <w:p>
      <w:pPr>
        <w:sectPr>
          <w:pgSz w:w="11900" w:h="16838" w:orient="portrait"/>
          <w:cols w:equalWidth="0" w:num="2">
            <w:col w:w="7640" w:space="720"/>
            <w:col w:w="2880"/>
          </w:cols>
          <w:pgMar w:left="320" w:top="1098" w:right="339" w:bottom="1440" w:gutter="0" w:footer="0" w:header="0"/>
        </w:sectPr>
      </w:pPr>
    </w:p>
    <w:tbl>
      <w:tblPr>
        <w:tblLayout w:type="fixed"/>
        <w:tblInd w:w="0" w:type="dxa"/>
        <w:tblCellMar>
          <w:top w:w="0" w:type="dxa"/>
          <w:left w:w="0" w:type="dxa"/>
          <w:bottom w:w="0" w:type="dxa"/>
          <w:right w:w="0" w:type="dxa"/>
        </w:tblCellMar>
      </w:tblPr>
      <w:tr>
        <w:trPr>
          <w:trHeight w:val="213"/>
        </w:trPr>
        <w:tc>
          <w:tcPr>
            <w:tcW w:w="3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2920" w:type="dxa"/>
            <w:vAlign w:val="bottom"/>
            <w:tcBorders>
              <w:top w:val="single" w:sz="8" w:color="auto"/>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Equity Attributable to Common Stock</w:t>
            </w:r>
          </w:p>
        </w:tc>
        <w:tc>
          <w:tcPr>
            <w:tcW w:w="10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1"/>
        </w:trPr>
        <w:tc>
          <w:tcPr>
            <w:tcW w:w="3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Preferred</w:t>
            </w:r>
          </w:p>
        </w:tc>
        <w:tc>
          <w:tcPr>
            <w:tcW w:w="20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Common</w:t>
            </w:r>
          </w:p>
        </w:tc>
        <w:tc>
          <w:tcPr>
            <w:tcW w:w="20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Treasury</w:t>
            </w:r>
          </w:p>
        </w:tc>
        <w:tc>
          <w:tcPr>
            <w:tcW w:w="22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Additional</w:t>
            </w:r>
          </w:p>
        </w:tc>
        <w:tc>
          <w:tcPr>
            <w:tcW w:w="30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Retained</w:t>
            </w:r>
          </w:p>
        </w:tc>
        <w:tc>
          <w:tcPr>
            <w:tcW w:w="100" w:type="dxa"/>
            <w:vAlign w:val="bottom"/>
          </w:tcPr>
          <w:p>
            <w:pPr>
              <w:spacing w:after="0"/>
              <w:rPr>
                <w:sz w:val="12"/>
                <w:szCs w:val="12"/>
                <w:color w:val="auto"/>
              </w:rPr>
            </w:pPr>
          </w:p>
        </w:tc>
        <w:tc>
          <w:tcPr>
            <w:tcW w:w="1340" w:type="dxa"/>
            <w:vAlign w:val="bottom"/>
          </w:tcPr>
          <w:p>
            <w:pPr>
              <w:jc w:val="right"/>
              <w:spacing w:after="0" w:line="141" w:lineRule="exact"/>
              <w:rPr>
                <w:sz w:val="20"/>
                <w:szCs w:val="20"/>
                <w:color w:val="auto"/>
              </w:rPr>
            </w:pPr>
            <w:r>
              <w:rPr>
                <w:rFonts w:ascii="Arial" w:cs="Arial" w:eastAsia="Arial" w:hAnsi="Arial"/>
                <w:sz w:val="14"/>
                <w:szCs w:val="14"/>
                <w:b w:val="1"/>
                <w:bCs w:val="1"/>
                <w:color w:val="auto"/>
              </w:rPr>
              <w:t>Accumulated Other</w:t>
            </w: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328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millions, except per-share amounts</w:t>
            </w:r>
          </w:p>
        </w:tc>
        <w:tc>
          <w:tcPr>
            <w:tcW w:w="86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tcPr>
          <w:p>
            <w:pPr>
              <w:jc w:val="right"/>
              <w:spacing w:after="0" w:line="133" w:lineRule="exact"/>
              <w:rPr>
                <w:sz w:val="20"/>
                <w:szCs w:val="20"/>
                <w:color w:val="auto"/>
              </w:rPr>
            </w:pPr>
            <w:r>
              <w:rPr>
                <w:rFonts w:ascii="Arial" w:cs="Arial" w:eastAsia="Arial" w:hAnsi="Arial"/>
                <w:sz w:val="14"/>
                <w:szCs w:val="14"/>
                <w:b w:val="1"/>
                <w:bCs w:val="1"/>
                <w:color w:val="auto"/>
              </w:rPr>
              <w:t>Comprehensive</w:t>
            </w:r>
          </w:p>
        </w:tc>
        <w:tc>
          <w:tcPr>
            <w:tcW w:w="9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Total Equity</w:t>
            </w:r>
          </w:p>
        </w:tc>
        <w:tc>
          <w:tcPr>
            <w:tcW w:w="0" w:type="dxa"/>
            <w:vAlign w:val="bottom"/>
          </w:tcPr>
          <w:p>
            <w:pPr>
              <w:spacing w:after="0"/>
              <w:rPr>
                <w:sz w:val="1"/>
                <w:szCs w:val="1"/>
                <w:color w:val="auto"/>
              </w:rPr>
            </w:pPr>
          </w:p>
        </w:tc>
      </w:tr>
      <w:tr>
        <w:trPr>
          <w:trHeight w:val="199"/>
        </w:trPr>
        <w:tc>
          <w:tcPr>
            <w:tcW w:w="3280" w:type="dxa"/>
            <w:vAlign w:val="bottom"/>
            <w:tcBorders>
              <w:bottom w:val="single" w:sz="8" w:color="auto"/>
            </w:tcBorders>
            <w:vMerge w:val="continue"/>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Stock</w:t>
            </w: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Stock</w:t>
            </w: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Stock</w:t>
            </w: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Paid-in Capital</w:t>
            </w:r>
          </w:p>
        </w:tc>
        <w:tc>
          <w:tcPr>
            <w:tcW w:w="3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Earnings</w:t>
            </w:r>
          </w:p>
        </w:tc>
        <w:tc>
          <w:tcPr>
            <w:tcW w:w="1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Income (Loss)</w:t>
            </w:r>
          </w:p>
        </w:tc>
        <w:tc>
          <w:tcPr>
            <w:tcW w:w="900" w:type="dxa"/>
            <w:vAlign w:val="bottom"/>
            <w:tcBorders>
              <w:bottom w:val="single" w:sz="8" w:color="auto"/>
            </w:tcBorders>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280" w:type="dxa"/>
            <w:vAlign w:val="bottom"/>
          </w:tcPr>
          <w:p>
            <w:pPr>
              <w:ind w:left="20"/>
              <w:spacing w:after="0"/>
              <w:rPr>
                <w:sz w:val="20"/>
                <w:szCs w:val="20"/>
                <w:color w:val="auto"/>
              </w:rPr>
            </w:pPr>
            <w:r>
              <w:rPr>
                <w:rFonts w:ascii="Arial" w:cs="Arial" w:eastAsia="Arial" w:hAnsi="Arial"/>
                <w:sz w:val="14"/>
                <w:szCs w:val="14"/>
                <w:b w:val="1"/>
                <w:bCs w:val="1"/>
                <w:color w:val="auto"/>
              </w:rPr>
              <w:t>Balance as of March 31, 2022</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9,762</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217</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(10,709)</w:t>
            </w:r>
          </w:p>
        </w:tc>
        <w:tc>
          <w:tcPr>
            <w:tcW w:w="220" w:type="dxa"/>
            <w:vAlign w:val="bottom"/>
          </w:tcPr>
          <w:p>
            <w:pPr>
              <w:ind w:left="2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16,785</w:t>
            </w:r>
          </w:p>
        </w:tc>
        <w:tc>
          <w:tcPr>
            <w:tcW w:w="300" w:type="dxa"/>
            <w:vAlign w:val="bottom"/>
          </w:tcPr>
          <w:p>
            <w:pPr>
              <w:ind w:left="2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9,032</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(180)</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24,907</w:t>
            </w:r>
          </w:p>
        </w:tc>
        <w:tc>
          <w:tcPr>
            <w:tcW w:w="0" w:type="dxa"/>
            <w:vAlign w:val="bottom"/>
          </w:tcPr>
          <w:p>
            <w:pPr>
              <w:spacing w:after="0"/>
              <w:rPr>
                <w:sz w:val="1"/>
                <w:szCs w:val="1"/>
                <w:color w:val="auto"/>
              </w:rPr>
            </w:pPr>
          </w:p>
        </w:tc>
      </w:tr>
      <w:tr>
        <w:trPr>
          <w:trHeight w:val="181"/>
        </w:trPr>
        <w:tc>
          <w:tcPr>
            <w:tcW w:w="3280" w:type="dxa"/>
            <w:vAlign w:val="bottom"/>
          </w:tcPr>
          <w:p>
            <w:pPr>
              <w:ind w:left="340"/>
              <w:spacing w:after="0"/>
              <w:rPr>
                <w:sz w:val="20"/>
                <w:szCs w:val="20"/>
                <w:color w:val="auto"/>
              </w:rPr>
            </w:pPr>
            <w:r>
              <w:rPr>
                <w:rFonts w:ascii="Arial" w:cs="Arial" w:eastAsia="Arial" w:hAnsi="Arial"/>
                <w:sz w:val="14"/>
                <w:szCs w:val="14"/>
                <w:color w:val="auto"/>
              </w:rPr>
              <w:t>Net income</w:t>
            </w:r>
          </w:p>
        </w:tc>
        <w:tc>
          <w:tcPr>
            <w:tcW w:w="8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3,755</w:t>
            </w:r>
          </w:p>
        </w:tc>
        <w:tc>
          <w:tcPr>
            <w:tcW w:w="1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3,755</w:t>
            </w:r>
          </w:p>
        </w:tc>
        <w:tc>
          <w:tcPr>
            <w:tcW w:w="0" w:type="dxa"/>
            <w:vAlign w:val="bottom"/>
          </w:tcPr>
          <w:p>
            <w:pPr>
              <w:spacing w:after="0"/>
              <w:rPr>
                <w:sz w:val="1"/>
                <w:szCs w:val="1"/>
                <w:color w:val="auto"/>
              </w:rPr>
            </w:pPr>
          </w:p>
        </w:tc>
      </w:tr>
      <w:tr>
        <w:trPr>
          <w:trHeight w:val="166"/>
        </w:trPr>
        <w:tc>
          <w:tcPr>
            <w:tcW w:w="3280" w:type="dxa"/>
            <w:vAlign w:val="bottom"/>
          </w:tcPr>
          <w:p>
            <w:pPr>
              <w:ind w:left="340"/>
              <w:spacing w:after="0"/>
              <w:rPr>
                <w:sz w:val="20"/>
                <w:szCs w:val="20"/>
                <w:color w:val="auto"/>
              </w:rPr>
            </w:pPr>
            <w:r>
              <w:rPr>
                <w:rFonts w:ascii="Arial" w:cs="Arial" w:eastAsia="Arial" w:hAnsi="Arial"/>
                <w:sz w:val="14"/>
                <w:szCs w:val="14"/>
                <w:color w:val="auto"/>
              </w:rPr>
              <w:t>Other comprehensive income, net</w:t>
            </w:r>
          </w:p>
        </w:tc>
        <w:tc>
          <w:tcPr>
            <w:tcW w:w="8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3280" w:type="dxa"/>
            <w:vAlign w:val="bottom"/>
          </w:tcPr>
          <w:p>
            <w:pPr>
              <w:ind w:left="340"/>
              <w:spacing w:after="0"/>
              <w:rPr>
                <w:sz w:val="20"/>
                <w:szCs w:val="20"/>
                <w:color w:val="auto"/>
              </w:rPr>
            </w:pPr>
            <w:r>
              <w:rPr>
                <w:rFonts w:ascii="Arial" w:cs="Arial" w:eastAsia="Arial" w:hAnsi="Arial"/>
                <w:sz w:val="14"/>
                <w:szCs w:val="14"/>
                <w:color w:val="auto"/>
              </w:rPr>
              <w:t>of tax</w:t>
            </w:r>
          </w:p>
        </w:tc>
        <w:tc>
          <w:tcPr>
            <w:tcW w:w="8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45</w:t>
            </w:r>
          </w:p>
        </w:tc>
        <w:tc>
          <w:tcPr>
            <w:tcW w:w="2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153"/>
        </w:trPr>
        <w:tc>
          <w:tcPr>
            <w:tcW w:w="3280" w:type="dxa"/>
            <w:vAlign w:val="bottom"/>
          </w:tcPr>
          <w:p>
            <w:pPr>
              <w:ind w:left="340"/>
              <w:spacing w:after="0" w:line="153" w:lineRule="exact"/>
              <w:rPr>
                <w:sz w:val="20"/>
                <w:szCs w:val="20"/>
                <w:color w:val="auto"/>
              </w:rPr>
            </w:pPr>
            <w:r>
              <w:rPr>
                <w:rFonts w:ascii="Arial" w:cs="Arial" w:eastAsia="Arial" w:hAnsi="Arial"/>
                <w:sz w:val="14"/>
                <w:szCs w:val="14"/>
                <w:color w:val="auto"/>
              </w:rPr>
              <w:t>Dividends on common stock,</w:t>
            </w:r>
          </w:p>
        </w:tc>
        <w:tc>
          <w:tcPr>
            <w:tcW w:w="8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3280" w:type="dxa"/>
            <w:vAlign w:val="bottom"/>
          </w:tcPr>
          <w:p>
            <w:pPr>
              <w:ind w:left="420"/>
              <w:spacing w:after="0"/>
              <w:rPr>
                <w:sz w:val="20"/>
                <w:szCs w:val="20"/>
                <w:color w:val="auto"/>
              </w:rPr>
            </w:pPr>
            <w:r>
              <w:rPr>
                <w:rFonts w:ascii="Arial" w:cs="Arial" w:eastAsia="Arial" w:hAnsi="Arial"/>
                <w:sz w:val="14"/>
                <w:szCs w:val="14"/>
                <w:color w:val="auto"/>
              </w:rPr>
              <w:t>$0.13 per share</w:t>
            </w:r>
          </w:p>
        </w:tc>
        <w:tc>
          <w:tcPr>
            <w:tcW w:w="8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(125)</w:t>
            </w:r>
          </w:p>
        </w:tc>
        <w:tc>
          <w:tcPr>
            <w:tcW w:w="1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(125)</w:t>
            </w:r>
          </w:p>
        </w:tc>
        <w:tc>
          <w:tcPr>
            <w:tcW w:w="0" w:type="dxa"/>
            <w:vAlign w:val="bottom"/>
          </w:tcPr>
          <w:p>
            <w:pPr>
              <w:spacing w:after="0"/>
              <w:rPr>
                <w:sz w:val="1"/>
                <w:szCs w:val="1"/>
                <w:color w:val="auto"/>
              </w:rPr>
            </w:pPr>
          </w:p>
        </w:tc>
      </w:tr>
      <w:tr>
        <w:trPr>
          <w:trHeight w:val="158"/>
        </w:trPr>
        <w:tc>
          <w:tcPr>
            <w:tcW w:w="3280" w:type="dxa"/>
            <w:vAlign w:val="bottom"/>
          </w:tcPr>
          <w:p>
            <w:pPr>
              <w:ind w:left="340"/>
              <w:spacing w:after="0" w:line="158" w:lineRule="exact"/>
              <w:rPr>
                <w:sz w:val="20"/>
                <w:szCs w:val="20"/>
                <w:color w:val="auto"/>
              </w:rPr>
            </w:pPr>
            <w:r>
              <w:rPr>
                <w:rFonts w:ascii="Arial" w:cs="Arial" w:eastAsia="Arial" w:hAnsi="Arial"/>
                <w:sz w:val="14"/>
                <w:szCs w:val="14"/>
                <w:color w:val="auto"/>
              </w:rPr>
              <w:t>Dividends on preferred stock,</w:t>
            </w:r>
          </w:p>
        </w:tc>
        <w:tc>
          <w:tcPr>
            <w:tcW w:w="86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70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(200)</w:t>
            </w:r>
          </w:p>
        </w:tc>
        <w:tc>
          <w:tcPr>
            <w:tcW w:w="100" w:type="dxa"/>
            <w:vAlign w:val="bottom"/>
          </w:tcPr>
          <w:p>
            <w:pPr>
              <w:spacing w:after="0"/>
              <w:rPr>
                <w:sz w:val="13"/>
                <w:szCs w:val="13"/>
                <w:color w:val="auto"/>
              </w:rPr>
            </w:pPr>
          </w:p>
        </w:tc>
        <w:tc>
          <w:tcPr>
            <w:tcW w:w="13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(200)</w:t>
            </w:r>
          </w:p>
        </w:tc>
        <w:tc>
          <w:tcPr>
            <w:tcW w:w="0" w:type="dxa"/>
            <w:vAlign w:val="bottom"/>
          </w:tcPr>
          <w:p>
            <w:pPr>
              <w:spacing w:after="0"/>
              <w:rPr>
                <w:sz w:val="1"/>
                <w:szCs w:val="1"/>
                <w:color w:val="auto"/>
              </w:rPr>
            </w:pPr>
          </w:p>
        </w:tc>
      </w:tr>
      <w:tr>
        <w:trPr>
          <w:trHeight w:val="181"/>
        </w:trPr>
        <w:tc>
          <w:tcPr>
            <w:tcW w:w="3280" w:type="dxa"/>
            <w:vAlign w:val="bottom"/>
          </w:tcPr>
          <w:p>
            <w:pPr>
              <w:ind w:left="420"/>
              <w:spacing w:after="0"/>
              <w:rPr>
                <w:sz w:val="20"/>
                <w:szCs w:val="20"/>
                <w:color w:val="auto"/>
              </w:rPr>
            </w:pPr>
            <w:r>
              <w:rPr>
                <w:rFonts w:ascii="Arial" w:cs="Arial" w:eastAsia="Arial" w:hAnsi="Arial"/>
                <w:sz w:val="14"/>
                <w:szCs w:val="14"/>
                <w:color w:val="auto"/>
              </w:rPr>
              <w:t>$2,000 per share</w:t>
            </w:r>
          </w:p>
        </w:tc>
        <w:tc>
          <w:tcPr>
            <w:tcW w:w="86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3280" w:type="dxa"/>
            <w:vAlign w:val="bottom"/>
          </w:tcPr>
          <w:p>
            <w:pPr>
              <w:ind w:left="340"/>
              <w:spacing w:after="0"/>
              <w:rPr>
                <w:sz w:val="20"/>
                <w:szCs w:val="20"/>
                <w:color w:val="auto"/>
              </w:rPr>
            </w:pPr>
            <w:r>
              <w:rPr>
                <w:rFonts w:ascii="Arial" w:cs="Arial" w:eastAsia="Arial" w:hAnsi="Arial"/>
                <w:sz w:val="14"/>
                <w:szCs w:val="14"/>
                <w:color w:val="auto"/>
              </w:rPr>
              <w:t>Shareholder warrants exercised</w:t>
            </w:r>
          </w:p>
        </w:tc>
        <w:tc>
          <w:tcPr>
            <w:tcW w:w="8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w:t>
            </w:r>
          </w:p>
        </w:tc>
        <w:tc>
          <w:tcPr>
            <w:tcW w:w="200" w:type="dxa"/>
            <w:vAlign w:val="bottom"/>
          </w:tcPr>
          <w:p>
            <w:pPr>
              <w:spacing w:after="0"/>
              <w:rPr>
                <w:sz w:val="16"/>
                <w:szCs w:val="16"/>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69</w:t>
            </w:r>
          </w:p>
        </w:tc>
        <w:tc>
          <w:tcPr>
            <w:tcW w:w="3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200"/>
        </w:trPr>
        <w:tc>
          <w:tcPr>
            <w:tcW w:w="3280" w:type="dxa"/>
            <w:vAlign w:val="bottom"/>
          </w:tcPr>
          <w:p>
            <w:pPr>
              <w:ind w:left="340"/>
              <w:spacing w:after="0"/>
              <w:rPr>
                <w:sz w:val="20"/>
                <w:szCs w:val="20"/>
                <w:color w:val="auto"/>
              </w:rPr>
            </w:pPr>
            <w:r>
              <w:rPr>
                <w:rFonts w:ascii="Arial" w:cs="Arial" w:eastAsia="Arial" w:hAnsi="Arial"/>
                <w:sz w:val="14"/>
                <w:szCs w:val="14"/>
                <w:color w:val="auto"/>
              </w:rPr>
              <w:t>Options exercised</w:t>
            </w:r>
          </w:p>
        </w:tc>
        <w:tc>
          <w:tcPr>
            <w:tcW w:w="8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10</w:t>
            </w:r>
          </w:p>
        </w:tc>
        <w:tc>
          <w:tcPr>
            <w:tcW w:w="3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53"/>
        </w:trPr>
        <w:tc>
          <w:tcPr>
            <w:tcW w:w="3280" w:type="dxa"/>
            <w:vAlign w:val="bottom"/>
          </w:tcPr>
          <w:p>
            <w:pPr>
              <w:ind w:left="340"/>
              <w:spacing w:after="0" w:line="153" w:lineRule="exact"/>
              <w:rPr>
                <w:sz w:val="20"/>
                <w:szCs w:val="20"/>
                <w:color w:val="auto"/>
              </w:rPr>
            </w:pPr>
            <w:r>
              <w:rPr>
                <w:rFonts w:ascii="Arial" w:cs="Arial" w:eastAsia="Arial" w:hAnsi="Arial"/>
                <w:sz w:val="14"/>
                <w:szCs w:val="14"/>
                <w:color w:val="auto"/>
              </w:rPr>
              <w:t>Issuance of common stock and</w:t>
            </w:r>
          </w:p>
        </w:tc>
        <w:tc>
          <w:tcPr>
            <w:tcW w:w="86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3"/>
                <w:szCs w:val="13"/>
                <w:color w:val="auto"/>
              </w:rPr>
            </w:pPr>
          </w:p>
        </w:tc>
        <w:tc>
          <w:tcPr>
            <w:tcW w:w="720" w:type="dxa"/>
            <w:vAlign w:val="bottom"/>
            <w:vMerge w:val="restart"/>
          </w:tcPr>
          <w:p>
            <w:pPr>
              <w:jc w:val="right"/>
              <w:ind w:right="8"/>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3"/>
                <w:szCs w:val="13"/>
                <w:color w:val="auto"/>
              </w:rPr>
            </w:pPr>
          </w:p>
        </w:tc>
        <w:tc>
          <w:tcPr>
            <w:tcW w:w="700" w:type="dxa"/>
            <w:vAlign w:val="bottom"/>
            <w:vMerge w:val="restart"/>
          </w:tcPr>
          <w:p>
            <w:pPr>
              <w:jc w:val="right"/>
              <w:ind w:right="8"/>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3"/>
                <w:szCs w:val="13"/>
                <w:color w:val="auto"/>
              </w:rPr>
            </w:pPr>
          </w:p>
        </w:tc>
        <w:tc>
          <w:tcPr>
            <w:tcW w:w="860" w:type="dxa"/>
            <w:vAlign w:val="bottom"/>
            <w:vMerge w:val="restart"/>
          </w:tcPr>
          <w:p>
            <w:pPr>
              <w:jc w:val="right"/>
              <w:ind w:right="8"/>
              <w:spacing w:after="0"/>
              <w:rPr>
                <w:sz w:val="20"/>
                <w:szCs w:val="20"/>
                <w:color w:val="auto"/>
              </w:rPr>
            </w:pPr>
            <w:r>
              <w:rPr>
                <w:rFonts w:ascii="Arial" w:cs="Arial" w:eastAsia="Arial" w:hAnsi="Arial"/>
                <w:sz w:val="15"/>
                <w:szCs w:val="15"/>
                <w:color w:val="auto"/>
              </w:rPr>
              <w:t>50</w:t>
            </w:r>
          </w:p>
        </w:tc>
        <w:tc>
          <w:tcPr>
            <w:tcW w:w="300" w:type="dxa"/>
            <w:vAlign w:val="bottom"/>
          </w:tcPr>
          <w:p>
            <w:pPr>
              <w:spacing w:after="0"/>
              <w:rPr>
                <w:sz w:val="13"/>
                <w:szCs w:val="13"/>
                <w:color w:val="auto"/>
              </w:rPr>
            </w:pPr>
          </w:p>
        </w:tc>
        <w:tc>
          <w:tcPr>
            <w:tcW w:w="840" w:type="dxa"/>
            <w:vAlign w:val="bottom"/>
            <w:vMerge w:val="restart"/>
          </w:tcPr>
          <w:p>
            <w:pPr>
              <w:jc w:val="right"/>
              <w:ind w:right="8"/>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3"/>
                <w:szCs w:val="13"/>
                <w:color w:val="auto"/>
              </w:rPr>
            </w:pPr>
          </w:p>
        </w:tc>
        <w:tc>
          <w:tcPr>
            <w:tcW w:w="134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Arial" w:cs="Arial" w:eastAsia="Arial" w:hAnsi="Arial"/>
                <w:sz w:val="15"/>
                <w:szCs w:val="15"/>
                <w:color w:val="auto"/>
              </w:rPr>
              <w:t>50</w:t>
            </w:r>
          </w:p>
        </w:tc>
        <w:tc>
          <w:tcPr>
            <w:tcW w:w="0" w:type="dxa"/>
            <w:vAlign w:val="bottom"/>
          </w:tcPr>
          <w:p>
            <w:pPr>
              <w:spacing w:after="0"/>
              <w:rPr>
                <w:sz w:val="1"/>
                <w:szCs w:val="1"/>
                <w:color w:val="auto"/>
              </w:rPr>
            </w:pPr>
          </w:p>
        </w:tc>
      </w:tr>
      <w:tr>
        <w:trPr>
          <w:trHeight w:val="179"/>
        </w:trPr>
        <w:tc>
          <w:tcPr>
            <w:tcW w:w="3280" w:type="dxa"/>
            <w:vAlign w:val="bottom"/>
          </w:tcPr>
          <w:p>
            <w:pPr>
              <w:ind w:left="420"/>
              <w:spacing w:after="0"/>
              <w:rPr>
                <w:sz w:val="20"/>
                <w:szCs w:val="20"/>
                <w:color w:val="auto"/>
              </w:rPr>
            </w:pPr>
            <w:r>
              <w:rPr>
                <w:rFonts w:ascii="Arial" w:cs="Arial" w:eastAsia="Arial" w:hAnsi="Arial"/>
                <w:sz w:val="14"/>
                <w:szCs w:val="14"/>
                <w:color w:val="auto"/>
              </w:rPr>
              <w:t>other, net of cancellations</w:t>
            </w:r>
          </w:p>
        </w:tc>
        <w:tc>
          <w:tcPr>
            <w:tcW w:w="86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3280" w:type="dxa"/>
            <w:vAlign w:val="bottom"/>
            <w:tcBorders>
              <w:bottom w:val="single" w:sz="8" w:color="auto"/>
            </w:tcBorders>
          </w:tcPr>
          <w:p>
            <w:pPr>
              <w:ind w:left="340"/>
              <w:spacing w:after="0"/>
              <w:rPr>
                <w:sz w:val="20"/>
                <w:szCs w:val="20"/>
                <w:color w:val="auto"/>
              </w:rPr>
            </w:pPr>
            <w:r>
              <w:rPr>
                <w:rFonts w:ascii="Arial" w:cs="Arial" w:eastAsia="Arial" w:hAnsi="Arial"/>
                <w:sz w:val="14"/>
                <w:szCs w:val="14"/>
                <w:color w:val="auto"/>
              </w:rPr>
              <w:t>Purchases of treasury stock</w:t>
            </w:r>
          </w:p>
        </w:tc>
        <w:tc>
          <w:tcPr>
            <w:tcW w:w="8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(682)</w:t>
            </w: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5"/>
                <w:szCs w:val="15"/>
                <w:color w:val="auto"/>
              </w:rPr>
              <w:t>—</w:t>
            </w: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8"/>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(682)</w:t>
            </w:r>
          </w:p>
        </w:tc>
        <w:tc>
          <w:tcPr>
            <w:tcW w:w="0" w:type="dxa"/>
            <w:vAlign w:val="bottom"/>
          </w:tcPr>
          <w:p>
            <w:pPr>
              <w:spacing w:after="0"/>
              <w:rPr>
                <w:sz w:val="1"/>
                <w:szCs w:val="1"/>
                <w:color w:val="auto"/>
              </w:rPr>
            </w:pPr>
          </w:p>
        </w:tc>
      </w:tr>
      <w:tr>
        <w:trPr>
          <w:trHeight w:val="198"/>
        </w:trPr>
        <w:tc>
          <w:tcPr>
            <w:tcW w:w="32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Balance as of June 30, 2022</w:t>
            </w: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5"/>
                <w:szCs w:val="15"/>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9,762</w:t>
            </w: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5"/>
                <w:szCs w:val="15"/>
                <w:color w:val="auto"/>
                <w:w w:val="95"/>
              </w:rPr>
              <w:t>$</w:t>
            </w: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5"/>
                <w:szCs w:val="15"/>
                <w:color w:val="auto"/>
              </w:rPr>
              <w:t>218</w:t>
            </w: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5"/>
                <w:szCs w:val="15"/>
                <w:color w:val="auto"/>
                <w:w w:val="95"/>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(11,391)</w:t>
            </w:r>
          </w:p>
        </w:tc>
        <w:tc>
          <w:tcPr>
            <w:tcW w:w="22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w:t>
            </w: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5"/>
                <w:szCs w:val="15"/>
                <w:color w:val="auto"/>
              </w:rPr>
              <w:t>16,914</w:t>
            </w: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w:t>
            </w:r>
          </w:p>
        </w:tc>
        <w:tc>
          <w:tcPr>
            <w:tcW w:w="840" w:type="dxa"/>
            <w:vAlign w:val="bottom"/>
            <w:tcBorders>
              <w:bottom w:val="single" w:sz="8" w:color="auto"/>
            </w:tcBorders>
          </w:tcPr>
          <w:p>
            <w:pPr>
              <w:jc w:val="right"/>
              <w:ind w:right="8"/>
              <w:spacing w:after="0"/>
              <w:rPr>
                <w:sz w:val="20"/>
                <w:szCs w:val="20"/>
                <w:color w:val="auto"/>
              </w:rPr>
            </w:pPr>
            <w:r>
              <w:rPr>
                <w:rFonts w:ascii="Arial" w:cs="Arial" w:eastAsia="Arial" w:hAnsi="Arial"/>
                <w:sz w:val="15"/>
                <w:szCs w:val="15"/>
                <w:color w:val="auto"/>
              </w:rPr>
              <w:t>12,462</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(135)</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5"/>
                <w:szCs w:val="15"/>
                <w:color w:val="auto"/>
                <w:w w:val="95"/>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27,830</w:t>
            </w:r>
          </w:p>
        </w:tc>
        <w:tc>
          <w:tcPr>
            <w:tcW w:w="0" w:type="dxa"/>
            <w:vAlign w:val="bottom"/>
          </w:tcPr>
          <w:p>
            <w:pPr>
              <w:spacing w:after="0"/>
              <w:rPr>
                <w:sz w:val="1"/>
                <w:szCs w:val="1"/>
                <w:color w:val="auto"/>
              </w:rPr>
            </w:pPr>
          </w:p>
        </w:tc>
      </w:tr>
      <w:tr>
        <w:trPr>
          <w:trHeight w:val="354"/>
        </w:trPr>
        <w:tc>
          <w:tcPr>
            <w:tcW w:w="32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5"/>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3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92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Equity Attributable to Common Stock</w:t>
            </w:r>
          </w:p>
        </w:tc>
        <w:tc>
          <w:tcPr>
            <w:tcW w:w="1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3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Preferred</w:t>
            </w:r>
          </w:p>
        </w:tc>
        <w:tc>
          <w:tcPr>
            <w:tcW w:w="20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Common</w:t>
            </w:r>
          </w:p>
        </w:tc>
        <w:tc>
          <w:tcPr>
            <w:tcW w:w="20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Treasury</w:t>
            </w:r>
          </w:p>
        </w:tc>
        <w:tc>
          <w:tcPr>
            <w:tcW w:w="22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Additional</w:t>
            </w:r>
          </w:p>
        </w:tc>
        <w:tc>
          <w:tcPr>
            <w:tcW w:w="30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Retained</w:t>
            </w:r>
          </w:p>
        </w:tc>
        <w:tc>
          <w:tcPr>
            <w:tcW w:w="100" w:type="dxa"/>
            <w:vAlign w:val="bottom"/>
          </w:tcPr>
          <w:p>
            <w:pPr>
              <w:spacing w:after="0"/>
              <w:rPr>
                <w:sz w:val="12"/>
                <w:szCs w:val="12"/>
                <w:color w:val="auto"/>
              </w:rPr>
            </w:pPr>
          </w:p>
        </w:tc>
        <w:tc>
          <w:tcPr>
            <w:tcW w:w="1340" w:type="dxa"/>
            <w:vAlign w:val="bottom"/>
          </w:tcPr>
          <w:p>
            <w:pPr>
              <w:jc w:val="right"/>
              <w:spacing w:after="0" w:line="140" w:lineRule="exact"/>
              <w:rPr>
                <w:sz w:val="20"/>
                <w:szCs w:val="20"/>
                <w:color w:val="auto"/>
              </w:rPr>
            </w:pPr>
            <w:r>
              <w:rPr>
                <w:rFonts w:ascii="Arial" w:cs="Arial" w:eastAsia="Arial" w:hAnsi="Arial"/>
                <w:sz w:val="14"/>
                <w:szCs w:val="14"/>
                <w:b w:val="1"/>
                <w:bCs w:val="1"/>
                <w:color w:val="auto"/>
              </w:rPr>
              <w:t>Accumulated Other</w:t>
            </w: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28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millions, except per-share amounts</w:t>
            </w:r>
          </w:p>
        </w:tc>
        <w:tc>
          <w:tcPr>
            <w:tcW w:w="86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jc w:val="right"/>
              <w:spacing w:after="0" w:line="147" w:lineRule="exact"/>
              <w:rPr>
                <w:sz w:val="20"/>
                <w:szCs w:val="20"/>
                <w:color w:val="auto"/>
              </w:rPr>
            </w:pPr>
            <w:r>
              <w:rPr>
                <w:rFonts w:ascii="Arial" w:cs="Arial" w:eastAsia="Arial" w:hAnsi="Arial"/>
                <w:sz w:val="14"/>
                <w:szCs w:val="14"/>
                <w:b w:val="1"/>
                <w:bCs w:val="1"/>
                <w:color w:val="auto"/>
              </w:rPr>
              <w:t>Comprehensive</w:t>
            </w:r>
          </w:p>
        </w:tc>
        <w:tc>
          <w:tcPr>
            <w:tcW w:w="9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Total Equity</w:t>
            </w:r>
          </w:p>
        </w:tc>
        <w:tc>
          <w:tcPr>
            <w:tcW w:w="0" w:type="dxa"/>
            <w:vAlign w:val="bottom"/>
          </w:tcPr>
          <w:p>
            <w:pPr>
              <w:spacing w:after="0"/>
              <w:rPr>
                <w:sz w:val="1"/>
                <w:szCs w:val="1"/>
                <w:color w:val="auto"/>
              </w:rPr>
            </w:pPr>
          </w:p>
        </w:tc>
      </w:tr>
      <w:tr>
        <w:trPr>
          <w:trHeight w:val="187"/>
        </w:trPr>
        <w:tc>
          <w:tcPr>
            <w:tcW w:w="3280" w:type="dxa"/>
            <w:vAlign w:val="bottom"/>
            <w:tcBorders>
              <w:bottom w:val="single" w:sz="8" w:color="auto"/>
            </w:tcBorders>
            <w:vMerge w:val="continue"/>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Stock</w:t>
            </w: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Stock</w:t>
            </w: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Stock</w:t>
            </w: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Paid-in Capital</w:t>
            </w:r>
          </w:p>
        </w:tc>
        <w:tc>
          <w:tcPr>
            <w:tcW w:w="3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Earnings</w:t>
            </w:r>
          </w:p>
        </w:tc>
        <w:tc>
          <w:tcPr>
            <w:tcW w:w="1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Income (loss)</w:t>
            </w:r>
          </w:p>
        </w:tc>
        <w:tc>
          <w:tcPr>
            <w:tcW w:w="90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280" w:type="dxa"/>
            <w:vAlign w:val="bottom"/>
          </w:tcPr>
          <w:p>
            <w:pPr>
              <w:ind w:left="20"/>
              <w:spacing w:after="0"/>
              <w:rPr>
                <w:sz w:val="20"/>
                <w:szCs w:val="20"/>
                <w:color w:val="auto"/>
              </w:rPr>
            </w:pPr>
            <w:r>
              <w:rPr>
                <w:rFonts w:ascii="Arial" w:cs="Arial" w:eastAsia="Arial" w:hAnsi="Arial"/>
                <w:sz w:val="14"/>
                <w:szCs w:val="14"/>
                <w:b w:val="1"/>
                <w:bCs w:val="1"/>
                <w:color w:val="auto"/>
              </w:rPr>
              <w:t>Balance as of March 31, 2023</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9,130</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221</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(14,524)</w:t>
            </w:r>
          </w:p>
        </w:tc>
        <w:tc>
          <w:tcPr>
            <w:tcW w:w="220" w:type="dxa"/>
            <w:vAlign w:val="bottom"/>
          </w:tcPr>
          <w:p>
            <w:pPr>
              <w:ind w:left="2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17,159</w:t>
            </w:r>
          </w:p>
        </w:tc>
        <w:tc>
          <w:tcPr>
            <w:tcW w:w="300" w:type="dxa"/>
            <w:vAlign w:val="bottom"/>
          </w:tcPr>
          <w:p>
            <w:pPr>
              <w:ind w:left="2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17,318</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255</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29,559</w:t>
            </w:r>
          </w:p>
        </w:tc>
        <w:tc>
          <w:tcPr>
            <w:tcW w:w="0" w:type="dxa"/>
            <w:vAlign w:val="bottom"/>
          </w:tcPr>
          <w:p>
            <w:pPr>
              <w:spacing w:after="0"/>
              <w:rPr>
                <w:sz w:val="1"/>
                <w:szCs w:val="1"/>
                <w:color w:val="auto"/>
              </w:rPr>
            </w:pPr>
          </w:p>
        </w:tc>
      </w:tr>
      <w:tr>
        <w:trPr>
          <w:trHeight w:val="200"/>
        </w:trPr>
        <w:tc>
          <w:tcPr>
            <w:tcW w:w="3280" w:type="dxa"/>
            <w:vAlign w:val="bottom"/>
          </w:tcPr>
          <w:p>
            <w:pPr>
              <w:ind w:left="340"/>
              <w:spacing w:after="0"/>
              <w:rPr>
                <w:sz w:val="20"/>
                <w:szCs w:val="20"/>
                <w:color w:val="auto"/>
              </w:rPr>
            </w:pPr>
            <w:r>
              <w:rPr>
                <w:rFonts w:ascii="Arial" w:cs="Arial" w:eastAsia="Arial" w:hAnsi="Arial"/>
                <w:sz w:val="14"/>
                <w:szCs w:val="14"/>
                <w:color w:val="auto"/>
              </w:rPr>
              <w:t>Net income</w:t>
            </w:r>
          </w:p>
        </w:tc>
        <w:tc>
          <w:tcPr>
            <w:tcW w:w="8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00539B"/>
              </w:rPr>
              <w:t>—</w:t>
            </w:r>
          </w:p>
        </w:tc>
        <w:tc>
          <w:tcPr>
            <w:tcW w:w="200" w:type="dxa"/>
            <w:vAlign w:val="bottom"/>
          </w:tcPr>
          <w:p>
            <w:pPr>
              <w:spacing w:after="0"/>
              <w:rPr>
                <w:sz w:val="17"/>
                <w:szCs w:val="17"/>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b w:val="1"/>
                <w:bCs w:val="1"/>
                <w:color w:val="00539B"/>
              </w:rPr>
              <w:t>—</w:t>
            </w:r>
          </w:p>
        </w:tc>
        <w:tc>
          <w:tcPr>
            <w:tcW w:w="200" w:type="dxa"/>
            <w:vAlign w:val="bottom"/>
          </w:tcPr>
          <w:p>
            <w:pPr>
              <w:spacing w:after="0"/>
              <w:rPr>
                <w:sz w:val="17"/>
                <w:szCs w:val="17"/>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b w:val="1"/>
                <w:bCs w:val="1"/>
                <w:color w:val="00539B"/>
              </w:rPr>
              <w:t>—</w:t>
            </w:r>
          </w:p>
        </w:tc>
        <w:tc>
          <w:tcPr>
            <w:tcW w:w="220" w:type="dxa"/>
            <w:vAlign w:val="bottom"/>
          </w:tcPr>
          <w:p>
            <w:pPr>
              <w:spacing w:after="0"/>
              <w:rPr>
                <w:sz w:val="17"/>
                <w:szCs w:val="17"/>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b w:val="1"/>
                <w:bCs w:val="1"/>
                <w:color w:val="00539B"/>
              </w:rPr>
              <w:t>—</w:t>
            </w:r>
          </w:p>
        </w:tc>
        <w:tc>
          <w:tcPr>
            <w:tcW w:w="3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00539B"/>
              </w:rPr>
              <w:t>860</w:t>
            </w:r>
          </w:p>
        </w:tc>
        <w:tc>
          <w:tcPr>
            <w:tcW w:w="1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4"/>
                <w:szCs w:val="14"/>
                <w:b w:val="1"/>
                <w:bCs w:val="1"/>
                <w:color w:val="00539B"/>
              </w:rPr>
              <w:t>—</w:t>
            </w:r>
          </w:p>
        </w:tc>
        <w:tc>
          <w:tcPr>
            <w:tcW w:w="2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00539B"/>
              </w:rPr>
              <w:t>860</w:t>
            </w:r>
          </w:p>
        </w:tc>
        <w:tc>
          <w:tcPr>
            <w:tcW w:w="0" w:type="dxa"/>
            <w:vAlign w:val="bottom"/>
          </w:tcPr>
          <w:p>
            <w:pPr>
              <w:spacing w:after="0"/>
              <w:rPr>
                <w:sz w:val="1"/>
                <w:szCs w:val="1"/>
                <w:color w:val="auto"/>
              </w:rPr>
            </w:pPr>
          </w:p>
        </w:tc>
      </w:tr>
      <w:tr>
        <w:trPr>
          <w:trHeight w:val="148"/>
        </w:trPr>
        <w:tc>
          <w:tcPr>
            <w:tcW w:w="3280" w:type="dxa"/>
            <w:vAlign w:val="bottom"/>
          </w:tcPr>
          <w:p>
            <w:pPr>
              <w:ind w:left="340"/>
              <w:spacing w:after="0" w:line="148" w:lineRule="exact"/>
              <w:rPr>
                <w:sz w:val="20"/>
                <w:szCs w:val="20"/>
                <w:color w:val="auto"/>
              </w:rPr>
            </w:pPr>
            <w:r>
              <w:rPr>
                <w:rFonts w:ascii="Arial" w:cs="Arial" w:eastAsia="Arial" w:hAnsi="Arial"/>
                <w:sz w:val="14"/>
                <w:szCs w:val="14"/>
                <w:color w:val="auto"/>
              </w:rPr>
              <w:t>Other comprehensive loss, net</w:t>
            </w:r>
          </w:p>
        </w:tc>
        <w:tc>
          <w:tcPr>
            <w:tcW w:w="86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b w:val="1"/>
                <w:bCs w:val="1"/>
                <w:color w:val="00539B"/>
              </w:rPr>
              <w:t>—</w:t>
            </w:r>
          </w:p>
        </w:tc>
        <w:tc>
          <w:tcPr>
            <w:tcW w:w="200" w:type="dxa"/>
            <w:vAlign w:val="bottom"/>
          </w:tcPr>
          <w:p>
            <w:pPr>
              <w:spacing w:after="0"/>
              <w:rPr>
                <w:sz w:val="12"/>
                <w:szCs w:val="12"/>
                <w:color w:val="auto"/>
              </w:rPr>
            </w:pPr>
          </w:p>
        </w:tc>
        <w:tc>
          <w:tcPr>
            <w:tcW w:w="72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00539B"/>
              </w:rPr>
              <w:t>—</w:t>
            </w:r>
          </w:p>
        </w:tc>
        <w:tc>
          <w:tcPr>
            <w:tcW w:w="200" w:type="dxa"/>
            <w:vAlign w:val="bottom"/>
          </w:tcPr>
          <w:p>
            <w:pPr>
              <w:spacing w:after="0"/>
              <w:rPr>
                <w:sz w:val="12"/>
                <w:szCs w:val="12"/>
                <w:color w:val="auto"/>
              </w:rPr>
            </w:pPr>
          </w:p>
        </w:tc>
        <w:tc>
          <w:tcPr>
            <w:tcW w:w="70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00539B"/>
              </w:rPr>
              <w:t>—</w:t>
            </w:r>
          </w:p>
        </w:tc>
        <w:tc>
          <w:tcPr>
            <w:tcW w:w="220" w:type="dxa"/>
            <w:vAlign w:val="bottom"/>
          </w:tcPr>
          <w:p>
            <w:pPr>
              <w:spacing w:after="0"/>
              <w:rPr>
                <w:sz w:val="12"/>
                <w:szCs w:val="12"/>
                <w:color w:val="auto"/>
              </w:rPr>
            </w:pPr>
          </w:p>
        </w:tc>
        <w:tc>
          <w:tcPr>
            <w:tcW w:w="86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00539B"/>
              </w:rPr>
              <w:t>—</w:t>
            </w:r>
          </w:p>
        </w:tc>
        <w:tc>
          <w:tcPr>
            <w:tcW w:w="30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b w:val="1"/>
                <w:bCs w:val="1"/>
                <w:color w:val="00539B"/>
              </w:rPr>
              <w:t>—</w:t>
            </w:r>
          </w:p>
        </w:tc>
        <w:tc>
          <w:tcPr>
            <w:tcW w:w="100" w:type="dxa"/>
            <w:vAlign w:val="bottom"/>
          </w:tcPr>
          <w:p>
            <w:pPr>
              <w:spacing w:after="0"/>
              <w:rPr>
                <w:sz w:val="12"/>
                <w:szCs w:val="12"/>
                <w:color w:val="auto"/>
              </w:rPr>
            </w:pPr>
          </w:p>
        </w:tc>
        <w:tc>
          <w:tcPr>
            <w:tcW w:w="1340" w:type="dxa"/>
            <w:vAlign w:val="bottom"/>
            <w:vMerge w:val="restart"/>
          </w:tcPr>
          <w:p>
            <w:pPr>
              <w:jc w:val="right"/>
              <w:spacing w:after="0"/>
              <w:rPr>
                <w:sz w:val="20"/>
                <w:szCs w:val="20"/>
                <w:color w:val="auto"/>
              </w:rPr>
            </w:pPr>
            <w:r>
              <w:rPr>
                <w:rFonts w:ascii="Arial" w:cs="Arial" w:eastAsia="Arial" w:hAnsi="Arial"/>
                <w:sz w:val="14"/>
                <w:szCs w:val="14"/>
                <w:b w:val="1"/>
                <w:bCs w:val="1"/>
                <w:color w:val="00539B"/>
              </w:rPr>
              <w:t>(8)</w:t>
            </w:r>
          </w:p>
        </w:tc>
        <w:tc>
          <w:tcPr>
            <w:tcW w:w="24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b w:val="1"/>
                <w:bCs w:val="1"/>
                <w:color w:val="00539B"/>
              </w:rPr>
              <w:t>(8)</w:t>
            </w:r>
          </w:p>
        </w:tc>
        <w:tc>
          <w:tcPr>
            <w:tcW w:w="0" w:type="dxa"/>
            <w:vAlign w:val="bottom"/>
          </w:tcPr>
          <w:p>
            <w:pPr>
              <w:spacing w:after="0"/>
              <w:rPr>
                <w:sz w:val="1"/>
                <w:szCs w:val="1"/>
                <w:color w:val="auto"/>
              </w:rPr>
            </w:pPr>
          </w:p>
        </w:tc>
      </w:tr>
      <w:tr>
        <w:trPr>
          <w:trHeight w:val="185"/>
        </w:trPr>
        <w:tc>
          <w:tcPr>
            <w:tcW w:w="3280" w:type="dxa"/>
            <w:vAlign w:val="bottom"/>
          </w:tcPr>
          <w:p>
            <w:pPr>
              <w:ind w:left="420"/>
              <w:spacing w:after="0"/>
              <w:rPr>
                <w:sz w:val="20"/>
                <w:szCs w:val="20"/>
                <w:color w:val="auto"/>
              </w:rPr>
            </w:pPr>
            <w:r>
              <w:rPr>
                <w:rFonts w:ascii="Arial" w:cs="Arial" w:eastAsia="Arial" w:hAnsi="Arial"/>
                <w:sz w:val="14"/>
                <w:szCs w:val="14"/>
                <w:color w:val="auto"/>
              </w:rPr>
              <w:t>of tax</w:t>
            </w:r>
          </w:p>
        </w:tc>
        <w:tc>
          <w:tcPr>
            <w:tcW w:w="8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3280" w:type="dxa"/>
            <w:vAlign w:val="bottom"/>
          </w:tcPr>
          <w:p>
            <w:pPr>
              <w:ind w:left="340"/>
              <w:spacing w:after="0" w:line="156" w:lineRule="exact"/>
              <w:rPr>
                <w:sz w:val="20"/>
                <w:szCs w:val="20"/>
                <w:color w:val="auto"/>
              </w:rPr>
            </w:pPr>
            <w:r>
              <w:rPr>
                <w:rFonts w:ascii="Arial" w:cs="Arial" w:eastAsia="Arial" w:hAnsi="Arial"/>
                <w:sz w:val="14"/>
                <w:szCs w:val="14"/>
                <w:color w:val="auto"/>
              </w:rPr>
              <w:t>Dividends on common stock,</w:t>
            </w:r>
          </w:p>
        </w:tc>
        <w:tc>
          <w:tcPr>
            <w:tcW w:w="86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b w:val="1"/>
                <w:bCs w:val="1"/>
                <w:color w:val="00539B"/>
              </w:rPr>
              <w:t>—</w:t>
            </w:r>
          </w:p>
        </w:tc>
        <w:tc>
          <w:tcPr>
            <w:tcW w:w="200" w:type="dxa"/>
            <w:vAlign w:val="bottom"/>
          </w:tcPr>
          <w:p>
            <w:pPr>
              <w:spacing w:after="0"/>
              <w:rPr>
                <w:sz w:val="13"/>
                <w:szCs w:val="13"/>
                <w:color w:val="auto"/>
              </w:rPr>
            </w:pPr>
          </w:p>
        </w:tc>
        <w:tc>
          <w:tcPr>
            <w:tcW w:w="72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00539B"/>
              </w:rPr>
              <w:t>—</w:t>
            </w:r>
          </w:p>
        </w:tc>
        <w:tc>
          <w:tcPr>
            <w:tcW w:w="200" w:type="dxa"/>
            <w:vAlign w:val="bottom"/>
          </w:tcPr>
          <w:p>
            <w:pPr>
              <w:spacing w:after="0"/>
              <w:rPr>
                <w:sz w:val="13"/>
                <w:szCs w:val="13"/>
                <w:color w:val="auto"/>
              </w:rPr>
            </w:pPr>
          </w:p>
        </w:tc>
        <w:tc>
          <w:tcPr>
            <w:tcW w:w="70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00539B"/>
              </w:rPr>
              <w:t>—</w:t>
            </w:r>
          </w:p>
        </w:tc>
        <w:tc>
          <w:tcPr>
            <w:tcW w:w="220" w:type="dxa"/>
            <w:vAlign w:val="bottom"/>
          </w:tcPr>
          <w:p>
            <w:pPr>
              <w:spacing w:after="0"/>
              <w:rPr>
                <w:sz w:val="13"/>
                <w:szCs w:val="13"/>
                <w:color w:val="auto"/>
              </w:rPr>
            </w:pPr>
          </w:p>
        </w:tc>
        <w:tc>
          <w:tcPr>
            <w:tcW w:w="86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00539B"/>
              </w:rPr>
              <w:t>—</w:t>
            </w:r>
          </w:p>
        </w:tc>
        <w:tc>
          <w:tcPr>
            <w:tcW w:w="30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b w:val="1"/>
                <w:bCs w:val="1"/>
                <w:color w:val="00539B"/>
              </w:rPr>
              <w:t>(161)</w:t>
            </w:r>
          </w:p>
        </w:tc>
        <w:tc>
          <w:tcPr>
            <w:tcW w:w="100" w:type="dxa"/>
            <w:vAlign w:val="bottom"/>
          </w:tcPr>
          <w:p>
            <w:pPr>
              <w:spacing w:after="0"/>
              <w:rPr>
                <w:sz w:val="13"/>
                <w:szCs w:val="13"/>
                <w:color w:val="auto"/>
              </w:rPr>
            </w:pPr>
          </w:p>
        </w:tc>
        <w:tc>
          <w:tcPr>
            <w:tcW w:w="1340" w:type="dxa"/>
            <w:vAlign w:val="bottom"/>
            <w:vMerge w:val="restart"/>
          </w:tcPr>
          <w:p>
            <w:pPr>
              <w:jc w:val="right"/>
              <w:spacing w:after="0"/>
              <w:rPr>
                <w:sz w:val="20"/>
                <w:szCs w:val="20"/>
                <w:color w:val="auto"/>
              </w:rPr>
            </w:pPr>
            <w:r>
              <w:rPr>
                <w:rFonts w:ascii="Arial" w:cs="Arial" w:eastAsia="Arial" w:hAnsi="Arial"/>
                <w:sz w:val="14"/>
                <w:szCs w:val="14"/>
                <w:b w:val="1"/>
                <w:bCs w:val="1"/>
                <w:color w:val="00539B"/>
              </w:rPr>
              <w:t>—</w:t>
            </w:r>
          </w:p>
        </w:tc>
        <w:tc>
          <w:tcPr>
            <w:tcW w:w="24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b w:val="1"/>
                <w:bCs w:val="1"/>
                <w:color w:val="00539B"/>
              </w:rPr>
              <w:t>(161)</w:t>
            </w:r>
          </w:p>
        </w:tc>
        <w:tc>
          <w:tcPr>
            <w:tcW w:w="0" w:type="dxa"/>
            <w:vAlign w:val="bottom"/>
          </w:tcPr>
          <w:p>
            <w:pPr>
              <w:spacing w:after="0"/>
              <w:rPr>
                <w:sz w:val="1"/>
                <w:szCs w:val="1"/>
                <w:color w:val="auto"/>
              </w:rPr>
            </w:pPr>
          </w:p>
        </w:tc>
      </w:tr>
      <w:tr>
        <w:trPr>
          <w:trHeight w:val="187"/>
        </w:trPr>
        <w:tc>
          <w:tcPr>
            <w:tcW w:w="3280" w:type="dxa"/>
            <w:vAlign w:val="bottom"/>
          </w:tcPr>
          <w:p>
            <w:pPr>
              <w:ind w:left="420"/>
              <w:spacing w:after="0"/>
              <w:rPr>
                <w:sz w:val="20"/>
                <w:szCs w:val="20"/>
                <w:color w:val="auto"/>
              </w:rPr>
            </w:pPr>
            <w:r>
              <w:rPr>
                <w:rFonts w:ascii="Arial" w:cs="Arial" w:eastAsia="Arial" w:hAnsi="Arial"/>
                <w:sz w:val="14"/>
                <w:szCs w:val="14"/>
                <w:color w:val="auto"/>
              </w:rPr>
              <w:t>$0.18 per share</w:t>
            </w:r>
          </w:p>
        </w:tc>
        <w:tc>
          <w:tcPr>
            <w:tcW w:w="8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3280" w:type="dxa"/>
            <w:vAlign w:val="bottom"/>
          </w:tcPr>
          <w:p>
            <w:pPr>
              <w:ind w:left="340"/>
              <w:spacing w:after="0" w:line="147" w:lineRule="exact"/>
              <w:rPr>
                <w:sz w:val="20"/>
                <w:szCs w:val="20"/>
                <w:color w:val="auto"/>
              </w:rPr>
            </w:pPr>
            <w:r>
              <w:rPr>
                <w:rFonts w:ascii="Arial" w:cs="Arial" w:eastAsia="Arial" w:hAnsi="Arial"/>
                <w:sz w:val="14"/>
                <w:szCs w:val="14"/>
                <w:color w:val="auto"/>
              </w:rPr>
              <w:t>Dividends on preferred stock,</w:t>
            </w:r>
          </w:p>
        </w:tc>
        <w:tc>
          <w:tcPr>
            <w:tcW w:w="86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b w:val="1"/>
                <w:bCs w:val="1"/>
                <w:color w:val="00539B"/>
              </w:rPr>
              <w:t>—</w:t>
            </w:r>
          </w:p>
        </w:tc>
        <w:tc>
          <w:tcPr>
            <w:tcW w:w="200" w:type="dxa"/>
            <w:vAlign w:val="bottom"/>
          </w:tcPr>
          <w:p>
            <w:pPr>
              <w:spacing w:after="0"/>
              <w:rPr>
                <w:sz w:val="12"/>
                <w:szCs w:val="12"/>
                <w:color w:val="auto"/>
              </w:rPr>
            </w:pPr>
          </w:p>
        </w:tc>
        <w:tc>
          <w:tcPr>
            <w:tcW w:w="72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00539B"/>
              </w:rPr>
              <w:t>—</w:t>
            </w:r>
          </w:p>
        </w:tc>
        <w:tc>
          <w:tcPr>
            <w:tcW w:w="200" w:type="dxa"/>
            <w:vAlign w:val="bottom"/>
          </w:tcPr>
          <w:p>
            <w:pPr>
              <w:spacing w:after="0"/>
              <w:rPr>
                <w:sz w:val="12"/>
                <w:szCs w:val="12"/>
                <w:color w:val="auto"/>
              </w:rPr>
            </w:pPr>
          </w:p>
        </w:tc>
        <w:tc>
          <w:tcPr>
            <w:tcW w:w="70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00539B"/>
              </w:rPr>
              <w:t>—</w:t>
            </w:r>
          </w:p>
        </w:tc>
        <w:tc>
          <w:tcPr>
            <w:tcW w:w="220" w:type="dxa"/>
            <w:vAlign w:val="bottom"/>
          </w:tcPr>
          <w:p>
            <w:pPr>
              <w:spacing w:after="0"/>
              <w:rPr>
                <w:sz w:val="12"/>
                <w:szCs w:val="12"/>
                <w:color w:val="auto"/>
              </w:rPr>
            </w:pPr>
          </w:p>
        </w:tc>
        <w:tc>
          <w:tcPr>
            <w:tcW w:w="86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00539B"/>
              </w:rPr>
              <w:t>—</w:t>
            </w:r>
          </w:p>
        </w:tc>
        <w:tc>
          <w:tcPr>
            <w:tcW w:w="30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b w:val="1"/>
                <w:bCs w:val="1"/>
                <w:color w:val="00539B"/>
              </w:rPr>
              <w:t>(190)</w:t>
            </w:r>
          </w:p>
        </w:tc>
        <w:tc>
          <w:tcPr>
            <w:tcW w:w="100" w:type="dxa"/>
            <w:vAlign w:val="bottom"/>
          </w:tcPr>
          <w:p>
            <w:pPr>
              <w:spacing w:after="0"/>
              <w:rPr>
                <w:sz w:val="12"/>
                <w:szCs w:val="12"/>
                <w:color w:val="auto"/>
              </w:rPr>
            </w:pPr>
          </w:p>
        </w:tc>
        <w:tc>
          <w:tcPr>
            <w:tcW w:w="1340" w:type="dxa"/>
            <w:vAlign w:val="bottom"/>
            <w:vMerge w:val="restart"/>
          </w:tcPr>
          <w:p>
            <w:pPr>
              <w:jc w:val="right"/>
              <w:spacing w:after="0"/>
              <w:rPr>
                <w:sz w:val="20"/>
                <w:szCs w:val="20"/>
                <w:color w:val="auto"/>
              </w:rPr>
            </w:pPr>
            <w:r>
              <w:rPr>
                <w:rFonts w:ascii="Arial" w:cs="Arial" w:eastAsia="Arial" w:hAnsi="Arial"/>
                <w:sz w:val="14"/>
                <w:szCs w:val="14"/>
                <w:b w:val="1"/>
                <w:bCs w:val="1"/>
                <w:color w:val="00539B"/>
              </w:rPr>
              <w:t>—</w:t>
            </w:r>
          </w:p>
        </w:tc>
        <w:tc>
          <w:tcPr>
            <w:tcW w:w="24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b w:val="1"/>
                <w:bCs w:val="1"/>
                <w:color w:val="00539B"/>
              </w:rPr>
              <w:t>(190)</w:t>
            </w:r>
          </w:p>
        </w:tc>
        <w:tc>
          <w:tcPr>
            <w:tcW w:w="0" w:type="dxa"/>
            <w:vAlign w:val="bottom"/>
          </w:tcPr>
          <w:p>
            <w:pPr>
              <w:spacing w:after="0"/>
              <w:rPr>
                <w:sz w:val="1"/>
                <w:szCs w:val="1"/>
                <w:color w:val="auto"/>
              </w:rPr>
            </w:pPr>
          </w:p>
        </w:tc>
      </w:tr>
      <w:tr>
        <w:trPr>
          <w:trHeight w:val="191"/>
        </w:trPr>
        <w:tc>
          <w:tcPr>
            <w:tcW w:w="3280" w:type="dxa"/>
            <w:vAlign w:val="bottom"/>
          </w:tcPr>
          <w:p>
            <w:pPr>
              <w:ind w:left="420"/>
              <w:spacing w:after="0"/>
              <w:rPr>
                <w:sz w:val="20"/>
                <w:szCs w:val="20"/>
                <w:color w:val="auto"/>
              </w:rPr>
            </w:pPr>
            <w:r>
              <w:rPr>
                <w:rFonts w:ascii="Arial" w:cs="Arial" w:eastAsia="Arial" w:hAnsi="Arial"/>
                <w:sz w:val="14"/>
                <w:szCs w:val="14"/>
                <w:color w:val="auto"/>
              </w:rPr>
              <w:t>$2,000 per share</w:t>
            </w:r>
          </w:p>
        </w:tc>
        <w:tc>
          <w:tcPr>
            <w:tcW w:w="8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3280" w:type="dxa"/>
            <w:vAlign w:val="bottom"/>
          </w:tcPr>
          <w:p>
            <w:pPr>
              <w:ind w:left="340"/>
              <w:spacing w:after="0" w:line="148" w:lineRule="exact"/>
              <w:rPr>
                <w:sz w:val="20"/>
                <w:szCs w:val="20"/>
                <w:color w:val="auto"/>
              </w:rPr>
            </w:pPr>
            <w:r>
              <w:rPr>
                <w:rFonts w:ascii="Arial" w:cs="Arial" w:eastAsia="Arial" w:hAnsi="Arial"/>
                <w:sz w:val="14"/>
                <w:szCs w:val="14"/>
                <w:color w:val="auto"/>
              </w:rPr>
              <w:t>Preferred stock redemption - face</w:t>
            </w:r>
          </w:p>
        </w:tc>
        <w:tc>
          <w:tcPr>
            <w:tcW w:w="86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b w:val="1"/>
                <w:bCs w:val="1"/>
                <w:color w:val="00539B"/>
              </w:rPr>
              <w:t>(522)</w:t>
            </w:r>
          </w:p>
        </w:tc>
        <w:tc>
          <w:tcPr>
            <w:tcW w:w="200" w:type="dxa"/>
            <w:vAlign w:val="bottom"/>
          </w:tcPr>
          <w:p>
            <w:pPr>
              <w:spacing w:after="0"/>
              <w:rPr>
                <w:sz w:val="12"/>
                <w:szCs w:val="12"/>
                <w:color w:val="auto"/>
              </w:rPr>
            </w:pPr>
          </w:p>
        </w:tc>
        <w:tc>
          <w:tcPr>
            <w:tcW w:w="72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00539B"/>
              </w:rPr>
              <w:t>—</w:t>
            </w:r>
          </w:p>
        </w:tc>
        <w:tc>
          <w:tcPr>
            <w:tcW w:w="200" w:type="dxa"/>
            <w:vAlign w:val="bottom"/>
          </w:tcPr>
          <w:p>
            <w:pPr>
              <w:spacing w:after="0"/>
              <w:rPr>
                <w:sz w:val="12"/>
                <w:szCs w:val="12"/>
                <w:color w:val="auto"/>
              </w:rPr>
            </w:pPr>
          </w:p>
        </w:tc>
        <w:tc>
          <w:tcPr>
            <w:tcW w:w="70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00539B"/>
              </w:rPr>
              <w:t>—</w:t>
            </w:r>
          </w:p>
        </w:tc>
        <w:tc>
          <w:tcPr>
            <w:tcW w:w="220" w:type="dxa"/>
            <w:vAlign w:val="bottom"/>
          </w:tcPr>
          <w:p>
            <w:pPr>
              <w:spacing w:after="0"/>
              <w:rPr>
                <w:sz w:val="12"/>
                <w:szCs w:val="12"/>
                <w:color w:val="auto"/>
              </w:rPr>
            </w:pPr>
          </w:p>
        </w:tc>
        <w:tc>
          <w:tcPr>
            <w:tcW w:w="86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00539B"/>
              </w:rPr>
              <w:t>—</w:t>
            </w:r>
          </w:p>
        </w:tc>
        <w:tc>
          <w:tcPr>
            <w:tcW w:w="30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b w:val="1"/>
                <w:bCs w:val="1"/>
                <w:color w:val="00539B"/>
              </w:rPr>
              <w:t>—</w:t>
            </w:r>
          </w:p>
        </w:tc>
        <w:tc>
          <w:tcPr>
            <w:tcW w:w="100" w:type="dxa"/>
            <w:vAlign w:val="bottom"/>
          </w:tcPr>
          <w:p>
            <w:pPr>
              <w:spacing w:after="0"/>
              <w:rPr>
                <w:sz w:val="12"/>
                <w:szCs w:val="12"/>
                <w:color w:val="auto"/>
              </w:rPr>
            </w:pPr>
          </w:p>
        </w:tc>
        <w:tc>
          <w:tcPr>
            <w:tcW w:w="1340" w:type="dxa"/>
            <w:vAlign w:val="bottom"/>
            <w:vMerge w:val="restart"/>
          </w:tcPr>
          <w:p>
            <w:pPr>
              <w:jc w:val="right"/>
              <w:spacing w:after="0"/>
              <w:rPr>
                <w:sz w:val="20"/>
                <w:szCs w:val="20"/>
                <w:color w:val="auto"/>
              </w:rPr>
            </w:pPr>
            <w:r>
              <w:rPr>
                <w:rFonts w:ascii="Arial" w:cs="Arial" w:eastAsia="Arial" w:hAnsi="Arial"/>
                <w:sz w:val="14"/>
                <w:szCs w:val="14"/>
                <w:b w:val="1"/>
                <w:bCs w:val="1"/>
                <w:color w:val="00539B"/>
              </w:rPr>
              <w:t>—</w:t>
            </w:r>
          </w:p>
        </w:tc>
        <w:tc>
          <w:tcPr>
            <w:tcW w:w="24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b w:val="1"/>
                <w:bCs w:val="1"/>
                <w:color w:val="00539B"/>
              </w:rPr>
              <w:t>(522)</w:t>
            </w:r>
          </w:p>
        </w:tc>
        <w:tc>
          <w:tcPr>
            <w:tcW w:w="0" w:type="dxa"/>
            <w:vAlign w:val="bottom"/>
          </w:tcPr>
          <w:p>
            <w:pPr>
              <w:spacing w:after="0"/>
              <w:rPr>
                <w:sz w:val="1"/>
                <w:szCs w:val="1"/>
                <w:color w:val="auto"/>
              </w:rPr>
            </w:pPr>
          </w:p>
        </w:tc>
      </w:tr>
      <w:tr>
        <w:trPr>
          <w:trHeight w:val="185"/>
        </w:trPr>
        <w:tc>
          <w:tcPr>
            <w:tcW w:w="3280" w:type="dxa"/>
            <w:vAlign w:val="bottom"/>
          </w:tcPr>
          <w:p>
            <w:pPr>
              <w:ind w:left="420"/>
              <w:spacing w:after="0"/>
              <w:rPr>
                <w:sz w:val="20"/>
                <w:szCs w:val="20"/>
                <w:color w:val="auto"/>
              </w:rPr>
            </w:pPr>
            <w:r>
              <w:rPr>
                <w:rFonts w:ascii="Arial" w:cs="Arial" w:eastAsia="Arial" w:hAnsi="Arial"/>
                <w:sz w:val="14"/>
                <w:szCs w:val="14"/>
                <w:color w:val="auto"/>
              </w:rPr>
              <w:t>value</w:t>
            </w:r>
          </w:p>
        </w:tc>
        <w:tc>
          <w:tcPr>
            <w:tcW w:w="8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3280" w:type="dxa"/>
            <w:vAlign w:val="bottom"/>
          </w:tcPr>
          <w:p>
            <w:pPr>
              <w:ind w:left="340"/>
              <w:spacing w:after="0" w:line="156" w:lineRule="exact"/>
              <w:rPr>
                <w:sz w:val="20"/>
                <w:szCs w:val="20"/>
                <w:color w:val="auto"/>
              </w:rPr>
            </w:pPr>
            <w:r>
              <w:rPr>
                <w:rFonts w:ascii="Arial" w:cs="Arial" w:eastAsia="Arial" w:hAnsi="Arial"/>
                <w:sz w:val="14"/>
                <w:szCs w:val="14"/>
                <w:color w:val="auto"/>
              </w:rPr>
              <w:t>Preferred stock redemption -</w:t>
            </w:r>
          </w:p>
        </w:tc>
        <w:tc>
          <w:tcPr>
            <w:tcW w:w="86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b w:val="1"/>
                <w:bCs w:val="1"/>
                <w:color w:val="00539B"/>
              </w:rPr>
              <w:t>—</w:t>
            </w:r>
          </w:p>
        </w:tc>
        <w:tc>
          <w:tcPr>
            <w:tcW w:w="200" w:type="dxa"/>
            <w:vAlign w:val="bottom"/>
          </w:tcPr>
          <w:p>
            <w:pPr>
              <w:spacing w:after="0"/>
              <w:rPr>
                <w:sz w:val="13"/>
                <w:szCs w:val="13"/>
                <w:color w:val="auto"/>
              </w:rPr>
            </w:pPr>
          </w:p>
        </w:tc>
        <w:tc>
          <w:tcPr>
            <w:tcW w:w="72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00539B"/>
              </w:rPr>
              <w:t>—</w:t>
            </w:r>
          </w:p>
        </w:tc>
        <w:tc>
          <w:tcPr>
            <w:tcW w:w="200" w:type="dxa"/>
            <w:vAlign w:val="bottom"/>
          </w:tcPr>
          <w:p>
            <w:pPr>
              <w:spacing w:after="0"/>
              <w:rPr>
                <w:sz w:val="13"/>
                <w:szCs w:val="13"/>
                <w:color w:val="auto"/>
              </w:rPr>
            </w:pPr>
          </w:p>
        </w:tc>
        <w:tc>
          <w:tcPr>
            <w:tcW w:w="70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00539B"/>
              </w:rPr>
              <w:t>—</w:t>
            </w:r>
          </w:p>
        </w:tc>
        <w:tc>
          <w:tcPr>
            <w:tcW w:w="220" w:type="dxa"/>
            <w:vAlign w:val="bottom"/>
          </w:tcPr>
          <w:p>
            <w:pPr>
              <w:spacing w:after="0"/>
              <w:rPr>
                <w:sz w:val="13"/>
                <w:szCs w:val="13"/>
                <w:color w:val="auto"/>
              </w:rPr>
            </w:pPr>
          </w:p>
        </w:tc>
        <w:tc>
          <w:tcPr>
            <w:tcW w:w="86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00539B"/>
              </w:rPr>
              <w:t>—</w:t>
            </w:r>
          </w:p>
        </w:tc>
        <w:tc>
          <w:tcPr>
            <w:tcW w:w="30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b w:val="1"/>
                <w:bCs w:val="1"/>
                <w:color w:val="00539B"/>
              </w:rPr>
              <w:t>(52)</w:t>
            </w:r>
          </w:p>
        </w:tc>
        <w:tc>
          <w:tcPr>
            <w:tcW w:w="100" w:type="dxa"/>
            <w:vAlign w:val="bottom"/>
          </w:tcPr>
          <w:p>
            <w:pPr>
              <w:spacing w:after="0"/>
              <w:rPr>
                <w:sz w:val="13"/>
                <w:szCs w:val="13"/>
                <w:color w:val="auto"/>
              </w:rPr>
            </w:pPr>
          </w:p>
        </w:tc>
        <w:tc>
          <w:tcPr>
            <w:tcW w:w="1340" w:type="dxa"/>
            <w:vAlign w:val="bottom"/>
            <w:vMerge w:val="restart"/>
          </w:tcPr>
          <w:p>
            <w:pPr>
              <w:jc w:val="right"/>
              <w:spacing w:after="0"/>
              <w:rPr>
                <w:sz w:val="20"/>
                <w:szCs w:val="20"/>
                <w:color w:val="auto"/>
              </w:rPr>
            </w:pPr>
            <w:r>
              <w:rPr>
                <w:rFonts w:ascii="Arial" w:cs="Arial" w:eastAsia="Arial" w:hAnsi="Arial"/>
                <w:sz w:val="14"/>
                <w:szCs w:val="14"/>
                <w:b w:val="1"/>
                <w:bCs w:val="1"/>
                <w:color w:val="00539B"/>
              </w:rPr>
              <w:t>—</w:t>
            </w:r>
          </w:p>
        </w:tc>
        <w:tc>
          <w:tcPr>
            <w:tcW w:w="24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b w:val="1"/>
                <w:bCs w:val="1"/>
                <w:color w:val="00539B"/>
              </w:rPr>
              <w:t>(52)</w:t>
            </w:r>
          </w:p>
        </w:tc>
        <w:tc>
          <w:tcPr>
            <w:tcW w:w="0" w:type="dxa"/>
            <w:vAlign w:val="bottom"/>
          </w:tcPr>
          <w:p>
            <w:pPr>
              <w:spacing w:after="0"/>
              <w:rPr>
                <w:sz w:val="1"/>
                <w:szCs w:val="1"/>
                <w:color w:val="auto"/>
              </w:rPr>
            </w:pPr>
          </w:p>
        </w:tc>
      </w:tr>
      <w:tr>
        <w:trPr>
          <w:trHeight w:val="187"/>
        </w:trPr>
        <w:tc>
          <w:tcPr>
            <w:tcW w:w="3280" w:type="dxa"/>
            <w:vAlign w:val="bottom"/>
          </w:tcPr>
          <w:p>
            <w:pPr>
              <w:ind w:left="420"/>
              <w:spacing w:after="0"/>
              <w:rPr>
                <w:sz w:val="20"/>
                <w:szCs w:val="20"/>
                <w:color w:val="auto"/>
              </w:rPr>
            </w:pPr>
            <w:r>
              <w:rPr>
                <w:rFonts w:ascii="Arial" w:cs="Arial" w:eastAsia="Arial" w:hAnsi="Arial"/>
                <w:sz w:val="14"/>
                <w:szCs w:val="14"/>
                <w:color w:val="auto"/>
              </w:rPr>
              <w:t>premium</w:t>
            </w:r>
          </w:p>
        </w:tc>
        <w:tc>
          <w:tcPr>
            <w:tcW w:w="8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3280" w:type="dxa"/>
            <w:vAlign w:val="bottom"/>
          </w:tcPr>
          <w:p>
            <w:pPr>
              <w:ind w:left="340"/>
              <w:spacing w:after="0" w:line="147" w:lineRule="exact"/>
              <w:rPr>
                <w:sz w:val="20"/>
                <w:szCs w:val="20"/>
                <w:color w:val="auto"/>
              </w:rPr>
            </w:pPr>
            <w:r>
              <w:rPr>
                <w:rFonts w:ascii="Arial" w:cs="Arial" w:eastAsia="Arial" w:hAnsi="Arial"/>
                <w:sz w:val="14"/>
                <w:szCs w:val="14"/>
                <w:color w:val="auto"/>
              </w:rPr>
              <w:t>Preferred stock redemption value in</w:t>
            </w:r>
          </w:p>
        </w:tc>
        <w:tc>
          <w:tcPr>
            <w:tcW w:w="86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b w:val="1"/>
                <w:bCs w:val="1"/>
                <w:color w:val="00539B"/>
              </w:rPr>
              <w:t>13</w:t>
            </w:r>
          </w:p>
        </w:tc>
        <w:tc>
          <w:tcPr>
            <w:tcW w:w="200" w:type="dxa"/>
            <w:vAlign w:val="bottom"/>
          </w:tcPr>
          <w:p>
            <w:pPr>
              <w:spacing w:after="0"/>
              <w:rPr>
                <w:sz w:val="12"/>
                <w:szCs w:val="12"/>
                <w:color w:val="auto"/>
              </w:rPr>
            </w:pPr>
          </w:p>
        </w:tc>
        <w:tc>
          <w:tcPr>
            <w:tcW w:w="72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00539B"/>
              </w:rPr>
              <w:t>—</w:t>
            </w:r>
          </w:p>
        </w:tc>
        <w:tc>
          <w:tcPr>
            <w:tcW w:w="200" w:type="dxa"/>
            <w:vAlign w:val="bottom"/>
          </w:tcPr>
          <w:p>
            <w:pPr>
              <w:spacing w:after="0"/>
              <w:rPr>
                <w:sz w:val="12"/>
                <w:szCs w:val="12"/>
                <w:color w:val="auto"/>
              </w:rPr>
            </w:pPr>
          </w:p>
        </w:tc>
        <w:tc>
          <w:tcPr>
            <w:tcW w:w="70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00539B"/>
              </w:rPr>
              <w:t>—</w:t>
            </w:r>
          </w:p>
        </w:tc>
        <w:tc>
          <w:tcPr>
            <w:tcW w:w="220" w:type="dxa"/>
            <w:vAlign w:val="bottom"/>
          </w:tcPr>
          <w:p>
            <w:pPr>
              <w:spacing w:after="0"/>
              <w:rPr>
                <w:sz w:val="12"/>
                <w:szCs w:val="12"/>
                <w:color w:val="auto"/>
              </w:rPr>
            </w:pPr>
          </w:p>
        </w:tc>
        <w:tc>
          <w:tcPr>
            <w:tcW w:w="86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00539B"/>
              </w:rPr>
              <w:t>—</w:t>
            </w:r>
          </w:p>
        </w:tc>
        <w:tc>
          <w:tcPr>
            <w:tcW w:w="30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b w:val="1"/>
                <w:bCs w:val="1"/>
                <w:color w:val="00539B"/>
              </w:rPr>
              <w:t>(13)</w:t>
            </w:r>
          </w:p>
        </w:tc>
        <w:tc>
          <w:tcPr>
            <w:tcW w:w="100" w:type="dxa"/>
            <w:vAlign w:val="bottom"/>
          </w:tcPr>
          <w:p>
            <w:pPr>
              <w:spacing w:after="0"/>
              <w:rPr>
                <w:sz w:val="12"/>
                <w:szCs w:val="12"/>
                <w:color w:val="auto"/>
              </w:rPr>
            </w:pPr>
          </w:p>
        </w:tc>
        <w:tc>
          <w:tcPr>
            <w:tcW w:w="1340" w:type="dxa"/>
            <w:vAlign w:val="bottom"/>
            <w:vMerge w:val="restart"/>
          </w:tcPr>
          <w:p>
            <w:pPr>
              <w:jc w:val="right"/>
              <w:spacing w:after="0"/>
              <w:rPr>
                <w:sz w:val="20"/>
                <w:szCs w:val="20"/>
                <w:color w:val="auto"/>
              </w:rPr>
            </w:pPr>
            <w:r>
              <w:rPr>
                <w:rFonts w:ascii="Arial" w:cs="Arial" w:eastAsia="Arial" w:hAnsi="Arial"/>
                <w:sz w:val="14"/>
                <w:szCs w:val="14"/>
                <w:b w:val="1"/>
                <w:bCs w:val="1"/>
                <w:color w:val="00539B"/>
              </w:rPr>
              <w:t>—</w:t>
            </w:r>
          </w:p>
        </w:tc>
        <w:tc>
          <w:tcPr>
            <w:tcW w:w="24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b w:val="1"/>
                <w:bCs w:val="1"/>
                <w:color w:val="00539B"/>
              </w:rPr>
              <w:t>—</w:t>
            </w:r>
          </w:p>
        </w:tc>
        <w:tc>
          <w:tcPr>
            <w:tcW w:w="0" w:type="dxa"/>
            <w:vAlign w:val="bottom"/>
          </w:tcPr>
          <w:p>
            <w:pPr>
              <w:spacing w:after="0"/>
              <w:rPr>
                <w:sz w:val="1"/>
                <w:szCs w:val="1"/>
                <w:color w:val="auto"/>
              </w:rPr>
            </w:pPr>
          </w:p>
        </w:tc>
      </w:tr>
      <w:tr>
        <w:trPr>
          <w:trHeight w:val="191"/>
        </w:trPr>
        <w:tc>
          <w:tcPr>
            <w:tcW w:w="3280" w:type="dxa"/>
            <w:vAlign w:val="bottom"/>
          </w:tcPr>
          <w:p>
            <w:pPr>
              <w:ind w:left="420"/>
              <w:spacing w:after="0"/>
              <w:rPr>
                <w:sz w:val="20"/>
                <w:szCs w:val="20"/>
                <w:color w:val="auto"/>
              </w:rPr>
            </w:pPr>
            <w:r>
              <w:rPr>
                <w:rFonts w:ascii="Arial" w:cs="Arial" w:eastAsia="Arial" w:hAnsi="Arial"/>
                <w:sz w:val="14"/>
                <w:szCs w:val="14"/>
                <w:color w:val="auto"/>
              </w:rPr>
              <w:t>excess of carrying value</w:t>
            </w:r>
          </w:p>
        </w:tc>
        <w:tc>
          <w:tcPr>
            <w:tcW w:w="8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280" w:type="dxa"/>
            <w:vAlign w:val="bottom"/>
          </w:tcPr>
          <w:p>
            <w:pPr>
              <w:ind w:left="340"/>
              <w:spacing w:after="0"/>
              <w:rPr>
                <w:sz w:val="20"/>
                <w:szCs w:val="20"/>
                <w:color w:val="auto"/>
              </w:rPr>
            </w:pPr>
            <w:r>
              <w:rPr>
                <w:rFonts w:ascii="Arial" w:cs="Arial" w:eastAsia="Arial" w:hAnsi="Arial"/>
                <w:sz w:val="14"/>
                <w:szCs w:val="14"/>
                <w:color w:val="auto"/>
              </w:rPr>
              <w:t>Shareholder warrants exercised</w:t>
            </w:r>
          </w:p>
        </w:tc>
        <w:tc>
          <w:tcPr>
            <w:tcW w:w="8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00539B"/>
              </w:rPr>
              <w:t>—</w:t>
            </w:r>
          </w:p>
        </w:tc>
        <w:tc>
          <w:tcPr>
            <w:tcW w:w="200" w:type="dxa"/>
            <w:vAlign w:val="bottom"/>
          </w:tcPr>
          <w:p>
            <w:pPr>
              <w:spacing w:after="0"/>
              <w:rPr>
                <w:sz w:val="16"/>
                <w:szCs w:val="16"/>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b w:val="1"/>
                <w:bCs w:val="1"/>
                <w:color w:val="00539B"/>
              </w:rPr>
              <w:t>—</w:t>
            </w:r>
          </w:p>
        </w:tc>
        <w:tc>
          <w:tcPr>
            <w:tcW w:w="200" w:type="dxa"/>
            <w:vAlign w:val="bottom"/>
          </w:tcPr>
          <w:p>
            <w:pPr>
              <w:spacing w:after="0"/>
              <w:rPr>
                <w:sz w:val="16"/>
                <w:szCs w:val="16"/>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b w:val="1"/>
                <w:bCs w:val="1"/>
                <w:color w:val="00539B"/>
              </w:rPr>
              <w:t>—</w:t>
            </w:r>
          </w:p>
        </w:tc>
        <w:tc>
          <w:tcPr>
            <w:tcW w:w="22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b w:val="1"/>
                <w:bCs w:val="1"/>
                <w:color w:val="00539B"/>
              </w:rPr>
              <w:t>1</w:t>
            </w:r>
          </w:p>
        </w:tc>
        <w:tc>
          <w:tcPr>
            <w:tcW w:w="3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00539B"/>
              </w:rPr>
              <w:t>—</w:t>
            </w:r>
          </w:p>
        </w:tc>
        <w:tc>
          <w:tcPr>
            <w:tcW w:w="1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b w:val="1"/>
                <w:bCs w:val="1"/>
                <w:color w:val="00539B"/>
              </w:rPr>
              <w:t>—</w:t>
            </w:r>
          </w:p>
        </w:tc>
        <w:tc>
          <w:tcPr>
            <w:tcW w:w="2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00539B"/>
              </w:rPr>
              <w:t>1</w:t>
            </w:r>
          </w:p>
        </w:tc>
        <w:tc>
          <w:tcPr>
            <w:tcW w:w="0" w:type="dxa"/>
            <w:vAlign w:val="bottom"/>
          </w:tcPr>
          <w:p>
            <w:pPr>
              <w:spacing w:after="0"/>
              <w:rPr>
                <w:sz w:val="1"/>
                <w:szCs w:val="1"/>
                <w:color w:val="auto"/>
              </w:rPr>
            </w:pPr>
          </w:p>
        </w:tc>
      </w:tr>
      <w:tr>
        <w:trPr>
          <w:trHeight w:val="199"/>
        </w:trPr>
        <w:tc>
          <w:tcPr>
            <w:tcW w:w="3280" w:type="dxa"/>
            <w:vAlign w:val="bottom"/>
          </w:tcPr>
          <w:p>
            <w:pPr>
              <w:ind w:left="340"/>
              <w:spacing w:after="0"/>
              <w:rPr>
                <w:sz w:val="20"/>
                <w:szCs w:val="20"/>
                <w:color w:val="auto"/>
              </w:rPr>
            </w:pPr>
            <w:r>
              <w:rPr>
                <w:rFonts w:ascii="Arial" w:cs="Arial" w:eastAsia="Arial" w:hAnsi="Arial"/>
                <w:sz w:val="14"/>
                <w:szCs w:val="14"/>
                <w:color w:val="auto"/>
              </w:rPr>
              <w:t>Options exercised</w:t>
            </w:r>
          </w:p>
        </w:tc>
        <w:tc>
          <w:tcPr>
            <w:tcW w:w="8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00539B"/>
              </w:rPr>
              <w:t>—</w:t>
            </w:r>
          </w:p>
        </w:tc>
        <w:tc>
          <w:tcPr>
            <w:tcW w:w="200" w:type="dxa"/>
            <w:vAlign w:val="bottom"/>
          </w:tcPr>
          <w:p>
            <w:pPr>
              <w:spacing w:after="0"/>
              <w:rPr>
                <w:sz w:val="17"/>
                <w:szCs w:val="17"/>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b w:val="1"/>
                <w:bCs w:val="1"/>
                <w:color w:val="00539B"/>
              </w:rPr>
              <w:t>—</w:t>
            </w:r>
          </w:p>
        </w:tc>
        <w:tc>
          <w:tcPr>
            <w:tcW w:w="200" w:type="dxa"/>
            <w:vAlign w:val="bottom"/>
          </w:tcPr>
          <w:p>
            <w:pPr>
              <w:spacing w:after="0"/>
              <w:rPr>
                <w:sz w:val="17"/>
                <w:szCs w:val="17"/>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b w:val="1"/>
                <w:bCs w:val="1"/>
                <w:color w:val="00539B"/>
              </w:rPr>
              <w:t>—</w:t>
            </w:r>
          </w:p>
        </w:tc>
        <w:tc>
          <w:tcPr>
            <w:tcW w:w="220" w:type="dxa"/>
            <w:vAlign w:val="bottom"/>
          </w:tcPr>
          <w:p>
            <w:pPr>
              <w:spacing w:after="0"/>
              <w:rPr>
                <w:sz w:val="17"/>
                <w:szCs w:val="17"/>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b w:val="1"/>
                <w:bCs w:val="1"/>
                <w:color w:val="00539B"/>
              </w:rPr>
              <w:t>6</w:t>
            </w:r>
          </w:p>
        </w:tc>
        <w:tc>
          <w:tcPr>
            <w:tcW w:w="3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00539B"/>
              </w:rPr>
              <w:t>—</w:t>
            </w:r>
          </w:p>
        </w:tc>
        <w:tc>
          <w:tcPr>
            <w:tcW w:w="1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4"/>
                <w:szCs w:val="14"/>
                <w:b w:val="1"/>
                <w:bCs w:val="1"/>
                <w:color w:val="00539B"/>
              </w:rPr>
              <w:t>—</w:t>
            </w:r>
          </w:p>
        </w:tc>
        <w:tc>
          <w:tcPr>
            <w:tcW w:w="2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00539B"/>
              </w:rPr>
              <w:t>6</w:t>
            </w:r>
          </w:p>
        </w:tc>
        <w:tc>
          <w:tcPr>
            <w:tcW w:w="0" w:type="dxa"/>
            <w:vAlign w:val="bottom"/>
          </w:tcPr>
          <w:p>
            <w:pPr>
              <w:spacing w:after="0"/>
              <w:rPr>
                <w:sz w:val="1"/>
                <w:szCs w:val="1"/>
                <w:color w:val="auto"/>
              </w:rPr>
            </w:pPr>
          </w:p>
        </w:tc>
      </w:tr>
      <w:tr>
        <w:trPr>
          <w:trHeight w:val="156"/>
        </w:trPr>
        <w:tc>
          <w:tcPr>
            <w:tcW w:w="3280" w:type="dxa"/>
            <w:vAlign w:val="bottom"/>
          </w:tcPr>
          <w:p>
            <w:pPr>
              <w:ind w:left="340"/>
              <w:spacing w:after="0" w:line="156" w:lineRule="exact"/>
              <w:rPr>
                <w:sz w:val="20"/>
                <w:szCs w:val="20"/>
                <w:color w:val="auto"/>
              </w:rPr>
            </w:pPr>
            <w:r>
              <w:rPr>
                <w:rFonts w:ascii="Arial" w:cs="Arial" w:eastAsia="Arial" w:hAnsi="Arial"/>
                <w:sz w:val="14"/>
                <w:szCs w:val="14"/>
                <w:color w:val="auto"/>
              </w:rPr>
              <w:t>Issuance of common stock and</w:t>
            </w:r>
          </w:p>
        </w:tc>
        <w:tc>
          <w:tcPr>
            <w:tcW w:w="86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b w:val="1"/>
                <w:bCs w:val="1"/>
                <w:color w:val="00539B"/>
              </w:rPr>
              <w:t>—</w:t>
            </w:r>
          </w:p>
        </w:tc>
        <w:tc>
          <w:tcPr>
            <w:tcW w:w="200" w:type="dxa"/>
            <w:vAlign w:val="bottom"/>
          </w:tcPr>
          <w:p>
            <w:pPr>
              <w:spacing w:after="0"/>
              <w:rPr>
                <w:sz w:val="13"/>
                <w:szCs w:val="13"/>
                <w:color w:val="auto"/>
              </w:rPr>
            </w:pPr>
          </w:p>
        </w:tc>
        <w:tc>
          <w:tcPr>
            <w:tcW w:w="72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00539B"/>
              </w:rPr>
              <w:t>—</w:t>
            </w:r>
          </w:p>
        </w:tc>
        <w:tc>
          <w:tcPr>
            <w:tcW w:w="200" w:type="dxa"/>
            <w:vAlign w:val="bottom"/>
          </w:tcPr>
          <w:p>
            <w:pPr>
              <w:spacing w:after="0"/>
              <w:rPr>
                <w:sz w:val="13"/>
                <w:szCs w:val="13"/>
                <w:color w:val="auto"/>
              </w:rPr>
            </w:pPr>
          </w:p>
        </w:tc>
        <w:tc>
          <w:tcPr>
            <w:tcW w:w="70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00539B"/>
              </w:rPr>
              <w:t>—</w:t>
            </w:r>
          </w:p>
        </w:tc>
        <w:tc>
          <w:tcPr>
            <w:tcW w:w="220" w:type="dxa"/>
            <w:vAlign w:val="bottom"/>
          </w:tcPr>
          <w:p>
            <w:pPr>
              <w:spacing w:after="0"/>
              <w:rPr>
                <w:sz w:val="13"/>
                <w:szCs w:val="13"/>
                <w:color w:val="auto"/>
              </w:rPr>
            </w:pPr>
          </w:p>
        </w:tc>
        <w:tc>
          <w:tcPr>
            <w:tcW w:w="86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00539B"/>
              </w:rPr>
              <w:t>52</w:t>
            </w:r>
          </w:p>
        </w:tc>
        <w:tc>
          <w:tcPr>
            <w:tcW w:w="30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b w:val="1"/>
                <w:bCs w:val="1"/>
                <w:color w:val="00539B"/>
              </w:rPr>
              <w:t>—</w:t>
            </w:r>
          </w:p>
        </w:tc>
        <w:tc>
          <w:tcPr>
            <w:tcW w:w="100" w:type="dxa"/>
            <w:vAlign w:val="bottom"/>
          </w:tcPr>
          <w:p>
            <w:pPr>
              <w:spacing w:after="0"/>
              <w:rPr>
                <w:sz w:val="13"/>
                <w:szCs w:val="13"/>
                <w:color w:val="auto"/>
              </w:rPr>
            </w:pPr>
          </w:p>
        </w:tc>
        <w:tc>
          <w:tcPr>
            <w:tcW w:w="1340" w:type="dxa"/>
            <w:vAlign w:val="bottom"/>
            <w:vMerge w:val="restart"/>
          </w:tcPr>
          <w:p>
            <w:pPr>
              <w:jc w:val="right"/>
              <w:spacing w:after="0"/>
              <w:rPr>
                <w:sz w:val="20"/>
                <w:szCs w:val="20"/>
                <w:color w:val="auto"/>
              </w:rPr>
            </w:pPr>
            <w:r>
              <w:rPr>
                <w:rFonts w:ascii="Arial" w:cs="Arial" w:eastAsia="Arial" w:hAnsi="Arial"/>
                <w:sz w:val="14"/>
                <w:szCs w:val="14"/>
                <w:b w:val="1"/>
                <w:bCs w:val="1"/>
                <w:color w:val="00539B"/>
              </w:rPr>
              <w:t>—</w:t>
            </w:r>
          </w:p>
        </w:tc>
        <w:tc>
          <w:tcPr>
            <w:tcW w:w="24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b w:val="1"/>
                <w:bCs w:val="1"/>
                <w:color w:val="00539B"/>
              </w:rPr>
              <w:t>52</w:t>
            </w:r>
          </w:p>
        </w:tc>
        <w:tc>
          <w:tcPr>
            <w:tcW w:w="0" w:type="dxa"/>
            <w:vAlign w:val="bottom"/>
          </w:tcPr>
          <w:p>
            <w:pPr>
              <w:spacing w:after="0"/>
              <w:rPr>
                <w:sz w:val="1"/>
                <w:szCs w:val="1"/>
                <w:color w:val="auto"/>
              </w:rPr>
            </w:pPr>
          </w:p>
        </w:tc>
      </w:tr>
      <w:tr>
        <w:trPr>
          <w:trHeight w:val="179"/>
        </w:trPr>
        <w:tc>
          <w:tcPr>
            <w:tcW w:w="3280" w:type="dxa"/>
            <w:vAlign w:val="bottom"/>
          </w:tcPr>
          <w:p>
            <w:pPr>
              <w:ind w:left="420"/>
              <w:spacing w:after="0"/>
              <w:rPr>
                <w:sz w:val="20"/>
                <w:szCs w:val="20"/>
                <w:color w:val="auto"/>
              </w:rPr>
            </w:pPr>
            <w:r>
              <w:rPr>
                <w:rFonts w:ascii="Arial" w:cs="Arial" w:eastAsia="Arial" w:hAnsi="Arial"/>
                <w:sz w:val="14"/>
                <w:szCs w:val="14"/>
                <w:color w:val="auto"/>
              </w:rPr>
              <w:t>other, net of cancellations</w:t>
            </w:r>
          </w:p>
        </w:tc>
        <w:tc>
          <w:tcPr>
            <w:tcW w:w="86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3280" w:type="dxa"/>
            <w:vAlign w:val="bottom"/>
            <w:tcBorders>
              <w:bottom w:val="single" w:sz="8" w:color="auto"/>
            </w:tcBorders>
          </w:tcPr>
          <w:p>
            <w:pPr>
              <w:ind w:left="340"/>
              <w:spacing w:after="0"/>
              <w:rPr>
                <w:sz w:val="20"/>
                <w:szCs w:val="20"/>
                <w:color w:val="auto"/>
              </w:rPr>
            </w:pPr>
            <w:r>
              <w:rPr>
                <w:rFonts w:ascii="Arial" w:cs="Arial" w:eastAsia="Arial" w:hAnsi="Arial"/>
                <w:sz w:val="14"/>
                <w:szCs w:val="14"/>
                <w:color w:val="auto"/>
              </w:rPr>
              <w:t>Purchases of treasury stock</w:t>
            </w:r>
          </w:p>
        </w:tc>
        <w:tc>
          <w:tcPr>
            <w:tcW w:w="8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00539B"/>
              </w:rPr>
              <w:t>—</w:t>
            </w: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00539B"/>
              </w:rPr>
              <w:t>—</w:t>
            </w: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00539B"/>
              </w:rPr>
              <w:t>(434)</w:t>
            </w: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00539B"/>
              </w:rPr>
              <w:t>—</w:t>
            </w:r>
          </w:p>
        </w:tc>
        <w:tc>
          <w:tcPr>
            <w:tcW w:w="3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00539B"/>
              </w:rPr>
              <w:t>—</w:t>
            </w:r>
          </w:p>
        </w:tc>
        <w:tc>
          <w:tcPr>
            <w:tcW w:w="1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00539B"/>
              </w:rPr>
              <w:t>—</w:t>
            </w:r>
          </w:p>
        </w:tc>
        <w:tc>
          <w:tcPr>
            <w:tcW w:w="2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00539B"/>
              </w:rPr>
              <w:t>(434)</w:t>
            </w:r>
          </w:p>
        </w:tc>
        <w:tc>
          <w:tcPr>
            <w:tcW w:w="0" w:type="dxa"/>
            <w:vAlign w:val="bottom"/>
          </w:tcPr>
          <w:p>
            <w:pPr>
              <w:spacing w:after="0"/>
              <w:rPr>
                <w:sz w:val="1"/>
                <w:szCs w:val="1"/>
                <w:color w:val="auto"/>
              </w:rPr>
            </w:pPr>
          </w:p>
        </w:tc>
      </w:tr>
      <w:tr>
        <w:trPr>
          <w:trHeight w:val="193"/>
        </w:trPr>
        <w:tc>
          <w:tcPr>
            <w:tcW w:w="32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00539B"/>
              </w:rPr>
              <w:t>Balance as of June 30, 2023</w:t>
            </w: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00539B"/>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00539B"/>
              </w:rPr>
              <w:t>8,621</w:t>
            </w: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00539B"/>
              </w:rPr>
              <w:t>$</w:t>
            </w: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00539B"/>
              </w:rPr>
              <w:t>221</w:t>
            </w: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00539B"/>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00539B"/>
              </w:rPr>
              <w:t>(14,958)</w:t>
            </w:r>
          </w:p>
        </w:tc>
        <w:tc>
          <w:tcPr>
            <w:tcW w:w="2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00539B"/>
              </w:rPr>
              <w:t>$</w:t>
            </w: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00539B"/>
              </w:rPr>
              <w:t>17,218</w:t>
            </w: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00539B"/>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00539B"/>
              </w:rPr>
              <w:t>17,762</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00539B"/>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00539B"/>
              </w:rPr>
              <w:t>247</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00539B"/>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00539B"/>
              </w:rPr>
              <w:t>29,111</w:t>
            </w:r>
          </w:p>
        </w:tc>
        <w:tc>
          <w:tcPr>
            <w:tcW w:w="0" w:type="dxa"/>
            <w:vAlign w:val="bottom"/>
          </w:tcPr>
          <w:p>
            <w:pPr>
              <w:spacing w:after="0"/>
              <w:rPr>
                <w:sz w:val="1"/>
                <w:szCs w:val="1"/>
                <w:color w:val="auto"/>
              </w:rPr>
            </w:pPr>
          </w:p>
        </w:tc>
      </w:tr>
    </w:tbl>
    <w:p>
      <w:pPr>
        <w:spacing w:after="0" w:line="123"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are an integral part of these Consolidated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715962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8" w:right="339" w:bottom="1440" w:gutter="0" w:footer="0" w:header="0"/>
          <w:type w:val="continuous"/>
        </w:sectPr>
      </w:pPr>
    </w:p>
    <w:bookmarkStart w:id="9" w:name="page10"/>
    <w:bookmarkEnd w:id="9"/>
    <w:p>
      <w:pPr>
        <w:ind w:left="20"/>
        <w:spacing w:after="0"/>
        <w:rPr>
          <w:sz w:val="20"/>
          <w:szCs w:val="20"/>
          <w:color w:val="auto"/>
        </w:rPr>
      </w:pPr>
      <w:r>
        <w:rPr>
          <w:rFonts w:ascii="Arial" w:cs="Arial" w:eastAsia="Arial" w:hAnsi="Arial"/>
          <w:sz w:val="24"/>
          <w:szCs w:val="24"/>
          <w:b w:val="1"/>
          <w:bCs w:val="1"/>
          <w:color w:val="00539B"/>
        </w:rPr>
        <w:t>Consolidated Condensed Statements of Equity</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jc w:val="right"/>
        <w:ind w:right="20"/>
        <w:spacing w:after="0" w:line="238" w:lineRule="auto"/>
        <w:rPr>
          <w:sz w:val="20"/>
          <w:szCs w:val="20"/>
          <w:color w:val="auto"/>
        </w:rPr>
      </w:pPr>
      <w:r>
        <w:rPr>
          <w:rFonts w:ascii="Arial" w:cs="Arial" w:eastAsia="Arial" w:hAnsi="Arial"/>
          <w:sz w:val="17"/>
          <w:szCs w:val="17"/>
          <w:color w:val="auto"/>
        </w:rPr>
        <w:t>Occidental Petroleum Corporation and Subsidiaries</w:t>
      </w:r>
    </w:p>
    <w:p>
      <w:pPr>
        <w:spacing w:after="0" w:line="104" w:lineRule="exact"/>
        <w:rPr>
          <w:sz w:val="20"/>
          <w:szCs w:val="20"/>
          <w:color w:val="auto"/>
        </w:rPr>
      </w:pPr>
    </w:p>
    <w:p>
      <w:pPr>
        <w:sectPr>
          <w:pgSz w:w="11900" w:h="16838" w:orient="portrait"/>
          <w:cols w:equalWidth="0" w:num="2">
            <w:col w:w="7640" w:space="720"/>
            <w:col w:w="2880"/>
          </w:cols>
          <w:pgMar w:left="320" w:top="1098" w:right="339" w:bottom="1440" w:gutter="0" w:footer="0" w:header="0"/>
        </w:sectPr>
      </w:pPr>
    </w:p>
    <w:tbl>
      <w:tblPr>
        <w:tblLayout w:type="fixed"/>
        <w:tblInd w:w="0" w:type="dxa"/>
        <w:tblCellMar>
          <w:top w:w="0" w:type="dxa"/>
          <w:left w:w="0" w:type="dxa"/>
          <w:bottom w:w="0" w:type="dxa"/>
          <w:right w:w="0" w:type="dxa"/>
        </w:tblCellMar>
      </w:tblPr>
      <w:tr>
        <w:trPr>
          <w:trHeight w:val="213"/>
        </w:trPr>
        <w:tc>
          <w:tcPr>
            <w:tcW w:w="36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2860" w:type="dxa"/>
            <w:vAlign w:val="bottom"/>
            <w:tcBorders>
              <w:top w:val="single" w:sz="8" w:color="auto"/>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Equity Attributable to Common Stock</w:t>
            </w:r>
          </w:p>
        </w:tc>
        <w:tc>
          <w:tcPr>
            <w:tcW w:w="10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1"/>
        </w:trPr>
        <w:tc>
          <w:tcPr>
            <w:tcW w:w="3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Preferred</w:t>
            </w:r>
          </w:p>
        </w:tc>
        <w:tc>
          <w:tcPr>
            <w:tcW w:w="18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Common</w:t>
            </w:r>
          </w:p>
        </w:tc>
        <w:tc>
          <w:tcPr>
            <w:tcW w:w="20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Treasury</w:t>
            </w:r>
          </w:p>
        </w:tc>
        <w:tc>
          <w:tcPr>
            <w:tcW w:w="22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Additional</w:t>
            </w:r>
          </w:p>
        </w:tc>
        <w:tc>
          <w:tcPr>
            <w:tcW w:w="28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Retained</w:t>
            </w:r>
          </w:p>
        </w:tc>
        <w:tc>
          <w:tcPr>
            <w:tcW w:w="100" w:type="dxa"/>
            <w:vAlign w:val="bottom"/>
          </w:tcPr>
          <w:p>
            <w:pPr>
              <w:spacing w:after="0"/>
              <w:rPr>
                <w:sz w:val="12"/>
                <w:szCs w:val="12"/>
                <w:color w:val="auto"/>
              </w:rPr>
            </w:pPr>
          </w:p>
        </w:tc>
        <w:tc>
          <w:tcPr>
            <w:tcW w:w="1340" w:type="dxa"/>
            <w:vAlign w:val="bottom"/>
          </w:tcPr>
          <w:p>
            <w:pPr>
              <w:jc w:val="right"/>
              <w:spacing w:after="0" w:line="141" w:lineRule="exact"/>
              <w:rPr>
                <w:sz w:val="20"/>
                <w:szCs w:val="20"/>
                <w:color w:val="auto"/>
              </w:rPr>
            </w:pPr>
            <w:r>
              <w:rPr>
                <w:rFonts w:ascii="Arial" w:cs="Arial" w:eastAsia="Arial" w:hAnsi="Arial"/>
                <w:sz w:val="14"/>
                <w:szCs w:val="14"/>
                <w:b w:val="1"/>
                <w:bCs w:val="1"/>
                <w:color w:val="auto"/>
              </w:rPr>
              <w:t>Accumulated Other</w:t>
            </w: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368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millions, except per-share amounts</w:t>
            </w:r>
          </w:p>
        </w:tc>
        <w:tc>
          <w:tcPr>
            <w:tcW w:w="52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tcPr>
          <w:p>
            <w:pPr>
              <w:jc w:val="right"/>
              <w:spacing w:after="0" w:line="133" w:lineRule="exact"/>
              <w:rPr>
                <w:sz w:val="20"/>
                <w:szCs w:val="20"/>
                <w:color w:val="auto"/>
              </w:rPr>
            </w:pPr>
            <w:r>
              <w:rPr>
                <w:rFonts w:ascii="Arial" w:cs="Arial" w:eastAsia="Arial" w:hAnsi="Arial"/>
                <w:sz w:val="14"/>
                <w:szCs w:val="14"/>
                <w:b w:val="1"/>
                <w:bCs w:val="1"/>
                <w:color w:val="auto"/>
              </w:rPr>
              <w:t>Comprehensive</w:t>
            </w:r>
          </w:p>
        </w:tc>
        <w:tc>
          <w:tcPr>
            <w:tcW w:w="9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Total Equity</w:t>
            </w:r>
          </w:p>
        </w:tc>
        <w:tc>
          <w:tcPr>
            <w:tcW w:w="0" w:type="dxa"/>
            <w:vAlign w:val="bottom"/>
          </w:tcPr>
          <w:p>
            <w:pPr>
              <w:spacing w:after="0"/>
              <w:rPr>
                <w:sz w:val="1"/>
                <w:szCs w:val="1"/>
                <w:color w:val="auto"/>
              </w:rPr>
            </w:pPr>
          </w:p>
        </w:tc>
      </w:tr>
      <w:tr>
        <w:trPr>
          <w:trHeight w:val="199"/>
        </w:trPr>
        <w:tc>
          <w:tcPr>
            <w:tcW w:w="3680" w:type="dxa"/>
            <w:vAlign w:val="bottom"/>
            <w:tcBorders>
              <w:bottom w:val="single" w:sz="8" w:color="auto"/>
            </w:tcBorders>
            <w:vMerge w:val="continue"/>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Stock</w:t>
            </w: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Stock</w:t>
            </w: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Stock</w:t>
            </w: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Paid-in Capital</w:t>
            </w:r>
          </w:p>
        </w:tc>
        <w:tc>
          <w:tcPr>
            <w:tcW w:w="2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Earnings</w:t>
            </w:r>
          </w:p>
        </w:tc>
        <w:tc>
          <w:tcPr>
            <w:tcW w:w="1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Income (Loss)</w:t>
            </w:r>
          </w:p>
        </w:tc>
        <w:tc>
          <w:tcPr>
            <w:tcW w:w="900" w:type="dxa"/>
            <w:vAlign w:val="bottom"/>
            <w:tcBorders>
              <w:bottom w:val="single" w:sz="8" w:color="auto"/>
            </w:tcBorders>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680" w:type="dxa"/>
            <w:vAlign w:val="bottom"/>
          </w:tcPr>
          <w:p>
            <w:pPr>
              <w:ind w:left="20"/>
              <w:spacing w:after="0"/>
              <w:rPr>
                <w:sz w:val="20"/>
                <w:szCs w:val="20"/>
                <w:color w:val="auto"/>
              </w:rPr>
            </w:pPr>
            <w:r>
              <w:rPr>
                <w:rFonts w:ascii="Arial" w:cs="Arial" w:eastAsia="Arial" w:hAnsi="Arial"/>
                <w:sz w:val="14"/>
                <w:szCs w:val="14"/>
                <w:b w:val="1"/>
                <w:bCs w:val="1"/>
                <w:color w:val="auto"/>
              </w:rPr>
              <w:t>Balance as of December 31, 2021</w:t>
            </w:r>
          </w:p>
        </w:tc>
        <w:tc>
          <w:tcPr>
            <w:tcW w:w="52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9,762</w:t>
            </w:r>
          </w:p>
        </w:tc>
        <w:tc>
          <w:tcPr>
            <w:tcW w:w="180" w:type="dxa"/>
            <w:vAlign w:val="bottom"/>
          </w:tcPr>
          <w:p>
            <w:pPr>
              <w:jc w:val="right"/>
              <w:ind w:right="29"/>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217</w:t>
            </w:r>
          </w:p>
        </w:tc>
        <w:tc>
          <w:tcPr>
            <w:tcW w:w="2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(10,673)</w:t>
            </w:r>
          </w:p>
        </w:tc>
        <w:tc>
          <w:tcPr>
            <w:tcW w:w="2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16,749</w:t>
            </w:r>
          </w:p>
        </w:tc>
        <w:tc>
          <w:tcPr>
            <w:tcW w:w="28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4,480</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(208)</w:t>
            </w:r>
          </w:p>
        </w:tc>
        <w:tc>
          <w:tcPr>
            <w:tcW w:w="2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20,327</w:t>
            </w:r>
          </w:p>
        </w:tc>
        <w:tc>
          <w:tcPr>
            <w:tcW w:w="0" w:type="dxa"/>
            <w:vAlign w:val="bottom"/>
          </w:tcPr>
          <w:p>
            <w:pPr>
              <w:spacing w:after="0"/>
              <w:rPr>
                <w:sz w:val="1"/>
                <w:szCs w:val="1"/>
                <w:color w:val="auto"/>
              </w:rPr>
            </w:pPr>
          </w:p>
        </w:tc>
      </w:tr>
      <w:tr>
        <w:trPr>
          <w:trHeight w:val="181"/>
        </w:trPr>
        <w:tc>
          <w:tcPr>
            <w:tcW w:w="3680" w:type="dxa"/>
            <w:vAlign w:val="bottom"/>
          </w:tcPr>
          <w:p>
            <w:pPr>
              <w:ind w:left="340"/>
              <w:spacing w:after="0"/>
              <w:rPr>
                <w:sz w:val="20"/>
                <w:szCs w:val="20"/>
                <w:color w:val="auto"/>
              </w:rPr>
            </w:pPr>
            <w:r>
              <w:rPr>
                <w:rFonts w:ascii="Arial" w:cs="Arial" w:eastAsia="Arial" w:hAnsi="Arial"/>
                <w:sz w:val="14"/>
                <w:szCs w:val="14"/>
                <w:color w:val="auto"/>
              </w:rPr>
              <w:t>Net income</w:t>
            </w:r>
          </w:p>
        </w:tc>
        <w:tc>
          <w:tcPr>
            <w:tcW w:w="520" w:type="dxa"/>
            <w:vAlign w:val="bottom"/>
          </w:tcPr>
          <w:p>
            <w:pPr>
              <w:spacing w:after="0"/>
              <w:rPr>
                <w:sz w:val="15"/>
                <w:szCs w:val="15"/>
                <w:color w:val="auto"/>
              </w:rPr>
            </w:pP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8,631</w:t>
            </w:r>
          </w:p>
        </w:tc>
        <w:tc>
          <w:tcPr>
            <w:tcW w:w="1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8,631</w:t>
            </w:r>
          </w:p>
        </w:tc>
        <w:tc>
          <w:tcPr>
            <w:tcW w:w="0" w:type="dxa"/>
            <w:vAlign w:val="bottom"/>
          </w:tcPr>
          <w:p>
            <w:pPr>
              <w:spacing w:after="0"/>
              <w:rPr>
                <w:sz w:val="1"/>
                <w:szCs w:val="1"/>
                <w:color w:val="auto"/>
              </w:rPr>
            </w:pPr>
          </w:p>
        </w:tc>
      </w:tr>
      <w:tr>
        <w:trPr>
          <w:trHeight w:val="166"/>
        </w:trPr>
        <w:tc>
          <w:tcPr>
            <w:tcW w:w="3680" w:type="dxa"/>
            <w:vAlign w:val="bottom"/>
          </w:tcPr>
          <w:p>
            <w:pPr>
              <w:ind w:left="340"/>
              <w:spacing w:after="0"/>
              <w:rPr>
                <w:sz w:val="20"/>
                <w:szCs w:val="20"/>
                <w:color w:val="auto"/>
              </w:rPr>
            </w:pPr>
            <w:r>
              <w:rPr>
                <w:rFonts w:ascii="Arial" w:cs="Arial" w:eastAsia="Arial" w:hAnsi="Arial"/>
                <w:sz w:val="14"/>
                <w:szCs w:val="14"/>
                <w:color w:val="auto"/>
              </w:rPr>
              <w:t>Other comprehensive income, net of</w:t>
            </w: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3680" w:type="dxa"/>
            <w:vAlign w:val="bottom"/>
          </w:tcPr>
          <w:p>
            <w:pPr>
              <w:ind w:left="340"/>
              <w:spacing w:after="0"/>
              <w:rPr>
                <w:sz w:val="20"/>
                <w:szCs w:val="20"/>
                <w:color w:val="auto"/>
              </w:rPr>
            </w:pPr>
            <w:r>
              <w:rPr>
                <w:rFonts w:ascii="Arial" w:cs="Arial" w:eastAsia="Arial" w:hAnsi="Arial"/>
                <w:sz w:val="14"/>
                <w:szCs w:val="14"/>
                <w:color w:val="auto"/>
              </w:rPr>
              <w:t>tax</w:t>
            </w:r>
          </w:p>
        </w:tc>
        <w:tc>
          <w:tcPr>
            <w:tcW w:w="520" w:type="dxa"/>
            <w:vAlign w:val="bottom"/>
          </w:tcPr>
          <w:p>
            <w:pPr>
              <w:spacing w:after="0"/>
              <w:rPr>
                <w:sz w:val="15"/>
                <w:szCs w:val="15"/>
                <w:color w:val="auto"/>
              </w:rPr>
            </w:pP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73</w:t>
            </w:r>
          </w:p>
        </w:tc>
        <w:tc>
          <w:tcPr>
            <w:tcW w:w="2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r>
        <w:trPr>
          <w:trHeight w:val="187"/>
        </w:trPr>
        <w:tc>
          <w:tcPr>
            <w:tcW w:w="3680" w:type="dxa"/>
            <w:vAlign w:val="bottom"/>
          </w:tcPr>
          <w:p>
            <w:pPr>
              <w:ind w:left="340"/>
              <w:spacing w:after="0"/>
              <w:rPr>
                <w:sz w:val="20"/>
                <w:szCs w:val="20"/>
                <w:color w:val="auto"/>
              </w:rPr>
            </w:pPr>
            <w:r>
              <w:rPr>
                <w:rFonts w:ascii="Arial" w:cs="Arial" w:eastAsia="Arial" w:hAnsi="Arial"/>
                <w:sz w:val="14"/>
                <w:szCs w:val="14"/>
                <w:color w:val="auto"/>
              </w:rPr>
              <w:t>Dividends on common stock, $0.26 per share</w:t>
            </w:r>
          </w:p>
        </w:tc>
        <w:tc>
          <w:tcPr>
            <w:tcW w:w="520" w:type="dxa"/>
            <w:vAlign w:val="bottom"/>
          </w:tcPr>
          <w:p>
            <w:pPr>
              <w:spacing w:after="0"/>
              <w:rPr>
                <w:sz w:val="16"/>
                <w:szCs w:val="16"/>
                <w:color w:val="auto"/>
              </w:rPr>
            </w:pP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(249)</w:t>
            </w:r>
          </w:p>
        </w:tc>
        <w:tc>
          <w:tcPr>
            <w:tcW w:w="1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(249)</w:t>
            </w:r>
          </w:p>
        </w:tc>
        <w:tc>
          <w:tcPr>
            <w:tcW w:w="0" w:type="dxa"/>
            <w:vAlign w:val="bottom"/>
          </w:tcPr>
          <w:p>
            <w:pPr>
              <w:spacing w:after="0"/>
              <w:rPr>
                <w:sz w:val="1"/>
                <w:szCs w:val="1"/>
                <w:color w:val="auto"/>
              </w:rPr>
            </w:pPr>
          </w:p>
        </w:tc>
      </w:tr>
      <w:tr>
        <w:trPr>
          <w:trHeight w:val="200"/>
        </w:trPr>
        <w:tc>
          <w:tcPr>
            <w:tcW w:w="3680" w:type="dxa"/>
            <w:vAlign w:val="bottom"/>
          </w:tcPr>
          <w:p>
            <w:pPr>
              <w:ind w:left="340"/>
              <w:spacing w:after="0"/>
              <w:rPr>
                <w:sz w:val="20"/>
                <w:szCs w:val="20"/>
                <w:color w:val="auto"/>
              </w:rPr>
            </w:pPr>
            <w:r>
              <w:rPr>
                <w:rFonts w:ascii="Arial" w:cs="Arial" w:eastAsia="Arial" w:hAnsi="Arial"/>
                <w:sz w:val="14"/>
                <w:szCs w:val="14"/>
                <w:color w:val="auto"/>
              </w:rPr>
              <w:t>Dividends on preferred stock, $4,000 per share</w:t>
            </w:r>
          </w:p>
        </w:tc>
        <w:tc>
          <w:tcPr>
            <w:tcW w:w="520" w:type="dxa"/>
            <w:vAlign w:val="bottom"/>
          </w:tcPr>
          <w:p>
            <w:pPr>
              <w:spacing w:after="0"/>
              <w:rPr>
                <w:sz w:val="17"/>
                <w:szCs w:val="17"/>
                <w:color w:val="auto"/>
              </w:rPr>
            </w:pP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(400)</w:t>
            </w:r>
          </w:p>
        </w:tc>
        <w:tc>
          <w:tcPr>
            <w:tcW w:w="1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200"/>
        </w:trPr>
        <w:tc>
          <w:tcPr>
            <w:tcW w:w="3680" w:type="dxa"/>
            <w:vAlign w:val="bottom"/>
          </w:tcPr>
          <w:p>
            <w:pPr>
              <w:ind w:left="340"/>
              <w:spacing w:after="0"/>
              <w:rPr>
                <w:sz w:val="20"/>
                <w:szCs w:val="20"/>
                <w:color w:val="auto"/>
              </w:rPr>
            </w:pPr>
            <w:r>
              <w:rPr>
                <w:rFonts w:ascii="Arial" w:cs="Arial" w:eastAsia="Arial" w:hAnsi="Arial"/>
                <w:sz w:val="14"/>
                <w:szCs w:val="14"/>
                <w:color w:val="auto"/>
              </w:rPr>
              <w:t>Shareholder warrants exercised</w:t>
            </w:r>
          </w:p>
        </w:tc>
        <w:tc>
          <w:tcPr>
            <w:tcW w:w="520" w:type="dxa"/>
            <w:vAlign w:val="bottom"/>
          </w:tcPr>
          <w:p>
            <w:pPr>
              <w:spacing w:after="0"/>
              <w:rPr>
                <w:sz w:val="17"/>
                <w:szCs w:val="17"/>
                <w:color w:val="auto"/>
              </w:rPr>
            </w:pP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w:t>
            </w: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89</w:t>
            </w:r>
          </w:p>
        </w:tc>
        <w:tc>
          <w:tcPr>
            <w:tcW w:w="2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90</w:t>
            </w:r>
          </w:p>
        </w:tc>
        <w:tc>
          <w:tcPr>
            <w:tcW w:w="0" w:type="dxa"/>
            <w:vAlign w:val="bottom"/>
          </w:tcPr>
          <w:p>
            <w:pPr>
              <w:spacing w:after="0"/>
              <w:rPr>
                <w:sz w:val="1"/>
                <w:szCs w:val="1"/>
                <w:color w:val="auto"/>
              </w:rPr>
            </w:pPr>
          </w:p>
        </w:tc>
      </w:tr>
      <w:tr>
        <w:trPr>
          <w:trHeight w:val="187"/>
        </w:trPr>
        <w:tc>
          <w:tcPr>
            <w:tcW w:w="3680" w:type="dxa"/>
            <w:vAlign w:val="bottom"/>
          </w:tcPr>
          <w:p>
            <w:pPr>
              <w:ind w:left="340"/>
              <w:spacing w:after="0"/>
              <w:rPr>
                <w:sz w:val="20"/>
                <w:szCs w:val="20"/>
                <w:color w:val="auto"/>
              </w:rPr>
            </w:pPr>
            <w:r>
              <w:rPr>
                <w:rFonts w:ascii="Arial" w:cs="Arial" w:eastAsia="Arial" w:hAnsi="Arial"/>
                <w:sz w:val="14"/>
                <w:szCs w:val="14"/>
                <w:color w:val="auto"/>
              </w:rPr>
              <w:t>Options exercised</w:t>
            </w:r>
          </w:p>
        </w:tc>
        <w:tc>
          <w:tcPr>
            <w:tcW w:w="520" w:type="dxa"/>
            <w:vAlign w:val="bottom"/>
          </w:tcPr>
          <w:p>
            <w:pPr>
              <w:spacing w:after="0"/>
              <w:rPr>
                <w:sz w:val="16"/>
                <w:szCs w:val="16"/>
                <w:color w:val="auto"/>
              </w:rPr>
            </w:pP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17</w:t>
            </w:r>
          </w:p>
        </w:tc>
        <w:tc>
          <w:tcPr>
            <w:tcW w:w="2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66"/>
        </w:trPr>
        <w:tc>
          <w:tcPr>
            <w:tcW w:w="3680" w:type="dxa"/>
            <w:vAlign w:val="bottom"/>
          </w:tcPr>
          <w:p>
            <w:pPr>
              <w:ind w:left="340"/>
              <w:spacing w:after="0"/>
              <w:rPr>
                <w:sz w:val="20"/>
                <w:szCs w:val="20"/>
                <w:color w:val="auto"/>
              </w:rPr>
            </w:pPr>
            <w:r>
              <w:rPr>
                <w:rFonts w:ascii="Arial" w:cs="Arial" w:eastAsia="Arial" w:hAnsi="Arial"/>
                <w:sz w:val="14"/>
                <w:szCs w:val="14"/>
                <w:color w:val="auto"/>
              </w:rPr>
              <w:t>Issuance of common stock and</w:t>
            </w: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3680" w:type="dxa"/>
            <w:vAlign w:val="bottom"/>
          </w:tcPr>
          <w:p>
            <w:pPr>
              <w:ind w:left="340"/>
              <w:spacing w:after="0"/>
              <w:rPr>
                <w:sz w:val="20"/>
                <w:szCs w:val="20"/>
                <w:color w:val="auto"/>
              </w:rPr>
            </w:pPr>
            <w:r>
              <w:rPr>
                <w:rFonts w:ascii="Arial" w:cs="Arial" w:eastAsia="Arial" w:hAnsi="Arial"/>
                <w:sz w:val="14"/>
                <w:szCs w:val="14"/>
                <w:color w:val="auto"/>
              </w:rPr>
              <w:t>other, net of cancellations</w:t>
            </w:r>
          </w:p>
        </w:tc>
        <w:tc>
          <w:tcPr>
            <w:tcW w:w="520" w:type="dxa"/>
            <w:vAlign w:val="bottom"/>
          </w:tcPr>
          <w:p>
            <w:pPr>
              <w:spacing w:after="0"/>
              <w:rPr>
                <w:sz w:val="15"/>
                <w:szCs w:val="15"/>
                <w:color w:val="auto"/>
              </w:rPr>
            </w:pP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59</w:t>
            </w:r>
          </w:p>
        </w:tc>
        <w:tc>
          <w:tcPr>
            <w:tcW w:w="2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192"/>
        </w:trPr>
        <w:tc>
          <w:tcPr>
            <w:tcW w:w="3680" w:type="dxa"/>
            <w:vAlign w:val="bottom"/>
            <w:tcBorders>
              <w:bottom w:val="single" w:sz="8" w:color="auto"/>
            </w:tcBorders>
          </w:tcPr>
          <w:p>
            <w:pPr>
              <w:ind w:left="340"/>
              <w:spacing w:after="0"/>
              <w:rPr>
                <w:sz w:val="20"/>
                <w:szCs w:val="20"/>
                <w:color w:val="auto"/>
              </w:rPr>
            </w:pPr>
            <w:r>
              <w:rPr>
                <w:rFonts w:ascii="Arial" w:cs="Arial" w:eastAsia="Arial" w:hAnsi="Arial"/>
                <w:sz w:val="14"/>
                <w:szCs w:val="14"/>
                <w:color w:val="auto"/>
              </w:rPr>
              <w:t>Purchases of treasury stock</w:t>
            </w:r>
          </w:p>
        </w:tc>
        <w:tc>
          <w:tcPr>
            <w:tcW w:w="5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(718)</w:t>
            </w: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(718)</w:t>
            </w:r>
          </w:p>
        </w:tc>
        <w:tc>
          <w:tcPr>
            <w:tcW w:w="0" w:type="dxa"/>
            <w:vAlign w:val="bottom"/>
          </w:tcPr>
          <w:p>
            <w:pPr>
              <w:spacing w:after="0"/>
              <w:rPr>
                <w:sz w:val="1"/>
                <w:szCs w:val="1"/>
                <w:color w:val="auto"/>
              </w:rPr>
            </w:pPr>
          </w:p>
        </w:tc>
      </w:tr>
      <w:tr>
        <w:trPr>
          <w:trHeight w:val="186"/>
        </w:trPr>
        <w:tc>
          <w:tcPr>
            <w:tcW w:w="36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Balance as of June 30, 2022</w:t>
            </w:r>
          </w:p>
        </w:tc>
        <w:tc>
          <w:tcPr>
            <w:tcW w:w="5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9,762</w:t>
            </w:r>
          </w:p>
        </w:tc>
        <w:tc>
          <w:tcPr>
            <w:tcW w:w="1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218</w:t>
            </w:r>
          </w:p>
        </w:tc>
        <w:tc>
          <w:tcPr>
            <w:tcW w:w="2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(11,391)</w:t>
            </w:r>
          </w:p>
        </w:tc>
        <w:tc>
          <w:tcPr>
            <w:tcW w:w="2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16,914</w:t>
            </w:r>
          </w:p>
        </w:tc>
        <w:tc>
          <w:tcPr>
            <w:tcW w:w="2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12,462</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(135)</w:t>
            </w:r>
          </w:p>
        </w:tc>
        <w:tc>
          <w:tcPr>
            <w:tcW w:w="2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27,830</w:t>
            </w:r>
          </w:p>
        </w:tc>
        <w:tc>
          <w:tcPr>
            <w:tcW w:w="0" w:type="dxa"/>
            <w:vAlign w:val="bottom"/>
          </w:tcPr>
          <w:p>
            <w:pPr>
              <w:spacing w:after="0"/>
              <w:rPr>
                <w:sz w:val="1"/>
                <w:szCs w:val="1"/>
                <w:color w:val="auto"/>
              </w:rPr>
            </w:pPr>
          </w:p>
        </w:tc>
      </w:tr>
      <w:tr>
        <w:trPr>
          <w:trHeight w:val="354"/>
        </w:trPr>
        <w:tc>
          <w:tcPr>
            <w:tcW w:w="36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5"/>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36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Equity Attributable to Common Stock</w:t>
            </w:r>
          </w:p>
        </w:tc>
        <w:tc>
          <w:tcPr>
            <w:tcW w:w="1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1"/>
        </w:trPr>
        <w:tc>
          <w:tcPr>
            <w:tcW w:w="3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Preferred</w:t>
            </w:r>
          </w:p>
        </w:tc>
        <w:tc>
          <w:tcPr>
            <w:tcW w:w="18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Common</w:t>
            </w:r>
          </w:p>
        </w:tc>
        <w:tc>
          <w:tcPr>
            <w:tcW w:w="20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Treasury</w:t>
            </w:r>
          </w:p>
        </w:tc>
        <w:tc>
          <w:tcPr>
            <w:tcW w:w="22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Additional</w:t>
            </w:r>
          </w:p>
        </w:tc>
        <w:tc>
          <w:tcPr>
            <w:tcW w:w="28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Retained</w:t>
            </w:r>
          </w:p>
        </w:tc>
        <w:tc>
          <w:tcPr>
            <w:tcW w:w="100" w:type="dxa"/>
            <w:vAlign w:val="bottom"/>
          </w:tcPr>
          <w:p>
            <w:pPr>
              <w:spacing w:after="0"/>
              <w:rPr>
                <w:sz w:val="12"/>
                <w:szCs w:val="12"/>
                <w:color w:val="auto"/>
              </w:rPr>
            </w:pPr>
          </w:p>
        </w:tc>
        <w:tc>
          <w:tcPr>
            <w:tcW w:w="1340" w:type="dxa"/>
            <w:vAlign w:val="bottom"/>
          </w:tcPr>
          <w:p>
            <w:pPr>
              <w:jc w:val="right"/>
              <w:spacing w:after="0" w:line="141" w:lineRule="exact"/>
              <w:rPr>
                <w:sz w:val="20"/>
                <w:szCs w:val="20"/>
                <w:color w:val="auto"/>
              </w:rPr>
            </w:pPr>
            <w:r>
              <w:rPr>
                <w:rFonts w:ascii="Arial" w:cs="Arial" w:eastAsia="Arial" w:hAnsi="Arial"/>
                <w:sz w:val="14"/>
                <w:szCs w:val="14"/>
                <w:b w:val="1"/>
                <w:bCs w:val="1"/>
                <w:color w:val="auto"/>
              </w:rPr>
              <w:t>Accumulated Other</w:t>
            </w: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368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millions, except per-share amounts</w:t>
            </w:r>
          </w:p>
        </w:tc>
        <w:tc>
          <w:tcPr>
            <w:tcW w:w="52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tcPr>
          <w:p>
            <w:pPr>
              <w:jc w:val="right"/>
              <w:spacing w:after="0" w:line="133" w:lineRule="exact"/>
              <w:rPr>
                <w:sz w:val="20"/>
                <w:szCs w:val="20"/>
                <w:color w:val="auto"/>
              </w:rPr>
            </w:pPr>
            <w:r>
              <w:rPr>
                <w:rFonts w:ascii="Arial" w:cs="Arial" w:eastAsia="Arial" w:hAnsi="Arial"/>
                <w:sz w:val="14"/>
                <w:szCs w:val="14"/>
                <w:b w:val="1"/>
                <w:bCs w:val="1"/>
                <w:color w:val="auto"/>
              </w:rPr>
              <w:t>Comprehensive</w:t>
            </w:r>
          </w:p>
        </w:tc>
        <w:tc>
          <w:tcPr>
            <w:tcW w:w="9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Total Equity</w:t>
            </w:r>
          </w:p>
        </w:tc>
        <w:tc>
          <w:tcPr>
            <w:tcW w:w="0" w:type="dxa"/>
            <w:vAlign w:val="bottom"/>
          </w:tcPr>
          <w:p>
            <w:pPr>
              <w:spacing w:after="0"/>
              <w:rPr>
                <w:sz w:val="1"/>
                <w:szCs w:val="1"/>
                <w:color w:val="auto"/>
              </w:rPr>
            </w:pPr>
          </w:p>
        </w:tc>
      </w:tr>
      <w:tr>
        <w:trPr>
          <w:trHeight w:val="199"/>
        </w:trPr>
        <w:tc>
          <w:tcPr>
            <w:tcW w:w="3680" w:type="dxa"/>
            <w:vAlign w:val="bottom"/>
            <w:tcBorders>
              <w:bottom w:val="single" w:sz="8" w:color="auto"/>
            </w:tcBorders>
            <w:vMerge w:val="continue"/>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Stock</w:t>
            </w: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Stock</w:t>
            </w: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Stock</w:t>
            </w: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Paid-in Capital</w:t>
            </w:r>
          </w:p>
        </w:tc>
        <w:tc>
          <w:tcPr>
            <w:tcW w:w="2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Earnings</w:t>
            </w:r>
          </w:p>
        </w:tc>
        <w:tc>
          <w:tcPr>
            <w:tcW w:w="1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Income</w:t>
            </w:r>
          </w:p>
        </w:tc>
        <w:tc>
          <w:tcPr>
            <w:tcW w:w="900" w:type="dxa"/>
            <w:vAlign w:val="bottom"/>
            <w:tcBorders>
              <w:bottom w:val="single" w:sz="8" w:color="auto"/>
            </w:tcBorders>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3680" w:type="dxa"/>
            <w:vAlign w:val="bottom"/>
          </w:tcPr>
          <w:p>
            <w:pPr>
              <w:ind w:left="20"/>
              <w:spacing w:after="0"/>
              <w:rPr>
                <w:sz w:val="20"/>
                <w:szCs w:val="20"/>
                <w:color w:val="auto"/>
              </w:rPr>
            </w:pPr>
            <w:r>
              <w:rPr>
                <w:rFonts w:ascii="Arial" w:cs="Arial" w:eastAsia="Arial" w:hAnsi="Arial"/>
                <w:sz w:val="14"/>
                <w:szCs w:val="14"/>
                <w:b w:val="1"/>
                <w:bCs w:val="1"/>
                <w:color w:val="auto"/>
              </w:rPr>
              <w:t>Balance as of December 31, 2022</w:t>
            </w:r>
          </w:p>
        </w:tc>
        <w:tc>
          <w:tcPr>
            <w:tcW w:w="52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9,762</w:t>
            </w:r>
          </w:p>
        </w:tc>
        <w:tc>
          <w:tcPr>
            <w:tcW w:w="180" w:type="dxa"/>
            <w:vAlign w:val="bottom"/>
          </w:tcPr>
          <w:p>
            <w:pPr>
              <w:jc w:val="right"/>
              <w:ind w:right="29"/>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220</w:t>
            </w:r>
          </w:p>
        </w:tc>
        <w:tc>
          <w:tcPr>
            <w:tcW w:w="2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(13,772)</w:t>
            </w:r>
          </w:p>
        </w:tc>
        <w:tc>
          <w:tcPr>
            <w:tcW w:w="2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9"/>
              <w:spacing w:after="0"/>
              <w:rPr>
                <w:sz w:val="20"/>
                <w:szCs w:val="20"/>
                <w:color w:val="auto"/>
              </w:rPr>
            </w:pPr>
            <w:r>
              <w:rPr>
                <w:rFonts w:ascii="Arial" w:cs="Arial" w:eastAsia="Arial" w:hAnsi="Arial"/>
                <w:sz w:val="14"/>
                <w:szCs w:val="14"/>
                <w:color w:val="auto"/>
              </w:rPr>
              <w:t>17,181</w:t>
            </w:r>
          </w:p>
        </w:tc>
        <w:tc>
          <w:tcPr>
            <w:tcW w:w="28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9"/>
              <w:spacing w:after="0"/>
              <w:rPr>
                <w:sz w:val="20"/>
                <w:szCs w:val="20"/>
                <w:color w:val="auto"/>
              </w:rPr>
            </w:pPr>
            <w:r>
              <w:rPr>
                <w:rFonts w:ascii="Arial" w:cs="Arial" w:eastAsia="Arial" w:hAnsi="Arial"/>
                <w:sz w:val="14"/>
                <w:szCs w:val="14"/>
                <w:color w:val="auto"/>
              </w:rPr>
              <w:t>16,499</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195</w:t>
            </w:r>
          </w:p>
        </w:tc>
        <w:tc>
          <w:tcPr>
            <w:tcW w:w="2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30,085</w:t>
            </w:r>
          </w:p>
        </w:tc>
        <w:tc>
          <w:tcPr>
            <w:tcW w:w="0" w:type="dxa"/>
            <w:vAlign w:val="bottom"/>
          </w:tcPr>
          <w:p>
            <w:pPr>
              <w:spacing w:after="0"/>
              <w:rPr>
                <w:sz w:val="1"/>
                <w:szCs w:val="1"/>
                <w:color w:val="auto"/>
              </w:rPr>
            </w:pPr>
          </w:p>
        </w:tc>
      </w:tr>
      <w:tr>
        <w:trPr>
          <w:trHeight w:val="199"/>
        </w:trPr>
        <w:tc>
          <w:tcPr>
            <w:tcW w:w="3680" w:type="dxa"/>
            <w:vAlign w:val="bottom"/>
          </w:tcPr>
          <w:p>
            <w:pPr>
              <w:ind w:left="340"/>
              <w:spacing w:after="0"/>
              <w:rPr>
                <w:sz w:val="20"/>
                <w:szCs w:val="20"/>
                <w:color w:val="auto"/>
              </w:rPr>
            </w:pPr>
            <w:r>
              <w:rPr>
                <w:rFonts w:ascii="Arial" w:cs="Arial" w:eastAsia="Arial" w:hAnsi="Arial"/>
                <w:sz w:val="14"/>
                <w:szCs w:val="14"/>
                <w:color w:val="auto"/>
              </w:rPr>
              <w:t>Net income</w:t>
            </w:r>
          </w:p>
        </w:tc>
        <w:tc>
          <w:tcPr>
            <w:tcW w:w="520" w:type="dxa"/>
            <w:vAlign w:val="bottom"/>
          </w:tcPr>
          <w:p>
            <w:pPr>
              <w:spacing w:after="0"/>
              <w:rPr>
                <w:sz w:val="17"/>
                <w:szCs w:val="17"/>
                <w:color w:val="auto"/>
              </w:rPr>
            </w:pPr>
          </w:p>
        </w:tc>
        <w:tc>
          <w:tcPr>
            <w:tcW w:w="740" w:type="dxa"/>
            <w:vAlign w:val="bottom"/>
          </w:tcPr>
          <w:p>
            <w:pPr>
              <w:jc w:val="right"/>
              <w:ind w:right="9"/>
              <w:spacing w:after="0"/>
              <w:rPr>
                <w:sz w:val="20"/>
                <w:szCs w:val="20"/>
                <w:color w:val="auto"/>
              </w:rPr>
            </w:pPr>
            <w:r>
              <w:rPr>
                <w:rFonts w:ascii="Arial" w:cs="Arial" w:eastAsia="Arial" w:hAnsi="Arial"/>
                <w:sz w:val="14"/>
                <w:szCs w:val="14"/>
                <w:b w:val="1"/>
                <w:bCs w:val="1"/>
                <w:color w:val="00539B"/>
              </w:rPr>
              <w:t>—</w:t>
            </w: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00539B"/>
              </w:rPr>
              <w:t>—</w:t>
            </w:r>
          </w:p>
        </w:tc>
        <w:tc>
          <w:tcPr>
            <w:tcW w:w="200" w:type="dxa"/>
            <w:vAlign w:val="bottom"/>
          </w:tcPr>
          <w:p>
            <w:pPr>
              <w:spacing w:after="0"/>
              <w:rPr>
                <w:sz w:val="17"/>
                <w:szCs w:val="17"/>
                <w:color w:val="auto"/>
              </w:rPr>
            </w:pPr>
          </w:p>
        </w:tc>
        <w:tc>
          <w:tcPr>
            <w:tcW w:w="700" w:type="dxa"/>
            <w:vAlign w:val="bottom"/>
          </w:tcPr>
          <w:p>
            <w:pPr>
              <w:jc w:val="right"/>
              <w:ind w:right="9"/>
              <w:spacing w:after="0"/>
              <w:rPr>
                <w:sz w:val="20"/>
                <w:szCs w:val="20"/>
                <w:color w:val="auto"/>
              </w:rPr>
            </w:pPr>
            <w:r>
              <w:rPr>
                <w:rFonts w:ascii="Arial" w:cs="Arial" w:eastAsia="Arial" w:hAnsi="Arial"/>
                <w:sz w:val="14"/>
                <w:szCs w:val="14"/>
                <w:b w:val="1"/>
                <w:bCs w:val="1"/>
                <w:color w:val="00539B"/>
              </w:rPr>
              <w:t>—</w:t>
            </w:r>
          </w:p>
        </w:tc>
        <w:tc>
          <w:tcPr>
            <w:tcW w:w="220" w:type="dxa"/>
            <w:vAlign w:val="bottom"/>
          </w:tcPr>
          <w:p>
            <w:pPr>
              <w:spacing w:after="0"/>
              <w:rPr>
                <w:sz w:val="17"/>
                <w:szCs w:val="17"/>
                <w:color w:val="auto"/>
              </w:rPr>
            </w:pPr>
          </w:p>
        </w:tc>
        <w:tc>
          <w:tcPr>
            <w:tcW w:w="860" w:type="dxa"/>
            <w:vAlign w:val="bottom"/>
          </w:tcPr>
          <w:p>
            <w:pPr>
              <w:jc w:val="right"/>
              <w:ind w:right="9"/>
              <w:spacing w:after="0"/>
              <w:rPr>
                <w:sz w:val="20"/>
                <w:szCs w:val="20"/>
                <w:color w:val="auto"/>
              </w:rPr>
            </w:pPr>
            <w:r>
              <w:rPr>
                <w:rFonts w:ascii="Arial" w:cs="Arial" w:eastAsia="Arial" w:hAnsi="Arial"/>
                <w:sz w:val="14"/>
                <w:szCs w:val="14"/>
                <w:b w:val="1"/>
                <w:bCs w:val="1"/>
                <w:color w:val="00539B"/>
              </w:rPr>
              <w:t>—</w:t>
            </w:r>
          </w:p>
        </w:tc>
        <w:tc>
          <w:tcPr>
            <w:tcW w:w="280" w:type="dxa"/>
            <w:vAlign w:val="bottom"/>
          </w:tcPr>
          <w:p>
            <w:pPr>
              <w:spacing w:after="0"/>
              <w:rPr>
                <w:sz w:val="17"/>
                <w:szCs w:val="17"/>
                <w:color w:val="auto"/>
              </w:rPr>
            </w:pPr>
          </w:p>
        </w:tc>
        <w:tc>
          <w:tcPr>
            <w:tcW w:w="800" w:type="dxa"/>
            <w:vAlign w:val="bottom"/>
          </w:tcPr>
          <w:p>
            <w:pPr>
              <w:jc w:val="right"/>
              <w:ind w:right="9"/>
              <w:spacing w:after="0"/>
              <w:rPr>
                <w:sz w:val="20"/>
                <w:szCs w:val="20"/>
                <w:color w:val="auto"/>
              </w:rPr>
            </w:pPr>
            <w:r>
              <w:rPr>
                <w:rFonts w:ascii="Arial" w:cs="Arial" w:eastAsia="Arial" w:hAnsi="Arial"/>
                <w:sz w:val="14"/>
                <w:szCs w:val="14"/>
                <w:b w:val="1"/>
                <w:bCs w:val="1"/>
                <w:color w:val="00539B"/>
              </w:rPr>
              <w:t>2,123</w:t>
            </w:r>
          </w:p>
        </w:tc>
        <w:tc>
          <w:tcPr>
            <w:tcW w:w="1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4"/>
                <w:szCs w:val="14"/>
                <w:b w:val="1"/>
                <w:bCs w:val="1"/>
                <w:color w:val="00539B"/>
              </w:rPr>
              <w:t>—</w:t>
            </w:r>
          </w:p>
        </w:tc>
        <w:tc>
          <w:tcPr>
            <w:tcW w:w="2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00539B"/>
              </w:rPr>
              <w:t>2,123</w:t>
            </w:r>
          </w:p>
        </w:tc>
        <w:tc>
          <w:tcPr>
            <w:tcW w:w="0" w:type="dxa"/>
            <w:vAlign w:val="bottom"/>
          </w:tcPr>
          <w:p>
            <w:pPr>
              <w:spacing w:after="0"/>
              <w:rPr>
                <w:sz w:val="1"/>
                <w:szCs w:val="1"/>
                <w:color w:val="auto"/>
              </w:rPr>
            </w:pPr>
          </w:p>
        </w:tc>
      </w:tr>
      <w:tr>
        <w:trPr>
          <w:trHeight w:val="156"/>
        </w:trPr>
        <w:tc>
          <w:tcPr>
            <w:tcW w:w="3680" w:type="dxa"/>
            <w:vAlign w:val="bottom"/>
          </w:tcPr>
          <w:p>
            <w:pPr>
              <w:ind w:left="340"/>
              <w:spacing w:after="0" w:line="156" w:lineRule="exact"/>
              <w:rPr>
                <w:sz w:val="20"/>
                <w:szCs w:val="20"/>
                <w:color w:val="auto"/>
              </w:rPr>
            </w:pPr>
            <w:r>
              <w:rPr>
                <w:rFonts w:ascii="Arial" w:cs="Arial" w:eastAsia="Arial" w:hAnsi="Arial"/>
                <w:sz w:val="14"/>
                <w:szCs w:val="14"/>
                <w:color w:val="auto"/>
              </w:rPr>
              <w:t>Other comprehensive income, net</w:t>
            </w:r>
          </w:p>
        </w:tc>
        <w:tc>
          <w:tcPr>
            <w:tcW w:w="520" w:type="dxa"/>
            <w:vAlign w:val="bottom"/>
          </w:tcPr>
          <w:p>
            <w:pPr>
              <w:spacing w:after="0"/>
              <w:rPr>
                <w:sz w:val="13"/>
                <w:szCs w:val="13"/>
                <w:color w:val="auto"/>
              </w:rPr>
            </w:pPr>
          </w:p>
        </w:tc>
        <w:tc>
          <w:tcPr>
            <w:tcW w:w="740" w:type="dxa"/>
            <w:vAlign w:val="bottom"/>
            <w:vMerge w:val="restart"/>
          </w:tcPr>
          <w:p>
            <w:pPr>
              <w:jc w:val="right"/>
              <w:ind w:right="9"/>
              <w:spacing w:after="0"/>
              <w:rPr>
                <w:sz w:val="20"/>
                <w:szCs w:val="20"/>
                <w:color w:val="auto"/>
              </w:rPr>
            </w:pPr>
            <w:r>
              <w:rPr>
                <w:rFonts w:ascii="Arial" w:cs="Arial" w:eastAsia="Arial" w:hAnsi="Arial"/>
                <w:sz w:val="14"/>
                <w:szCs w:val="14"/>
                <w:b w:val="1"/>
                <w:bCs w:val="1"/>
                <w:color w:val="00539B"/>
              </w:rPr>
              <w:t>—</w:t>
            </w:r>
          </w:p>
        </w:tc>
        <w:tc>
          <w:tcPr>
            <w:tcW w:w="18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b w:val="1"/>
                <w:bCs w:val="1"/>
                <w:color w:val="00539B"/>
              </w:rPr>
              <w:t>—</w:t>
            </w:r>
          </w:p>
        </w:tc>
        <w:tc>
          <w:tcPr>
            <w:tcW w:w="200" w:type="dxa"/>
            <w:vAlign w:val="bottom"/>
          </w:tcPr>
          <w:p>
            <w:pPr>
              <w:spacing w:after="0"/>
              <w:rPr>
                <w:sz w:val="13"/>
                <w:szCs w:val="13"/>
                <w:color w:val="auto"/>
              </w:rPr>
            </w:pPr>
          </w:p>
        </w:tc>
        <w:tc>
          <w:tcPr>
            <w:tcW w:w="700" w:type="dxa"/>
            <w:vAlign w:val="bottom"/>
            <w:vMerge w:val="restart"/>
          </w:tcPr>
          <w:p>
            <w:pPr>
              <w:jc w:val="right"/>
              <w:ind w:right="9"/>
              <w:spacing w:after="0"/>
              <w:rPr>
                <w:sz w:val="20"/>
                <w:szCs w:val="20"/>
                <w:color w:val="auto"/>
              </w:rPr>
            </w:pPr>
            <w:r>
              <w:rPr>
                <w:rFonts w:ascii="Arial" w:cs="Arial" w:eastAsia="Arial" w:hAnsi="Arial"/>
                <w:sz w:val="14"/>
                <w:szCs w:val="14"/>
                <w:b w:val="1"/>
                <w:bCs w:val="1"/>
                <w:color w:val="00539B"/>
              </w:rPr>
              <w:t>—</w:t>
            </w:r>
          </w:p>
        </w:tc>
        <w:tc>
          <w:tcPr>
            <w:tcW w:w="220" w:type="dxa"/>
            <w:vAlign w:val="bottom"/>
          </w:tcPr>
          <w:p>
            <w:pPr>
              <w:spacing w:after="0"/>
              <w:rPr>
                <w:sz w:val="13"/>
                <w:szCs w:val="13"/>
                <w:color w:val="auto"/>
              </w:rPr>
            </w:pPr>
          </w:p>
        </w:tc>
        <w:tc>
          <w:tcPr>
            <w:tcW w:w="860" w:type="dxa"/>
            <w:vAlign w:val="bottom"/>
            <w:vMerge w:val="restart"/>
          </w:tcPr>
          <w:p>
            <w:pPr>
              <w:jc w:val="right"/>
              <w:ind w:right="9"/>
              <w:spacing w:after="0"/>
              <w:rPr>
                <w:sz w:val="20"/>
                <w:szCs w:val="20"/>
                <w:color w:val="auto"/>
              </w:rPr>
            </w:pPr>
            <w:r>
              <w:rPr>
                <w:rFonts w:ascii="Arial" w:cs="Arial" w:eastAsia="Arial" w:hAnsi="Arial"/>
                <w:sz w:val="14"/>
                <w:szCs w:val="14"/>
                <w:b w:val="1"/>
                <w:bCs w:val="1"/>
                <w:color w:val="00539B"/>
              </w:rPr>
              <w:t>—</w:t>
            </w:r>
          </w:p>
        </w:tc>
        <w:tc>
          <w:tcPr>
            <w:tcW w:w="280" w:type="dxa"/>
            <w:vAlign w:val="bottom"/>
          </w:tcPr>
          <w:p>
            <w:pPr>
              <w:spacing w:after="0"/>
              <w:rPr>
                <w:sz w:val="13"/>
                <w:szCs w:val="13"/>
                <w:color w:val="auto"/>
              </w:rPr>
            </w:pPr>
          </w:p>
        </w:tc>
        <w:tc>
          <w:tcPr>
            <w:tcW w:w="800" w:type="dxa"/>
            <w:vAlign w:val="bottom"/>
            <w:vMerge w:val="restart"/>
          </w:tcPr>
          <w:p>
            <w:pPr>
              <w:jc w:val="right"/>
              <w:ind w:right="9"/>
              <w:spacing w:after="0"/>
              <w:rPr>
                <w:sz w:val="20"/>
                <w:szCs w:val="20"/>
                <w:color w:val="auto"/>
              </w:rPr>
            </w:pPr>
            <w:r>
              <w:rPr>
                <w:rFonts w:ascii="Arial" w:cs="Arial" w:eastAsia="Arial" w:hAnsi="Arial"/>
                <w:sz w:val="14"/>
                <w:szCs w:val="14"/>
                <w:b w:val="1"/>
                <w:bCs w:val="1"/>
                <w:color w:val="00539B"/>
              </w:rPr>
              <w:t>—</w:t>
            </w:r>
          </w:p>
        </w:tc>
        <w:tc>
          <w:tcPr>
            <w:tcW w:w="100" w:type="dxa"/>
            <w:vAlign w:val="bottom"/>
          </w:tcPr>
          <w:p>
            <w:pPr>
              <w:spacing w:after="0"/>
              <w:rPr>
                <w:sz w:val="13"/>
                <w:szCs w:val="13"/>
                <w:color w:val="auto"/>
              </w:rPr>
            </w:pPr>
          </w:p>
        </w:tc>
        <w:tc>
          <w:tcPr>
            <w:tcW w:w="1340" w:type="dxa"/>
            <w:vAlign w:val="bottom"/>
            <w:vMerge w:val="restart"/>
          </w:tcPr>
          <w:p>
            <w:pPr>
              <w:jc w:val="right"/>
              <w:spacing w:after="0"/>
              <w:rPr>
                <w:sz w:val="20"/>
                <w:szCs w:val="20"/>
                <w:color w:val="auto"/>
              </w:rPr>
            </w:pPr>
            <w:r>
              <w:rPr>
                <w:rFonts w:ascii="Arial" w:cs="Arial" w:eastAsia="Arial" w:hAnsi="Arial"/>
                <w:sz w:val="14"/>
                <w:szCs w:val="14"/>
                <w:b w:val="1"/>
                <w:bCs w:val="1"/>
                <w:color w:val="00539B"/>
              </w:rPr>
              <w:t>52</w:t>
            </w:r>
          </w:p>
        </w:tc>
        <w:tc>
          <w:tcPr>
            <w:tcW w:w="26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b w:val="1"/>
                <w:bCs w:val="1"/>
                <w:color w:val="00539B"/>
              </w:rPr>
              <w:t>52</w:t>
            </w:r>
          </w:p>
        </w:tc>
        <w:tc>
          <w:tcPr>
            <w:tcW w:w="0" w:type="dxa"/>
            <w:vAlign w:val="bottom"/>
          </w:tcPr>
          <w:p>
            <w:pPr>
              <w:spacing w:after="0"/>
              <w:rPr>
                <w:sz w:val="1"/>
                <w:szCs w:val="1"/>
                <w:color w:val="auto"/>
              </w:rPr>
            </w:pPr>
          </w:p>
        </w:tc>
      </w:tr>
      <w:tr>
        <w:trPr>
          <w:trHeight w:val="187"/>
        </w:trPr>
        <w:tc>
          <w:tcPr>
            <w:tcW w:w="3680" w:type="dxa"/>
            <w:vAlign w:val="bottom"/>
          </w:tcPr>
          <w:p>
            <w:pPr>
              <w:ind w:left="420"/>
              <w:spacing w:after="0"/>
              <w:rPr>
                <w:sz w:val="20"/>
                <w:szCs w:val="20"/>
                <w:color w:val="auto"/>
              </w:rPr>
            </w:pPr>
            <w:r>
              <w:rPr>
                <w:rFonts w:ascii="Arial" w:cs="Arial" w:eastAsia="Arial" w:hAnsi="Arial"/>
                <w:sz w:val="14"/>
                <w:szCs w:val="14"/>
                <w:color w:val="auto"/>
              </w:rPr>
              <w:t>of tax</w:t>
            </w:r>
          </w:p>
        </w:tc>
        <w:tc>
          <w:tcPr>
            <w:tcW w:w="5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3680" w:type="dxa"/>
            <w:vAlign w:val="bottom"/>
          </w:tcPr>
          <w:p>
            <w:pPr>
              <w:ind w:left="340"/>
              <w:spacing w:after="0" w:line="147" w:lineRule="exact"/>
              <w:rPr>
                <w:sz w:val="20"/>
                <w:szCs w:val="20"/>
                <w:color w:val="auto"/>
              </w:rPr>
            </w:pPr>
            <w:r>
              <w:rPr>
                <w:rFonts w:ascii="Arial" w:cs="Arial" w:eastAsia="Arial" w:hAnsi="Arial"/>
                <w:sz w:val="14"/>
                <w:szCs w:val="14"/>
                <w:color w:val="auto"/>
              </w:rPr>
              <w:t>Dividends on common stock,</w:t>
            </w:r>
          </w:p>
        </w:tc>
        <w:tc>
          <w:tcPr>
            <w:tcW w:w="520" w:type="dxa"/>
            <w:vAlign w:val="bottom"/>
          </w:tcPr>
          <w:p>
            <w:pPr>
              <w:spacing w:after="0"/>
              <w:rPr>
                <w:sz w:val="12"/>
                <w:szCs w:val="12"/>
                <w:color w:val="auto"/>
              </w:rPr>
            </w:pPr>
          </w:p>
        </w:tc>
        <w:tc>
          <w:tcPr>
            <w:tcW w:w="740" w:type="dxa"/>
            <w:vAlign w:val="bottom"/>
            <w:vMerge w:val="restart"/>
          </w:tcPr>
          <w:p>
            <w:pPr>
              <w:jc w:val="right"/>
              <w:ind w:right="9"/>
              <w:spacing w:after="0"/>
              <w:rPr>
                <w:sz w:val="20"/>
                <w:szCs w:val="20"/>
                <w:color w:val="auto"/>
              </w:rPr>
            </w:pPr>
            <w:r>
              <w:rPr>
                <w:rFonts w:ascii="Arial" w:cs="Arial" w:eastAsia="Arial" w:hAnsi="Arial"/>
                <w:sz w:val="14"/>
                <w:szCs w:val="14"/>
                <w:b w:val="1"/>
                <w:bCs w:val="1"/>
                <w:color w:val="00539B"/>
              </w:rPr>
              <w:t>—</w:t>
            </w:r>
          </w:p>
        </w:tc>
        <w:tc>
          <w:tcPr>
            <w:tcW w:w="18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b w:val="1"/>
                <w:bCs w:val="1"/>
                <w:color w:val="00539B"/>
              </w:rPr>
              <w:t>—</w:t>
            </w:r>
          </w:p>
        </w:tc>
        <w:tc>
          <w:tcPr>
            <w:tcW w:w="200" w:type="dxa"/>
            <w:vAlign w:val="bottom"/>
          </w:tcPr>
          <w:p>
            <w:pPr>
              <w:spacing w:after="0"/>
              <w:rPr>
                <w:sz w:val="12"/>
                <w:szCs w:val="12"/>
                <w:color w:val="auto"/>
              </w:rPr>
            </w:pPr>
          </w:p>
        </w:tc>
        <w:tc>
          <w:tcPr>
            <w:tcW w:w="700" w:type="dxa"/>
            <w:vAlign w:val="bottom"/>
            <w:vMerge w:val="restart"/>
          </w:tcPr>
          <w:p>
            <w:pPr>
              <w:jc w:val="right"/>
              <w:ind w:right="9"/>
              <w:spacing w:after="0"/>
              <w:rPr>
                <w:sz w:val="20"/>
                <w:szCs w:val="20"/>
                <w:color w:val="auto"/>
              </w:rPr>
            </w:pPr>
            <w:r>
              <w:rPr>
                <w:rFonts w:ascii="Arial" w:cs="Arial" w:eastAsia="Arial" w:hAnsi="Arial"/>
                <w:sz w:val="14"/>
                <w:szCs w:val="14"/>
                <w:b w:val="1"/>
                <w:bCs w:val="1"/>
                <w:color w:val="00539B"/>
              </w:rPr>
              <w:t>—</w:t>
            </w:r>
          </w:p>
        </w:tc>
        <w:tc>
          <w:tcPr>
            <w:tcW w:w="220" w:type="dxa"/>
            <w:vAlign w:val="bottom"/>
          </w:tcPr>
          <w:p>
            <w:pPr>
              <w:spacing w:after="0"/>
              <w:rPr>
                <w:sz w:val="12"/>
                <w:szCs w:val="12"/>
                <w:color w:val="auto"/>
              </w:rPr>
            </w:pPr>
          </w:p>
        </w:tc>
        <w:tc>
          <w:tcPr>
            <w:tcW w:w="860" w:type="dxa"/>
            <w:vAlign w:val="bottom"/>
            <w:vMerge w:val="restart"/>
          </w:tcPr>
          <w:p>
            <w:pPr>
              <w:jc w:val="right"/>
              <w:ind w:right="9"/>
              <w:spacing w:after="0"/>
              <w:rPr>
                <w:sz w:val="20"/>
                <w:szCs w:val="20"/>
                <w:color w:val="auto"/>
              </w:rPr>
            </w:pPr>
            <w:r>
              <w:rPr>
                <w:rFonts w:ascii="Arial" w:cs="Arial" w:eastAsia="Arial" w:hAnsi="Arial"/>
                <w:sz w:val="14"/>
                <w:szCs w:val="14"/>
                <w:b w:val="1"/>
                <w:bCs w:val="1"/>
                <w:color w:val="00539B"/>
              </w:rPr>
              <w:t>—</w:t>
            </w:r>
          </w:p>
        </w:tc>
        <w:tc>
          <w:tcPr>
            <w:tcW w:w="28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b w:val="1"/>
                <w:bCs w:val="1"/>
                <w:color w:val="00539B"/>
              </w:rPr>
              <w:t>(325)</w:t>
            </w:r>
          </w:p>
        </w:tc>
        <w:tc>
          <w:tcPr>
            <w:tcW w:w="100" w:type="dxa"/>
            <w:vAlign w:val="bottom"/>
          </w:tcPr>
          <w:p>
            <w:pPr>
              <w:spacing w:after="0"/>
              <w:rPr>
                <w:sz w:val="12"/>
                <w:szCs w:val="12"/>
                <w:color w:val="auto"/>
              </w:rPr>
            </w:pPr>
          </w:p>
        </w:tc>
        <w:tc>
          <w:tcPr>
            <w:tcW w:w="1340" w:type="dxa"/>
            <w:vAlign w:val="bottom"/>
            <w:vMerge w:val="restart"/>
          </w:tcPr>
          <w:p>
            <w:pPr>
              <w:jc w:val="right"/>
              <w:spacing w:after="0"/>
              <w:rPr>
                <w:sz w:val="20"/>
                <w:szCs w:val="20"/>
                <w:color w:val="auto"/>
              </w:rPr>
            </w:pPr>
            <w:r>
              <w:rPr>
                <w:rFonts w:ascii="Arial" w:cs="Arial" w:eastAsia="Arial" w:hAnsi="Arial"/>
                <w:sz w:val="14"/>
                <w:szCs w:val="14"/>
                <w:b w:val="1"/>
                <w:bCs w:val="1"/>
                <w:color w:val="00539B"/>
              </w:rPr>
              <w:t>—</w:t>
            </w:r>
          </w:p>
        </w:tc>
        <w:tc>
          <w:tcPr>
            <w:tcW w:w="26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b w:val="1"/>
                <w:bCs w:val="1"/>
                <w:color w:val="00539B"/>
              </w:rPr>
              <w:t>(325)</w:t>
            </w:r>
          </w:p>
        </w:tc>
        <w:tc>
          <w:tcPr>
            <w:tcW w:w="0" w:type="dxa"/>
            <w:vAlign w:val="bottom"/>
          </w:tcPr>
          <w:p>
            <w:pPr>
              <w:spacing w:after="0"/>
              <w:rPr>
                <w:sz w:val="1"/>
                <w:szCs w:val="1"/>
                <w:color w:val="auto"/>
              </w:rPr>
            </w:pPr>
          </w:p>
        </w:tc>
      </w:tr>
      <w:tr>
        <w:trPr>
          <w:trHeight w:val="191"/>
        </w:trPr>
        <w:tc>
          <w:tcPr>
            <w:tcW w:w="3680" w:type="dxa"/>
            <w:vAlign w:val="bottom"/>
          </w:tcPr>
          <w:p>
            <w:pPr>
              <w:ind w:left="420"/>
              <w:spacing w:after="0"/>
              <w:rPr>
                <w:sz w:val="20"/>
                <w:szCs w:val="20"/>
                <w:color w:val="auto"/>
              </w:rPr>
            </w:pPr>
            <w:r>
              <w:rPr>
                <w:rFonts w:ascii="Arial" w:cs="Arial" w:eastAsia="Arial" w:hAnsi="Arial"/>
                <w:sz w:val="14"/>
                <w:szCs w:val="14"/>
                <w:color w:val="auto"/>
              </w:rPr>
              <w:t>$0.36 per share</w:t>
            </w:r>
          </w:p>
        </w:tc>
        <w:tc>
          <w:tcPr>
            <w:tcW w:w="5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3680" w:type="dxa"/>
            <w:vAlign w:val="bottom"/>
          </w:tcPr>
          <w:p>
            <w:pPr>
              <w:ind w:left="340"/>
              <w:spacing w:after="0" w:line="148" w:lineRule="exact"/>
              <w:rPr>
                <w:sz w:val="20"/>
                <w:szCs w:val="20"/>
                <w:color w:val="auto"/>
              </w:rPr>
            </w:pPr>
            <w:r>
              <w:rPr>
                <w:rFonts w:ascii="Arial" w:cs="Arial" w:eastAsia="Arial" w:hAnsi="Arial"/>
                <w:sz w:val="14"/>
                <w:szCs w:val="14"/>
                <w:color w:val="auto"/>
              </w:rPr>
              <w:t>Dividends on preferred stock,</w:t>
            </w:r>
          </w:p>
        </w:tc>
        <w:tc>
          <w:tcPr>
            <w:tcW w:w="520" w:type="dxa"/>
            <w:vAlign w:val="bottom"/>
          </w:tcPr>
          <w:p>
            <w:pPr>
              <w:spacing w:after="0"/>
              <w:rPr>
                <w:sz w:val="12"/>
                <w:szCs w:val="12"/>
                <w:color w:val="auto"/>
              </w:rPr>
            </w:pPr>
          </w:p>
        </w:tc>
        <w:tc>
          <w:tcPr>
            <w:tcW w:w="740" w:type="dxa"/>
            <w:vAlign w:val="bottom"/>
            <w:vMerge w:val="restart"/>
          </w:tcPr>
          <w:p>
            <w:pPr>
              <w:jc w:val="right"/>
              <w:ind w:right="9"/>
              <w:spacing w:after="0"/>
              <w:rPr>
                <w:sz w:val="20"/>
                <w:szCs w:val="20"/>
                <w:color w:val="auto"/>
              </w:rPr>
            </w:pPr>
            <w:r>
              <w:rPr>
                <w:rFonts w:ascii="Arial" w:cs="Arial" w:eastAsia="Arial" w:hAnsi="Arial"/>
                <w:sz w:val="14"/>
                <w:szCs w:val="14"/>
                <w:b w:val="1"/>
                <w:bCs w:val="1"/>
                <w:color w:val="00539B"/>
              </w:rPr>
              <w:t>—</w:t>
            </w:r>
          </w:p>
        </w:tc>
        <w:tc>
          <w:tcPr>
            <w:tcW w:w="18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b w:val="1"/>
                <w:bCs w:val="1"/>
                <w:color w:val="00539B"/>
              </w:rPr>
              <w:t>—</w:t>
            </w:r>
          </w:p>
        </w:tc>
        <w:tc>
          <w:tcPr>
            <w:tcW w:w="200" w:type="dxa"/>
            <w:vAlign w:val="bottom"/>
          </w:tcPr>
          <w:p>
            <w:pPr>
              <w:spacing w:after="0"/>
              <w:rPr>
                <w:sz w:val="12"/>
                <w:szCs w:val="12"/>
                <w:color w:val="auto"/>
              </w:rPr>
            </w:pPr>
          </w:p>
        </w:tc>
        <w:tc>
          <w:tcPr>
            <w:tcW w:w="700" w:type="dxa"/>
            <w:vAlign w:val="bottom"/>
            <w:vMerge w:val="restart"/>
          </w:tcPr>
          <w:p>
            <w:pPr>
              <w:jc w:val="right"/>
              <w:ind w:right="9"/>
              <w:spacing w:after="0"/>
              <w:rPr>
                <w:sz w:val="20"/>
                <w:szCs w:val="20"/>
                <w:color w:val="auto"/>
              </w:rPr>
            </w:pPr>
            <w:r>
              <w:rPr>
                <w:rFonts w:ascii="Arial" w:cs="Arial" w:eastAsia="Arial" w:hAnsi="Arial"/>
                <w:sz w:val="14"/>
                <w:szCs w:val="14"/>
                <w:b w:val="1"/>
                <w:bCs w:val="1"/>
                <w:color w:val="00539B"/>
              </w:rPr>
              <w:t>—</w:t>
            </w:r>
          </w:p>
        </w:tc>
        <w:tc>
          <w:tcPr>
            <w:tcW w:w="220" w:type="dxa"/>
            <w:vAlign w:val="bottom"/>
          </w:tcPr>
          <w:p>
            <w:pPr>
              <w:spacing w:after="0"/>
              <w:rPr>
                <w:sz w:val="12"/>
                <w:szCs w:val="12"/>
                <w:color w:val="auto"/>
              </w:rPr>
            </w:pPr>
          </w:p>
        </w:tc>
        <w:tc>
          <w:tcPr>
            <w:tcW w:w="860" w:type="dxa"/>
            <w:vAlign w:val="bottom"/>
            <w:vMerge w:val="restart"/>
          </w:tcPr>
          <w:p>
            <w:pPr>
              <w:jc w:val="right"/>
              <w:ind w:right="9"/>
              <w:spacing w:after="0"/>
              <w:rPr>
                <w:sz w:val="20"/>
                <w:szCs w:val="20"/>
                <w:color w:val="auto"/>
              </w:rPr>
            </w:pPr>
            <w:r>
              <w:rPr>
                <w:rFonts w:ascii="Arial" w:cs="Arial" w:eastAsia="Arial" w:hAnsi="Arial"/>
                <w:sz w:val="14"/>
                <w:szCs w:val="14"/>
                <w:b w:val="1"/>
                <w:bCs w:val="1"/>
                <w:color w:val="00539B"/>
              </w:rPr>
              <w:t>—</w:t>
            </w:r>
          </w:p>
        </w:tc>
        <w:tc>
          <w:tcPr>
            <w:tcW w:w="28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b w:val="1"/>
                <w:bCs w:val="1"/>
                <w:color w:val="00539B"/>
              </w:rPr>
              <w:t>(390)</w:t>
            </w:r>
          </w:p>
        </w:tc>
        <w:tc>
          <w:tcPr>
            <w:tcW w:w="100" w:type="dxa"/>
            <w:vAlign w:val="bottom"/>
          </w:tcPr>
          <w:p>
            <w:pPr>
              <w:spacing w:after="0"/>
              <w:rPr>
                <w:sz w:val="12"/>
                <w:szCs w:val="12"/>
                <w:color w:val="auto"/>
              </w:rPr>
            </w:pPr>
          </w:p>
        </w:tc>
        <w:tc>
          <w:tcPr>
            <w:tcW w:w="1340" w:type="dxa"/>
            <w:vAlign w:val="bottom"/>
            <w:vMerge w:val="restart"/>
          </w:tcPr>
          <w:p>
            <w:pPr>
              <w:jc w:val="right"/>
              <w:spacing w:after="0"/>
              <w:rPr>
                <w:sz w:val="20"/>
                <w:szCs w:val="20"/>
                <w:color w:val="auto"/>
              </w:rPr>
            </w:pPr>
            <w:r>
              <w:rPr>
                <w:rFonts w:ascii="Arial" w:cs="Arial" w:eastAsia="Arial" w:hAnsi="Arial"/>
                <w:sz w:val="14"/>
                <w:szCs w:val="14"/>
                <w:b w:val="1"/>
                <w:bCs w:val="1"/>
                <w:color w:val="00539B"/>
              </w:rPr>
              <w:t>—</w:t>
            </w:r>
          </w:p>
        </w:tc>
        <w:tc>
          <w:tcPr>
            <w:tcW w:w="26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b w:val="1"/>
                <w:bCs w:val="1"/>
                <w:color w:val="00539B"/>
              </w:rPr>
              <w:t>(390)</w:t>
            </w:r>
          </w:p>
        </w:tc>
        <w:tc>
          <w:tcPr>
            <w:tcW w:w="0" w:type="dxa"/>
            <w:vAlign w:val="bottom"/>
          </w:tcPr>
          <w:p>
            <w:pPr>
              <w:spacing w:after="0"/>
              <w:rPr>
                <w:sz w:val="1"/>
                <w:szCs w:val="1"/>
                <w:color w:val="auto"/>
              </w:rPr>
            </w:pPr>
          </w:p>
        </w:tc>
      </w:tr>
      <w:tr>
        <w:trPr>
          <w:trHeight w:val="185"/>
        </w:trPr>
        <w:tc>
          <w:tcPr>
            <w:tcW w:w="3680" w:type="dxa"/>
            <w:vAlign w:val="bottom"/>
          </w:tcPr>
          <w:p>
            <w:pPr>
              <w:ind w:left="420"/>
              <w:spacing w:after="0"/>
              <w:rPr>
                <w:sz w:val="20"/>
                <w:szCs w:val="20"/>
                <w:color w:val="auto"/>
              </w:rPr>
            </w:pPr>
            <w:r>
              <w:rPr>
                <w:rFonts w:ascii="Arial" w:cs="Arial" w:eastAsia="Arial" w:hAnsi="Arial"/>
                <w:sz w:val="14"/>
                <w:szCs w:val="14"/>
                <w:color w:val="auto"/>
              </w:rPr>
              <w:t>$4,000 per share</w:t>
            </w:r>
          </w:p>
        </w:tc>
        <w:tc>
          <w:tcPr>
            <w:tcW w:w="5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3680" w:type="dxa"/>
            <w:vAlign w:val="bottom"/>
          </w:tcPr>
          <w:p>
            <w:pPr>
              <w:ind w:left="340"/>
              <w:spacing w:after="0" w:line="156" w:lineRule="exact"/>
              <w:rPr>
                <w:sz w:val="20"/>
                <w:szCs w:val="20"/>
                <w:color w:val="auto"/>
              </w:rPr>
            </w:pPr>
            <w:r>
              <w:rPr>
                <w:rFonts w:ascii="Arial" w:cs="Arial" w:eastAsia="Arial" w:hAnsi="Arial"/>
                <w:sz w:val="14"/>
                <w:szCs w:val="14"/>
                <w:color w:val="auto"/>
              </w:rPr>
              <w:t>Preferred stock redemption - face</w:t>
            </w:r>
          </w:p>
        </w:tc>
        <w:tc>
          <w:tcPr>
            <w:tcW w:w="52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b w:val="1"/>
                <w:bCs w:val="1"/>
                <w:color w:val="00539B"/>
              </w:rPr>
              <w:t>(1,169)</w:t>
            </w:r>
          </w:p>
        </w:tc>
        <w:tc>
          <w:tcPr>
            <w:tcW w:w="18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b w:val="1"/>
                <w:bCs w:val="1"/>
                <w:color w:val="00539B"/>
              </w:rPr>
              <w:t>—</w:t>
            </w:r>
          </w:p>
        </w:tc>
        <w:tc>
          <w:tcPr>
            <w:tcW w:w="200" w:type="dxa"/>
            <w:vAlign w:val="bottom"/>
          </w:tcPr>
          <w:p>
            <w:pPr>
              <w:spacing w:after="0"/>
              <w:rPr>
                <w:sz w:val="13"/>
                <w:szCs w:val="13"/>
                <w:color w:val="auto"/>
              </w:rPr>
            </w:pPr>
          </w:p>
        </w:tc>
        <w:tc>
          <w:tcPr>
            <w:tcW w:w="700" w:type="dxa"/>
            <w:vAlign w:val="bottom"/>
            <w:vMerge w:val="restart"/>
          </w:tcPr>
          <w:p>
            <w:pPr>
              <w:jc w:val="right"/>
              <w:ind w:right="9"/>
              <w:spacing w:after="0"/>
              <w:rPr>
                <w:sz w:val="20"/>
                <w:szCs w:val="20"/>
                <w:color w:val="auto"/>
              </w:rPr>
            </w:pPr>
            <w:r>
              <w:rPr>
                <w:rFonts w:ascii="Arial" w:cs="Arial" w:eastAsia="Arial" w:hAnsi="Arial"/>
                <w:sz w:val="14"/>
                <w:szCs w:val="14"/>
                <w:b w:val="1"/>
                <w:bCs w:val="1"/>
                <w:color w:val="00539B"/>
              </w:rPr>
              <w:t>—</w:t>
            </w:r>
          </w:p>
        </w:tc>
        <w:tc>
          <w:tcPr>
            <w:tcW w:w="220" w:type="dxa"/>
            <w:vAlign w:val="bottom"/>
          </w:tcPr>
          <w:p>
            <w:pPr>
              <w:spacing w:after="0"/>
              <w:rPr>
                <w:sz w:val="13"/>
                <w:szCs w:val="13"/>
                <w:color w:val="auto"/>
              </w:rPr>
            </w:pPr>
          </w:p>
        </w:tc>
        <w:tc>
          <w:tcPr>
            <w:tcW w:w="860" w:type="dxa"/>
            <w:vAlign w:val="bottom"/>
            <w:vMerge w:val="restart"/>
          </w:tcPr>
          <w:p>
            <w:pPr>
              <w:jc w:val="right"/>
              <w:ind w:right="9"/>
              <w:spacing w:after="0"/>
              <w:rPr>
                <w:sz w:val="20"/>
                <w:szCs w:val="20"/>
                <w:color w:val="auto"/>
              </w:rPr>
            </w:pPr>
            <w:r>
              <w:rPr>
                <w:rFonts w:ascii="Arial" w:cs="Arial" w:eastAsia="Arial" w:hAnsi="Arial"/>
                <w:sz w:val="14"/>
                <w:szCs w:val="14"/>
                <w:b w:val="1"/>
                <w:bCs w:val="1"/>
                <w:color w:val="00539B"/>
              </w:rPr>
              <w:t>—</w:t>
            </w:r>
          </w:p>
        </w:tc>
        <w:tc>
          <w:tcPr>
            <w:tcW w:w="280" w:type="dxa"/>
            <w:vAlign w:val="bottom"/>
          </w:tcPr>
          <w:p>
            <w:pPr>
              <w:spacing w:after="0"/>
              <w:rPr>
                <w:sz w:val="13"/>
                <w:szCs w:val="13"/>
                <w:color w:val="auto"/>
              </w:rPr>
            </w:pPr>
          </w:p>
        </w:tc>
        <w:tc>
          <w:tcPr>
            <w:tcW w:w="800" w:type="dxa"/>
            <w:vAlign w:val="bottom"/>
            <w:vMerge w:val="restart"/>
          </w:tcPr>
          <w:p>
            <w:pPr>
              <w:jc w:val="right"/>
              <w:ind w:right="9"/>
              <w:spacing w:after="0"/>
              <w:rPr>
                <w:sz w:val="20"/>
                <w:szCs w:val="20"/>
                <w:color w:val="auto"/>
              </w:rPr>
            </w:pPr>
            <w:r>
              <w:rPr>
                <w:rFonts w:ascii="Arial" w:cs="Arial" w:eastAsia="Arial" w:hAnsi="Arial"/>
                <w:sz w:val="14"/>
                <w:szCs w:val="14"/>
                <w:b w:val="1"/>
                <w:bCs w:val="1"/>
                <w:color w:val="00539B"/>
              </w:rPr>
              <w:t>—</w:t>
            </w:r>
          </w:p>
        </w:tc>
        <w:tc>
          <w:tcPr>
            <w:tcW w:w="100" w:type="dxa"/>
            <w:vAlign w:val="bottom"/>
          </w:tcPr>
          <w:p>
            <w:pPr>
              <w:spacing w:after="0"/>
              <w:rPr>
                <w:sz w:val="13"/>
                <w:szCs w:val="13"/>
                <w:color w:val="auto"/>
              </w:rPr>
            </w:pPr>
          </w:p>
        </w:tc>
        <w:tc>
          <w:tcPr>
            <w:tcW w:w="1340" w:type="dxa"/>
            <w:vAlign w:val="bottom"/>
            <w:vMerge w:val="restart"/>
          </w:tcPr>
          <w:p>
            <w:pPr>
              <w:jc w:val="right"/>
              <w:spacing w:after="0"/>
              <w:rPr>
                <w:sz w:val="20"/>
                <w:szCs w:val="20"/>
                <w:color w:val="auto"/>
              </w:rPr>
            </w:pPr>
            <w:r>
              <w:rPr>
                <w:rFonts w:ascii="Arial" w:cs="Arial" w:eastAsia="Arial" w:hAnsi="Arial"/>
                <w:sz w:val="14"/>
                <w:szCs w:val="14"/>
                <w:b w:val="1"/>
                <w:bCs w:val="1"/>
                <w:color w:val="00539B"/>
              </w:rPr>
              <w:t>—</w:t>
            </w:r>
          </w:p>
        </w:tc>
        <w:tc>
          <w:tcPr>
            <w:tcW w:w="26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b w:val="1"/>
                <w:bCs w:val="1"/>
                <w:color w:val="00539B"/>
              </w:rPr>
              <w:t>(1,169)</w:t>
            </w:r>
          </w:p>
        </w:tc>
        <w:tc>
          <w:tcPr>
            <w:tcW w:w="0" w:type="dxa"/>
            <w:vAlign w:val="bottom"/>
          </w:tcPr>
          <w:p>
            <w:pPr>
              <w:spacing w:after="0"/>
              <w:rPr>
                <w:sz w:val="1"/>
                <w:szCs w:val="1"/>
                <w:color w:val="auto"/>
              </w:rPr>
            </w:pPr>
          </w:p>
        </w:tc>
      </w:tr>
      <w:tr>
        <w:trPr>
          <w:trHeight w:val="187"/>
        </w:trPr>
        <w:tc>
          <w:tcPr>
            <w:tcW w:w="3680" w:type="dxa"/>
            <w:vAlign w:val="bottom"/>
          </w:tcPr>
          <w:p>
            <w:pPr>
              <w:ind w:left="420"/>
              <w:spacing w:after="0"/>
              <w:rPr>
                <w:sz w:val="20"/>
                <w:szCs w:val="20"/>
                <w:color w:val="auto"/>
              </w:rPr>
            </w:pPr>
            <w:r>
              <w:rPr>
                <w:rFonts w:ascii="Arial" w:cs="Arial" w:eastAsia="Arial" w:hAnsi="Arial"/>
                <w:sz w:val="14"/>
                <w:szCs w:val="14"/>
                <w:color w:val="auto"/>
              </w:rPr>
              <w:t>value</w:t>
            </w:r>
          </w:p>
        </w:tc>
        <w:tc>
          <w:tcPr>
            <w:tcW w:w="5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3680" w:type="dxa"/>
            <w:vAlign w:val="bottom"/>
          </w:tcPr>
          <w:p>
            <w:pPr>
              <w:ind w:left="340"/>
              <w:spacing w:after="0" w:line="147" w:lineRule="exact"/>
              <w:rPr>
                <w:sz w:val="20"/>
                <w:szCs w:val="20"/>
                <w:color w:val="auto"/>
              </w:rPr>
            </w:pPr>
            <w:r>
              <w:rPr>
                <w:rFonts w:ascii="Arial" w:cs="Arial" w:eastAsia="Arial" w:hAnsi="Arial"/>
                <w:sz w:val="14"/>
                <w:szCs w:val="14"/>
                <w:color w:val="auto"/>
              </w:rPr>
              <w:t>Preferred stock redemption -</w:t>
            </w:r>
          </w:p>
        </w:tc>
        <w:tc>
          <w:tcPr>
            <w:tcW w:w="520" w:type="dxa"/>
            <w:vAlign w:val="bottom"/>
          </w:tcPr>
          <w:p>
            <w:pPr>
              <w:spacing w:after="0"/>
              <w:rPr>
                <w:sz w:val="12"/>
                <w:szCs w:val="12"/>
                <w:color w:val="auto"/>
              </w:rPr>
            </w:pPr>
          </w:p>
        </w:tc>
        <w:tc>
          <w:tcPr>
            <w:tcW w:w="740" w:type="dxa"/>
            <w:vAlign w:val="bottom"/>
            <w:vMerge w:val="restart"/>
          </w:tcPr>
          <w:p>
            <w:pPr>
              <w:jc w:val="right"/>
              <w:ind w:right="9"/>
              <w:spacing w:after="0"/>
              <w:rPr>
                <w:sz w:val="20"/>
                <w:szCs w:val="20"/>
                <w:color w:val="auto"/>
              </w:rPr>
            </w:pPr>
            <w:r>
              <w:rPr>
                <w:rFonts w:ascii="Arial" w:cs="Arial" w:eastAsia="Arial" w:hAnsi="Arial"/>
                <w:sz w:val="14"/>
                <w:szCs w:val="14"/>
                <w:b w:val="1"/>
                <w:bCs w:val="1"/>
                <w:color w:val="00539B"/>
              </w:rPr>
              <w:t>—</w:t>
            </w:r>
          </w:p>
        </w:tc>
        <w:tc>
          <w:tcPr>
            <w:tcW w:w="18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b w:val="1"/>
                <w:bCs w:val="1"/>
                <w:color w:val="00539B"/>
              </w:rPr>
              <w:t>—</w:t>
            </w:r>
          </w:p>
        </w:tc>
        <w:tc>
          <w:tcPr>
            <w:tcW w:w="200" w:type="dxa"/>
            <w:vAlign w:val="bottom"/>
          </w:tcPr>
          <w:p>
            <w:pPr>
              <w:spacing w:after="0"/>
              <w:rPr>
                <w:sz w:val="12"/>
                <w:szCs w:val="12"/>
                <w:color w:val="auto"/>
              </w:rPr>
            </w:pPr>
          </w:p>
        </w:tc>
        <w:tc>
          <w:tcPr>
            <w:tcW w:w="700" w:type="dxa"/>
            <w:vAlign w:val="bottom"/>
            <w:vMerge w:val="restart"/>
          </w:tcPr>
          <w:p>
            <w:pPr>
              <w:jc w:val="right"/>
              <w:ind w:right="9"/>
              <w:spacing w:after="0"/>
              <w:rPr>
                <w:sz w:val="20"/>
                <w:szCs w:val="20"/>
                <w:color w:val="auto"/>
              </w:rPr>
            </w:pPr>
            <w:r>
              <w:rPr>
                <w:rFonts w:ascii="Arial" w:cs="Arial" w:eastAsia="Arial" w:hAnsi="Arial"/>
                <w:sz w:val="14"/>
                <w:szCs w:val="14"/>
                <w:b w:val="1"/>
                <w:bCs w:val="1"/>
                <w:color w:val="00539B"/>
              </w:rPr>
              <w:t>—</w:t>
            </w:r>
          </w:p>
        </w:tc>
        <w:tc>
          <w:tcPr>
            <w:tcW w:w="220" w:type="dxa"/>
            <w:vAlign w:val="bottom"/>
          </w:tcPr>
          <w:p>
            <w:pPr>
              <w:spacing w:after="0"/>
              <w:rPr>
                <w:sz w:val="12"/>
                <w:szCs w:val="12"/>
                <w:color w:val="auto"/>
              </w:rPr>
            </w:pPr>
          </w:p>
        </w:tc>
        <w:tc>
          <w:tcPr>
            <w:tcW w:w="860" w:type="dxa"/>
            <w:vAlign w:val="bottom"/>
            <w:vMerge w:val="restart"/>
          </w:tcPr>
          <w:p>
            <w:pPr>
              <w:jc w:val="right"/>
              <w:ind w:right="9"/>
              <w:spacing w:after="0"/>
              <w:rPr>
                <w:sz w:val="20"/>
                <w:szCs w:val="20"/>
                <w:color w:val="auto"/>
              </w:rPr>
            </w:pPr>
            <w:r>
              <w:rPr>
                <w:rFonts w:ascii="Arial" w:cs="Arial" w:eastAsia="Arial" w:hAnsi="Arial"/>
                <w:sz w:val="14"/>
                <w:szCs w:val="14"/>
                <w:b w:val="1"/>
                <w:bCs w:val="1"/>
                <w:color w:val="00539B"/>
              </w:rPr>
              <w:t>—</w:t>
            </w:r>
          </w:p>
        </w:tc>
        <w:tc>
          <w:tcPr>
            <w:tcW w:w="28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b w:val="1"/>
                <w:bCs w:val="1"/>
                <w:color w:val="00539B"/>
              </w:rPr>
              <w:t>(117)</w:t>
            </w:r>
          </w:p>
        </w:tc>
        <w:tc>
          <w:tcPr>
            <w:tcW w:w="100" w:type="dxa"/>
            <w:vAlign w:val="bottom"/>
          </w:tcPr>
          <w:p>
            <w:pPr>
              <w:spacing w:after="0"/>
              <w:rPr>
                <w:sz w:val="12"/>
                <w:szCs w:val="12"/>
                <w:color w:val="auto"/>
              </w:rPr>
            </w:pPr>
          </w:p>
        </w:tc>
        <w:tc>
          <w:tcPr>
            <w:tcW w:w="1340" w:type="dxa"/>
            <w:vAlign w:val="bottom"/>
            <w:vMerge w:val="restart"/>
          </w:tcPr>
          <w:p>
            <w:pPr>
              <w:jc w:val="right"/>
              <w:spacing w:after="0"/>
              <w:rPr>
                <w:sz w:val="20"/>
                <w:szCs w:val="20"/>
                <w:color w:val="auto"/>
              </w:rPr>
            </w:pPr>
            <w:r>
              <w:rPr>
                <w:rFonts w:ascii="Arial" w:cs="Arial" w:eastAsia="Arial" w:hAnsi="Arial"/>
                <w:sz w:val="14"/>
                <w:szCs w:val="14"/>
                <w:b w:val="1"/>
                <w:bCs w:val="1"/>
                <w:color w:val="00539B"/>
              </w:rPr>
              <w:t>—</w:t>
            </w:r>
          </w:p>
        </w:tc>
        <w:tc>
          <w:tcPr>
            <w:tcW w:w="26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b w:val="1"/>
                <w:bCs w:val="1"/>
                <w:color w:val="00539B"/>
              </w:rPr>
              <w:t>(117)</w:t>
            </w:r>
          </w:p>
        </w:tc>
        <w:tc>
          <w:tcPr>
            <w:tcW w:w="0" w:type="dxa"/>
            <w:vAlign w:val="bottom"/>
          </w:tcPr>
          <w:p>
            <w:pPr>
              <w:spacing w:after="0"/>
              <w:rPr>
                <w:sz w:val="1"/>
                <w:szCs w:val="1"/>
                <w:color w:val="auto"/>
              </w:rPr>
            </w:pPr>
          </w:p>
        </w:tc>
      </w:tr>
      <w:tr>
        <w:trPr>
          <w:trHeight w:val="191"/>
        </w:trPr>
        <w:tc>
          <w:tcPr>
            <w:tcW w:w="3680" w:type="dxa"/>
            <w:vAlign w:val="bottom"/>
          </w:tcPr>
          <w:p>
            <w:pPr>
              <w:ind w:left="420"/>
              <w:spacing w:after="0"/>
              <w:rPr>
                <w:sz w:val="20"/>
                <w:szCs w:val="20"/>
                <w:color w:val="auto"/>
              </w:rPr>
            </w:pPr>
            <w:r>
              <w:rPr>
                <w:rFonts w:ascii="Arial" w:cs="Arial" w:eastAsia="Arial" w:hAnsi="Arial"/>
                <w:sz w:val="14"/>
                <w:szCs w:val="14"/>
                <w:color w:val="auto"/>
              </w:rPr>
              <w:t>premium</w:t>
            </w:r>
          </w:p>
        </w:tc>
        <w:tc>
          <w:tcPr>
            <w:tcW w:w="5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3680" w:type="dxa"/>
            <w:vAlign w:val="bottom"/>
          </w:tcPr>
          <w:p>
            <w:pPr>
              <w:ind w:left="340"/>
              <w:spacing w:after="0" w:line="148" w:lineRule="exact"/>
              <w:rPr>
                <w:sz w:val="20"/>
                <w:szCs w:val="20"/>
                <w:color w:val="auto"/>
              </w:rPr>
            </w:pPr>
            <w:r>
              <w:rPr>
                <w:rFonts w:ascii="Arial" w:cs="Arial" w:eastAsia="Arial" w:hAnsi="Arial"/>
                <w:sz w:val="14"/>
                <w:szCs w:val="14"/>
                <w:color w:val="auto"/>
              </w:rPr>
              <w:t>Preferred stock redemption value in</w:t>
            </w:r>
          </w:p>
        </w:tc>
        <w:tc>
          <w:tcPr>
            <w:tcW w:w="520" w:type="dxa"/>
            <w:vAlign w:val="bottom"/>
          </w:tcPr>
          <w:p>
            <w:pPr>
              <w:spacing w:after="0"/>
              <w:rPr>
                <w:sz w:val="12"/>
                <w:szCs w:val="12"/>
                <w:color w:val="auto"/>
              </w:rPr>
            </w:pPr>
          </w:p>
        </w:tc>
        <w:tc>
          <w:tcPr>
            <w:tcW w:w="740" w:type="dxa"/>
            <w:vAlign w:val="bottom"/>
            <w:vMerge w:val="restart"/>
          </w:tcPr>
          <w:p>
            <w:pPr>
              <w:jc w:val="right"/>
              <w:ind w:right="9"/>
              <w:spacing w:after="0"/>
              <w:rPr>
                <w:sz w:val="20"/>
                <w:szCs w:val="20"/>
                <w:color w:val="auto"/>
              </w:rPr>
            </w:pPr>
            <w:r>
              <w:rPr>
                <w:rFonts w:ascii="Arial" w:cs="Arial" w:eastAsia="Arial" w:hAnsi="Arial"/>
                <w:sz w:val="14"/>
                <w:szCs w:val="14"/>
                <w:b w:val="1"/>
                <w:bCs w:val="1"/>
                <w:color w:val="00539B"/>
              </w:rPr>
              <w:t>28</w:t>
            </w:r>
          </w:p>
        </w:tc>
        <w:tc>
          <w:tcPr>
            <w:tcW w:w="18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b w:val="1"/>
                <w:bCs w:val="1"/>
                <w:color w:val="00539B"/>
              </w:rPr>
              <w:t>—</w:t>
            </w:r>
          </w:p>
        </w:tc>
        <w:tc>
          <w:tcPr>
            <w:tcW w:w="200" w:type="dxa"/>
            <w:vAlign w:val="bottom"/>
          </w:tcPr>
          <w:p>
            <w:pPr>
              <w:spacing w:after="0"/>
              <w:rPr>
                <w:sz w:val="12"/>
                <w:szCs w:val="12"/>
                <w:color w:val="auto"/>
              </w:rPr>
            </w:pPr>
          </w:p>
        </w:tc>
        <w:tc>
          <w:tcPr>
            <w:tcW w:w="700" w:type="dxa"/>
            <w:vAlign w:val="bottom"/>
            <w:vMerge w:val="restart"/>
          </w:tcPr>
          <w:p>
            <w:pPr>
              <w:jc w:val="right"/>
              <w:ind w:right="9"/>
              <w:spacing w:after="0"/>
              <w:rPr>
                <w:sz w:val="20"/>
                <w:szCs w:val="20"/>
                <w:color w:val="auto"/>
              </w:rPr>
            </w:pPr>
            <w:r>
              <w:rPr>
                <w:rFonts w:ascii="Arial" w:cs="Arial" w:eastAsia="Arial" w:hAnsi="Arial"/>
                <w:sz w:val="14"/>
                <w:szCs w:val="14"/>
                <w:b w:val="1"/>
                <w:bCs w:val="1"/>
                <w:color w:val="00539B"/>
              </w:rPr>
              <w:t>—</w:t>
            </w:r>
          </w:p>
        </w:tc>
        <w:tc>
          <w:tcPr>
            <w:tcW w:w="220" w:type="dxa"/>
            <w:vAlign w:val="bottom"/>
          </w:tcPr>
          <w:p>
            <w:pPr>
              <w:spacing w:after="0"/>
              <w:rPr>
                <w:sz w:val="12"/>
                <w:szCs w:val="12"/>
                <w:color w:val="auto"/>
              </w:rPr>
            </w:pPr>
          </w:p>
        </w:tc>
        <w:tc>
          <w:tcPr>
            <w:tcW w:w="860" w:type="dxa"/>
            <w:vAlign w:val="bottom"/>
            <w:vMerge w:val="restart"/>
          </w:tcPr>
          <w:p>
            <w:pPr>
              <w:jc w:val="right"/>
              <w:ind w:right="9"/>
              <w:spacing w:after="0"/>
              <w:rPr>
                <w:sz w:val="20"/>
                <w:szCs w:val="20"/>
                <w:color w:val="auto"/>
              </w:rPr>
            </w:pPr>
            <w:r>
              <w:rPr>
                <w:rFonts w:ascii="Arial" w:cs="Arial" w:eastAsia="Arial" w:hAnsi="Arial"/>
                <w:sz w:val="14"/>
                <w:szCs w:val="14"/>
                <w:b w:val="1"/>
                <w:bCs w:val="1"/>
                <w:color w:val="00539B"/>
              </w:rPr>
              <w:t>—</w:t>
            </w:r>
          </w:p>
        </w:tc>
        <w:tc>
          <w:tcPr>
            <w:tcW w:w="28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b w:val="1"/>
                <w:bCs w:val="1"/>
                <w:color w:val="00539B"/>
              </w:rPr>
              <w:t>(28)</w:t>
            </w:r>
          </w:p>
        </w:tc>
        <w:tc>
          <w:tcPr>
            <w:tcW w:w="100" w:type="dxa"/>
            <w:vAlign w:val="bottom"/>
          </w:tcPr>
          <w:p>
            <w:pPr>
              <w:spacing w:after="0"/>
              <w:rPr>
                <w:sz w:val="12"/>
                <w:szCs w:val="12"/>
                <w:color w:val="auto"/>
              </w:rPr>
            </w:pPr>
          </w:p>
        </w:tc>
        <w:tc>
          <w:tcPr>
            <w:tcW w:w="1340" w:type="dxa"/>
            <w:vAlign w:val="bottom"/>
            <w:vMerge w:val="restart"/>
          </w:tcPr>
          <w:p>
            <w:pPr>
              <w:jc w:val="right"/>
              <w:spacing w:after="0"/>
              <w:rPr>
                <w:sz w:val="20"/>
                <w:szCs w:val="20"/>
                <w:color w:val="auto"/>
              </w:rPr>
            </w:pPr>
            <w:r>
              <w:rPr>
                <w:rFonts w:ascii="Arial" w:cs="Arial" w:eastAsia="Arial" w:hAnsi="Arial"/>
                <w:sz w:val="14"/>
                <w:szCs w:val="14"/>
                <w:b w:val="1"/>
                <w:bCs w:val="1"/>
                <w:color w:val="00539B"/>
              </w:rPr>
              <w:t>—</w:t>
            </w:r>
          </w:p>
        </w:tc>
        <w:tc>
          <w:tcPr>
            <w:tcW w:w="26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b w:val="1"/>
                <w:bCs w:val="1"/>
                <w:color w:val="00539B"/>
              </w:rPr>
              <w:t>—</w:t>
            </w:r>
          </w:p>
        </w:tc>
        <w:tc>
          <w:tcPr>
            <w:tcW w:w="0" w:type="dxa"/>
            <w:vAlign w:val="bottom"/>
          </w:tcPr>
          <w:p>
            <w:pPr>
              <w:spacing w:after="0"/>
              <w:rPr>
                <w:sz w:val="1"/>
                <w:szCs w:val="1"/>
                <w:color w:val="auto"/>
              </w:rPr>
            </w:pPr>
          </w:p>
        </w:tc>
      </w:tr>
      <w:tr>
        <w:trPr>
          <w:trHeight w:val="185"/>
        </w:trPr>
        <w:tc>
          <w:tcPr>
            <w:tcW w:w="3680" w:type="dxa"/>
            <w:vAlign w:val="bottom"/>
          </w:tcPr>
          <w:p>
            <w:pPr>
              <w:ind w:left="420"/>
              <w:spacing w:after="0"/>
              <w:rPr>
                <w:sz w:val="20"/>
                <w:szCs w:val="20"/>
                <w:color w:val="auto"/>
              </w:rPr>
            </w:pPr>
            <w:r>
              <w:rPr>
                <w:rFonts w:ascii="Arial" w:cs="Arial" w:eastAsia="Arial" w:hAnsi="Arial"/>
                <w:sz w:val="14"/>
                <w:szCs w:val="14"/>
                <w:color w:val="auto"/>
              </w:rPr>
              <w:t>excess of carrying value</w:t>
            </w:r>
          </w:p>
        </w:tc>
        <w:tc>
          <w:tcPr>
            <w:tcW w:w="5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3680" w:type="dxa"/>
            <w:vAlign w:val="bottom"/>
          </w:tcPr>
          <w:p>
            <w:pPr>
              <w:ind w:left="340"/>
              <w:spacing w:after="0"/>
              <w:rPr>
                <w:sz w:val="20"/>
                <w:szCs w:val="20"/>
                <w:color w:val="auto"/>
              </w:rPr>
            </w:pPr>
            <w:r>
              <w:rPr>
                <w:rFonts w:ascii="Arial" w:cs="Arial" w:eastAsia="Arial" w:hAnsi="Arial"/>
                <w:sz w:val="14"/>
                <w:szCs w:val="14"/>
                <w:color w:val="auto"/>
              </w:rPr>
              <w:t>Shareholder warrants exercised</w:t>
            </w:r>
          </w:p>
        </w:tc>
        <w:tc>
          <w:tcPr>
            <w:tcW w:w="520" w:type="dxa"/>
            <w:vAlign w:val="bottom"/>
          </w:tcPr>
          <w:p>
            <w:pPr>
              <w:spacing w:after="0"/>
              <w:rPr>
                <w:sz w:val="17"/>
                <w:szCs w:val="17"/>
                <w:color w:val="auto"/>
              </w:rPr>
            </w:pPr>
          </w:p>
        </w:tc>
        <w:tc>
          <w:tcPr>
            <w:tcW w:w="740" w:type="dxa"/>
            <w:vAlign w:val="bottom"/>
          </w:tcPr>
          <w:p>
            <w:pPr>
              <w:jc w:val="right"/>
              <w:ind w:right="9"/>
              <w:spacing w:after="0"/>
              <w:rPr>
                <w:sz w:val="20"/>
                <w:szCs w:val="20"/>
                <w:color w:val="auto"/>
              </w:rPr>
            </w:pPr>
            <w:r>
              <w:rPr>
                <w:rFonts w:ascii="Arial" w:cs="Arial" w:eastAsia="Arial" w:hAnsi="Arial"/>
                <w:sz w:val="14"/>
                <w:szCs w:val="14"/>
                <w:b w:val="1"/>
                <w:bCs w:val="1"/>
                <w:color w:val="00539B"/>
              </w:rPr>
              <w:t>—</w:t>
            </w: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00539B"/>
              </w:rPr>
              <w:t>—</w:t>
            </w:r>
          </w:p>
        </w:tc>
        <w:tc>
          <w:tcPr>
            <w:tcW w:w="200" w:type="dxa"/>
            <w:vAlign w:val="bottom"/>
          </w:tcPr>
          <w:p>
            <w:pPr>
              <w:spacing w:after="0"/>
              <w:rPr>
                <w:sz w:val="17"/>
                <w:szCs w:val="17"/>
                <w:color w:val="auto"/>
              </w:rPr>
            </w:pPr>
          </w:p>
        </w:tc>
        <w:tc>
          <w:tcPr>
            <w:tcW w:w="700" w:type="dxa"/>
            <w:vAlign w:val="bottom"/>
          </w:tcPr>
          <w:p>
            <w:pPr>
              <w:jc w:val="right"/>
              <w:ind w:right="9"/>
              <w:spacing w:after="0"/>
              <w:rPr>
                <w:sz w:val="20"/>
                <w:szCs w:val="20"/>
                <w:color w:val="auto"/>
              </w:rPr>
            </w:pPr>
            <w:r>
              <w:rPr>
                <w:rFonts w:ascii="Arial" w:cs="Arial" w:eastAsia="Arial" w:hAnsi="Arial"/>
                <w:sz w:val="14"/>
                <w:szCs w:val="14"/>
                <w:b w:val="1"/>
                <w:bCs w:val="1"/>
                <w:color w:val="00539B"/>
              </w:rPr>
              <w:t>—</w:t>
            </w:r>
          </w:p>
        </w:tc>
        <w:tc>
          <w:tcPr>
            <w:tcW w:w="220" w:type="dxa"/>
            <w:vAlign w:val="bottom"/>
          </w:tcPr>
          <w:p>
            <w:pPr>
              <w:spacing w:after="0"/>
              <w:rPr>
                <w:sz w:val="17"/>
                <w:szCs w:val="17"/>
                <w:color w:val="auto"/>
              </w:rPr>
            </w:pPr>
          </w:p>
        </w:tc>
        <w:tc>
          <w:tcPr>
            <w:tcW w:w="860" w:type="dxa"/>
            <w:vAlign w:val="bottom"/>
          </w:tcPr>
          <w:p>
            <w:pPr>
              <w:jc w:val="right"/>
              <w:ind w:right="9"/>
              <w:spacing w:after="0"/>
              <w:rPr>
                <w:sz w:val="20"/>
                <w:szCs w:val="20"/>
                <w:color w:val="auto"/>
              </w:rPr>
            </w:pPr>
            <w:r>
              <w:rPr>
                <w:rFonts w:ascii="Arial" w:cs="Arial" w:eastAsia="Arial" w:hAnsi="Arial"/>
                <w:sz w:val="14"/>
                <w:szCs w:val="14"/>
                <w:b w:val="1"/>
                <w:bCs w:val="1"/>
                <w:color w:val="00539B"/>
              </w:rPr>
              <w:t>3</w:t>
            </w:r>
          </w:p>
        </w:tc>
        <w:tc>
          <w:tcPr>
            <w:tcW w:w="280" w:type="dxa"/>
            <w:vAlign w:val="bottom"/>
          </w:tcPr>
          <w:p>
            <w:pPr>
              <w:spacing w:after="0"/>
              <w:rPr>
                <w:sz w:val="17"/>
                <w:szCs w:val="17"/>
                <w:color w:val="auto"/>
              </w:rPr>
            </w:pPr>
          </w:p>
        </w:tc>
        <w:tc>
          <w:tcPr>
            <w:tcW w:w="800" w:type="dxa"/>
            <w:vAlign w:val="bottom"/>
          </w:tcPr>
          <w:p>
            <w:pPr>
              <w:jc w:val="right"/>
              <w:ind w:right="9"/>
              <w:spacing w:after="0"/>
              <w:rPr>
                <w:sz w:val="20"/>
                <w:szCs w:val="20"/>
                <w:color w:val="auto"/>
              </w:rPr>
            </w:pPr>
            <w:r>
              <w:rPr>
                <w:rFonts w:ascii="Arial" w:cs="Arial" w:eastAsia="Arial" w:hAnsi="Arial"/>
                <w:sz w:val="14"/>
                <w:szCs w:val="14"/>
                <w:b w:val="1"/>
                <w:bCs w:val="1"/>
                <w:color w:val="00539B"/>
              </w:rPr>
              <w:t>—</w:t>
            </w:r>
          </w:p>
        </w:tc>
        <w:tc>
          <w:tcPr>
            <w:tcW w:w="1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4"/>
                <w:szCs w:val="14"/>
                <w:b w:val="1"/>
                <w:bCs w:val="1"/>
                <w:color w:val="00539B"/>
              </w:rPr>
              <w:t>—</w:t>
            </w:r>
          </w:p>
        </w:tc>
        <w:tc>
          <w:tcPr>
            <w:tcW w:w="2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00539B"/>
              </w:rPr>
              <w:t>3</w:t>
            </w:r>
          </w:p>
        </w:tc>
        <w:tc>
          <w:tcPr>
            <w:tcW w:w="0" w:type="dxa"/>
            <w:vAlign w:val="bottom"/>
          </w:tcPr>
          <w:p>
            <w:pPr>
              <w:spacing w:after="0"/>
              <w:rPr>
                <w:sz w:val="1"/>
                <w:szCs w:val="1"/>
                <w:color w:val="auto"/>
              </w:rPr>
            </w:pPr>
          </w:p>
        </w:tc>
      </w:tr>
      <w:tr>
        <w:trPr>
          <w:trHeight w:val="196"/>
        </w:trPr>
        <w:tc>
          <w:tcPr>
            <w:tcW w:w="3680" w:type="dxa"/>
            <w:vAlign w:val="bottom"/>
          </w:tcPr>
          <w:p>
            <w:pPr>
              <w:ind w:left="340"/>
              <w:spacing w:after="0"/>
              <w:rPr>
                <w:sz w:val="20"/>
                <w:szCs w:val="20"/>
                <w:color w:val="auto"/>
              </w:rPr>
            </w:pPr>
            <w:r>
              <w:rPr>
                <w:rFonts w:ascii="Arial" w:cs="Arial" w:eastAsia="Arial" w:hAnsi="Arial"/>
                <w:sz w:val="14"/>
                <w:szCs w:val="14"/>
                <w:color w:val="auto"/>
              </w:rPr>
              <w:t>Options exercised</w:t>
            </w:r>
          </w:p>
        </w:tc>
        <w:tc>
          <w:tcPr>
            <w:tcW w:w="520" w:type="dxa"/>
            <w:vAlign w:val="bottom"/>
          </w:tcPr>
          <w:p>
            <w:pPr>
              <w:spacing w:after="0"/>
              <w:rPr>
                <w:sz w:val="17"/>
                <w:szCs w:val="17"/>
                <w:color w:val="auto"/>
              </w:rPr>
            </w:pPr>
          </w:p>
        </w:tc>
        <w:tc>
          <w:tcPr>
            <w:tcW w:w="740" w:type="dxa"/>
            <w:vAlign w:val="bottom"/>
          </w:tcPr>
          <w:p>
            <w:pPr>
              <w:jc w:val="right"/>
              <w:ind w:right="9"/>
              <w:spacing w:after="0"/>
              <w:rPr>
                <w:sz w:val="20"/>
                <w:szCs w:val="20"/>
                <w:color w:val="auto"/>
              </w:rPr>
            </w:pPr>
            <w:r>
              <w:rPr>
                <w:rFonts w:ascii="Arial" w:cs="Arial" w:eastAsia="Arial" w:hAnsi="Arial"/>
                <w:sz w:val="14"/>
                <w:szCs w:val="14"/>
                <w:b w:val="1"/>
                <w:bCs w:val="1"/>
                <w:color w:val="00539B"/>
              </w:rPr>
              <w:t>—</w:t>
            </w: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00539B"/>
              </w:rPr>
              <w:t>—</w:t>
            </w:r>
          </w:p>
        </w:tc>
        <w:tc>
          <w:tcPr>
            <w:tcW w:w="200" w:type="dxa"/>
            <w:vAlign w:val="bottom"/>
          </w:tcPr>
          <w:p>
            <w:pPr>
              <w:spacing w:after="0"/>
              <w:rPr>
                <w:sz w:val="17"/>
                <w:szCs w:val="17"/>
                <w:color w:val="auto"/>
              </w:rPr>
            </w:pPr>
          </w:p>
        </w:tc>
        <w:tc>
          <w:tcPr>
            <w:tcW w:w="700" w:type="dxa"/>
            <w:vAlign w:val="bottom"/>
          </w:tcPr>
          <w:p>
            <w:pPr>
              <w:jc w:val="right"/>
              <w:ind w:right="9"/>
              <w:spacing w:after="0"/>
              <w:rPr>
                <w:sz w:val="20"/>
                <w:szCs w:val="20"/>
                <w:color w:val="auto"/>
              </w:rPr>
            </w:pPr>
            <w:r>
              <w:rPr>
                <w:rFonts w:ascii="Arial" w:cs="Arial" w:eastAsia="Arial" w:hAnsi="Arial"/>
                <w:sz w:val="14"/>
                <w:szCs w:val="14"/>
                <w:b w:val="1"/>
                <w:bCs w:val="1"/>
                <w:color w:val="00539B"/>
              </w:rPr>
              <w:t>—</w:t>
            </w:r>
          </w:p>
        </w:tc>
        <w:tc>
          <w:tcPr>
            <w:tcW w:w="220" w:type="dxa"/>
            <w:vAlign w:val="bottom"/>
          </w:tcPr>
          <w:p>
            <w:pPr>
              <w:spacing w:after="0"/>
              <w:rPr>
                <w:sz w:val="17"/>
                <w:szCs w:val="17"/>
                <w:color w:val="auto"/>
              </w:rPr>
            </w:pPr>
          </w:p>
        </w:tc>
        <w:tc>
          <w:tcPr>
            <w:tcW w:w="860" w:type="dxa"/>
            <w:vAlign w:val="bottom"/>
          </w:tcPr>
          <w:p>
            <w:pPr>
              <w:jc w:val="right"/>
              <w:ind w:right="9"/>
              <w:spacing w:after="0"/>
              <w:rPr>
                <w:sz w:val="20"/>
                <w:szCs w:val="20"/>
                <w:color w:val="auto"/>
              </w:rPr>
            </w:pPr>
            <w:r>
              <w:rPr>
                <w:rFonts w:ascii="Arial" w:cs="Arial" w:eastAsia="Arial" w:hAnsi="Arial"/>
                <w:sz w:val="14"/>
                <w:szCs w:val="14"/>
                <w:b w:val="1"/>
                <w:bCs w:val="1"/>
                <w:color w:val="00539B"/>
              </w:rPr>
              <w:t>13</w:t>
            </w:r>
          </w:p>
        </w:tc>
        <w:tc>
          <w:tcPr>
            <w:tcW w:w="280" w:type="dxa"/>
            <w:vAlign w:val="bottom"/>
          </w:tcPr>
          <w:p>
            <w:pPr>
              <w:spacing w:after="0"/>
              <w:rPr>
                <w:sz w:val="17"/>
                <w:szCs w:val="17"/>
                <w:color w:val="auto"/>
              </w:rPr>
            </w:pPr>
          </w:p>
        </w:tc>
        <w:tc>
          <w:tcPr>
            <w:tcW w:w="800" w:type="dxa"/>
            <w:vAlign w:val="bottom"/>
          </w:tcPr>
          <w:p>
            <w:pPr>
              <w:jc w:val="right"/>
              <w:ind w:right="9"/>
              <w:spacing w:after="0"/>
              <w:rPr>
                <w:sz w:val="20"/>
                <w:szCs w:val="20"/>
                <w:color w:val="auto"/>
              </w:rPr>
            </w:pPr>
            <w:r>
              <w:rPr>
                <w:rFonts w:ascii="Arial" w:cs="Arial" w:eastAsia="Arial" w:hAnsi="Arial"/>
                <w:sz w:val="14"/>
                <w:szCs w:val="14"/>
                <w:b w:val="1"/>
                <w:bCs w:val="1"/>
                <w:color w:val="00539B"/>
              </w:rPr>
              <w:t>—</w:t>
            </w:r>
          </w:p>
        </w:tc>
        <w:tc>
          <w:tcPr>
            <w:tcW w:w="1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4"/>
                <w:szCs w:val="14"/>
                <w:b w:val="1"/>
                <w:bCs w:val="1"/>
                <w:color w:val="00539B"/>
              </w:rPr>
              <w:t>—</w:t>
            </w:r>
          </w:p>
        </w:tc>
        <w:tc>
          <w:tcPr>
            <w:tcW w:w="2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00539B"/>
              </w:rPr>
              <w:t>13</w:t>
            </w:r>
          </w:p>
        </w:tc>
        <w:tc>
          <w:tcPr>
            <w:tcW w:w="0" w:type="dxa"/>
            <w:vAlign w:val="bottom"/>
          </w:tcPr>
          <w:p>
            <w:pPr>
              <w:spacing w:after="0"/>
              <w:rPr>
                <w:sz w:val="1"/>
                <w:szCs w:val="1"/>
                <w:color w:val="auto"/>
              </w:rPr>
            </w:pPr>
          </w:p>
        </w:tc>
      </w:tr>
      <w:tr>
        <w:trPr>
          <w:trHeight w:val="147"/>
        </w:trPr>
        <w:tc>
          <w:tcPr>
            <w:tcW w:w="3680" w:type="dxa"/>
            <w:vAlign w:val="bottom"/>
          </w:tcPr>
          <w:p>
            <w:pPr>
              <w:ind w:left="340"/>
              <w:spacing w:after="0" w:line="147" w:lineRule="exact"/>
              <w:rPr>
                <w:sz w:val="20"/>
                <w:szCs w:val="20"/>
                <w:color w:val="auto"/>
              </w:rPr>
            </w:pPr>
            <w:r>
              <w:rPr>
                <w:rFonts w:ascii="Arial" w:cs="Arial" w:eastAsia="Arial" w:hAnsi="Arial"/>
                <w:sz w:val="14"/>
                <w:szCs w:val="14"/>
                <w:color w:val="auto"/>
              </w:rPr>
              <w:t>Issuance of common stock and</w:t>
            </w:r>
          </w:p>
        </w:tc>
        <w:tc>
          <w:tcPr>
            <w:tcW w:w="520" w:type="dxa"/>
            <w:vAlign w:val="bottom"/>
          </w:tcPr>
          <w:p>
            <w:pPr>
              <w:spacing w:after="0"/>
              <w:rPr>
                <w:sz w:val="12"/>
                <w:szCs w:val="12"/>
                <w:color w:val="auto"/>
              </w:rPr>
            </w:pPr>
          </w:p>
        </w:tc>
        <w:tc>
          <w:tcPr>
            <w:tcW w:w="740" w:type="dxa"/>
            <w:vAlign w:val="bottom"/>
            <w:vMerge w:val="restart"/>
          </w:tcPr>
          <w:p>
            <w:pPr>
              <w:jc w:val="right"/>
              <w:ind w:right="9"/>
              <w:spacing w:after="0"/>
              <w:rPr>
                <w:sz w:val="20"/>
                <w:szCs w:val="20"/>
                <w:color w:val="auto"/>
              </w:rPr>
            </w:pPr>
            <w:r>
              <w:rPr>
                <w:rFonts w:ascii="Arial" w:cs="Arial" w:eastAsia="Arial" w:hAnsi="Arial"/>
                <w:sz w:val="14"/>
                <w:szCs w:val="14"/>
                <w:b w:val="1"/>
                <w:bCs w:val="1"/>
                <w:color w:val="00539B"/>
              </w:rPr>
              <w:t>—</w:t>
            </w:r>
          </w:p>
        </w:tc>
        <w:tc>
          <w:tcPr>
            <w:tcW w:w="18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b w:val="1"/>
                <w:bCs w:val="1"/>
                <w:color w:val="00539B"/>
              </w:rPr>
              <w:t>1</w:t>
            </w:r>
          </w:p>
        </w:tc>
        <w:tc>
          <w:tcPr>
            <w:tcW w:w="200" w:type="dxa"/>
            <w:vAlign w:val="bottom"/>
          </w:tcPr>
          <w:p>
            <w:pPr>
              <w:spacing w:after="0"/>
              <w:rPr>
                <w:sz w:val="12"/>
                <w:szCs w:val="12"/>
                <w:color w:val="auto"/>
              </w:rPr>
            </w:pPr>
          </w:p>
        </w:tc>
        <w:tc>
          <w:tcPr>
            <w:tcW w:w="700" w:type="dxa"/>
            <w:vAlign w:val="bottom"/>
            <w:vMerge w:val="restart"/>
          </w:tcPr>
          <w:p>
            <w:pPr>
              <w:jc w:val="right"/>
              <w:ind w:right="9"/>
              <w:spacing w:after="0"/>
              <w:rPr>
                <w:sz w:val="20"/>
                <w:szCs w:val="20"/>
                <w:color w:val="auto"/>
              </w:rPr>
            </w:pPr>
            <w:r>
              <w:rPr>
                <w:rFonts w:ascii="Arial" w:cs="Arial" w:eastAsia="Arial" w:hAnsi="Arial"/>
                <w:sz w:val="14"/>
                <w:szCs w:val="14"/>
                <w:b w:val="1"/>
                <w:bCs w:val="1"/>
                <w:color w:val="00539B"/>
              </w:rPr>
              <w:t>—</w:t>
            </w:r>
          </w:p>
        </w:tc>
        <w:tc>
          <w:tcPr>
            <w:tcW w:w="220" w:type="dxa"/>
            <w:vAlign w:val="bottom"/>
          </w:tcPr>
          <w:p>
            <w:pPr>
              <w:spacing w:after="0"/>
              <w:rPr>
                <w:sz w:val="12"/>
                <w:szCs w:val="12"/>
                <w:color w:val="auto"/>
              </w:rPr>
            </w:pPr>
          </w:p>
        </w:tc>
        <w:tc>
          <w:tcPr>
            <w:tcW w:w="860" w:type="dxa"/>
            <w:vAlign w:val="bottom"/>
            <w:vMerge w:val="restart"/>
          </w:tcPr>
          <w:p>
            <w:pPr>
              <w:jc w:val="right"/>
              <w:ind w:right="9"/>
              <w:spacing w:after="0"/>
              <w:rPr>
                <w:sz w:val="20"/>
                <w:szCs w:val="20"/>
                <w:color w:val="auto"/>
              </w:rPr>
            </w:pPr>
            <w:r>
              <w:rPr>
                <w:rFonts w:ascii="Arial" w:cs="Arial" w:eastAsia="Arial" w:hAnsi="Arial"/>
                <w:sz w:val="14"/>
                <w:szCs w:val="14"/>
                <w:b w:val="1"/>
                <w:bCs w:val="1"/>
                <w:color w:val="00539B"/>
              </w:rPr>
              <w:t>21</w:t>
            </w:r>
          </w:p>
        </w:tc>
        <w:tc>
          <w:tcPr>
            <w:tcW w:w="280" w:type="dxa"/>
            <w:vAlign w:val="bottom"/>
          </w:tcPr>
          <w:p>
            <w:pPr>
              <w:spacing w:after="0"/>
              <w:rPr>
                <w:sz w:val="12"/>
                <w:szCs w:val="12"/>
                <w:color w:val="auto"/>
              </w:rPr>
            </w:pPr>
          </w:p>
        </w:tc>
        <w:tc>
          <w:tcPr>
            <w:tcW w:w="800" w:type="dxa"/>
            <w:vAlign w:val="bottom"/>
            <w:vMerge w:val="restart"/>
          </w:tcPr>
          <w:p>
            <w:pPr>
              <w:jc w:val="right"/>
              <w:ind w:right="9"/>
              <w:spacing w:after="0"/>
              <w:rPr>
                <w:sz w:val="20"/>
                <w:szCs w:val="20"/>
                <w:color w:val="auto"/>
              </w:rPr>
            </w:pPr>
            <w:r>
              <w:rPr>
                <w:rFonts w:ascii="Arial" w:cs="Arial" w:eastAsia="Arial" w:hAnsi="Arial"/>
                <w:sz w:val="14"/>
                <w:szCs w:val="14"/>
                <w:b w:val="1"/>
                <w:bCs w:val="1"/>
                <w:color w:val="00539B"/>
              </w:rPr>
              <w:t>—</w:t>
            </w:r>
          </w:p>
        </w:tc>
        <w:tc>
          <w:tcPr>
            <w:tcW w:w="100" w:type="dxa"/>
            <w:vAlign w:val="bottom"/>
          </w:tcPr>
          <w:p>
            <w:pPr>
              <w:spacing w:after="0"/>
              <w:rPr>
                <w:sz w:val="12"/>
                <w:szCs w:val="12"/>
                <w:color w:val="auto"/>
              </w:rPr>
            </w:pPr>
          </w:p>
        </w:tc>
        <w:tc>
          <w:tcPr>
            <w:tcW w:w="1340" w:type="dxa"/>
            <w:vAlign w:val="bottom"/>
            <w:vMerge w:val="restart"/>
          </w:tcPr>
          <w:p>
            <w:pPr>
              <w:jc w:val="right"/>
              <w:spacing w:after="0"/>
              <w:rPr>
                <w:sz w:val="20"/>
                <w:szCs w:val="20"/>
                <w:color w:val="auto"/>
              </w:rPr>
            </w:pPr>
            <w:r>
              <w:rPr>
                <w:rFonts w:ascii="Arial" w:cs="Arial" w:eastAsia="Arial" w:hAnsi="Arial"/>
                <w:sz w:val="14"/>
                <w:szCs w:val="14"/>
                <w:b w:val="1"/>
                <w:bCs w:val="1"/>
                <w:color w:val="00539B"/>
              </w:rPr>
              <w:t>—</w:t>
            </w:r>
          </w:p>
        </w:tc>
        <w:tc>
          <w:tcPr>
            <w:tcW w:w="26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b w:val="1"/>
                <w:bCs w:val="1"/>
                <w:color w:val="00539B"/>
              </w:rPr>
              <w:t>22</w:t>
            </w:r>
          </w:p>
        </w:tc>
        <w:tc>
          <w:tcPr>
            <w:tcW w:w="0" w:type="dxa"/>
            <w:vAlign w:val="bottom"/>
          </w:tcPr>
          <w:p>
            <w:pPr>
              <w:spacing w:after="0"/>
              <w:rPr>
                <w:sz w:val="1"/>
                <w:szCs w:val="1"/>
                <w:color w:val="auto"/>
              </w:rPr>
            </w:pPr>
          </w:p>
        </w:tc>
      </w:tr>
      <w:tr>
        <w:trPr>
          <w:trHeight w:val="191"/>
        </w:trPr>
        <w:tc>
          <w:tcPr>
            <w:tcW w:w="3680" w:type="dxa"/>
            <w:vAlign w:val="bottom"/>
          </w:tcPr>
          <w:p>
            <w:pPr>
              <w:ind w:left="420"/>
              <w:spacing w:after="0"/>
              <w:rPr>
                <w:sz w:val="20"/>
                <w:szCs w:val="20"/>
                <w:color w:val="auto"/>
              </w:rPr>
            </w:pPr>
            <w:r>
              <w:rPr>
                <w:rFonts w:ascii="Arial" w:cs="Arial" w:eastAsia="Arial" w:hAnsi="Arial"/>
                <w:sz w:val="14"/>
                <w:szCs w:val="14"/>
                <w:color w:val="auto"/>
              </w:rPr>
              <w:t>other, net of cancellations</w:t>
            </w:r>
          </w:p>
        </w:tc>
        <w:tc>
          <w:tcPr>
            <w:tcW w:w="5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680" w:type="dxa"/>
            <w:vAlign w:val="bottom"/>
            <w:tcBorders>
              <w:bottom w:val="single" w:sz="8" w:color="auto"/>
            </w:tcBorders>
          </w:tcPr>
          <w:p>
            <w:pPr>
              <w:ind w:left="340"/>
              <w:spacing w:after="0"/>
              <w:rPr>
                <w:sz w:val="20"/>
                <w:szCs w:val="20"/>
                <w:color w:val="auto"/>
              </w:rPr>
            </w:pPr>
            <w:r>
              <w:rPr>
                <w:rFonts w:ascii="Arial" w:cs="Arial" w:eastAsia="Arial" w:hAnsi="Arial"/>
                <w:sz w:val="14"/>
                <w:szCs w:val="14"/>
                <w:color w:val="auto"/>
              </w:rPr>
              <w:t>Purchases of treasury stock</w:t>
            </w:r>
          </w:p>
        </w:tc>
        <w:tc>
          <w:tcPr>
            <w:tcW w:w="5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00539B"/>
              </w:rPr>
              <w:t>—</w:t>
            </w: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00539B"/>
              </w:rPr>
              <w:t>—</w:t>
            </w: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00539B"/>
              </w:rPr>
              <w:t>(1,186)</w:t>
            </w: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00539B"/>
              </w:rPr>
              <w:t>—</w:t>
            </w:r>
          </w:p>
        </w:tc>
        <w:tc>
          <w:tcPr>
            <w:tcW w:w="2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00539B"/>
              </w:rPr>
              <w:t>—</w:t>
            </w:r>
          </w:p>
        </w:tc>
        <w:tc>
          <w:tcPr>
            <w:tcW w:w="1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00539B"/>
              </w:rPr>
              <w:t>—</w:t>
            </w:r>
          </w:p>
        </w:tc>
        <w:tc>
          <w:tcPr>
            <w:tcW w:w="2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00539B"/>
              </w:rPr>
              <w:t>(1,186)</w:t>
            </w:r>
          </w:p>
        </w:tc>
        <w:tc>
          <w:tcPr>
            <w:tcW w:w="0" w:type="dxa"/>
            <w:vAlign w:val="bottom"/>
          </w:tcPr>
          <w:p>
            <w:pPr>
              <w:spacing w:after="0"/>
              <w:rPr>
                <w:sz w:val="1"/>
                <w:szCs w:val="1"/>
                <w:color w:val="auto"/>
              </w:rPr>
            </w:pPr>
          </w:p>
        </w:tc>
      </w:tr>
      <w:tr>
        <w:trPr>
          <w:trHeight w:val="193"/>
        </w:trPr>
        <w:tc>
          <w:tcPr>
            <w:tcW w:w="36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00539B"/>
              </w:rPr>
              <w:t>Balance as of June 30, 2023</w:t>
            </w:r>
          </w:p>
        </w:tc>
        <w:tc>
          <w:tcPr>
            <w:tcW w:w="5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00539B"/>
              </w:rPr>
              <w:t>$</w:t>
            </w:r>
          </w:p>
        </w:tc>
        <w:tc>
          <w:tcPr>
            <w:tcW w:w="7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00539B"/>
              </w:rPr>
              <w:t>8,621</w:t>
            </w:r>
          </w:p>
        </w:tc>
        <w:tc>
          <w:tcPr>
            <w:tcW w:w="1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00539B"/>
                <w:w w:val="76"/>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00539B"/>
              </w:rPr>
              <w:t>221</w:t>
            </w:r>
          </w:p>
        </w:tc>
        <w:tc>
          <w:tcPr>
            <w:tcW w:w="2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00539B"/>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00539B"/>
              </w:rPr>
              <w:t>(14,958)</w:t>
            </w:r>
          </w:p>
        </w:tc>
        <w:tc>
          <w:tcPr>
            <w:tcW w:w="2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00539B"/>
              </w:rPr>
              <w:t>$</w:t>
            </w:r>
          </w:p>
        </w:tc>
        <w:tc>
          <w:tcPr>
            <w:tcW w:w="8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00539B"/>
              </w:rPr>
              <w:t>17,218</w:t>
            </w:r>
          </w:p>
        </w:tc>
        <w:tc>
          <w:tcPr>
            <w:tcW w:w="2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00539B"/>
              </w:rPr>
              <w:t>$</w:t>
            </w:r>
          </w:p>
        </w:tc>
        <w:tc>
          <w:tcPr>
            <w:tcW w:w="8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00539B"/>
              </w:rPr>
              <w:t>17,762</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00539B"/>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00539B"/>
              </w:rPr>
              <w:t>247</w:t>
            </w:r>
          </w:p>
        </w:tc>
        <w:tc>
          <w:tcPr>
            <w:tcW w:w="2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b w:val="1"/>
                <w:bCs w:val="1"/>
                <w:color w:val="00539B"/>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00539B"/>
              </w:rPr>
              <w:t>29,111</w:t>
            </w:r>
          </w:p>
        </w:tc>
        <w:tc>
          <w:tcPr>
            <w:tcW w:w="0" w:type="dxa"/>
            <w:vAlign w:val="bottom"/>
          </w:tcPr>
          <w:p>
            <w:pPr>
              <w:spacing w:after="0"/>
              <w:rPr>
                <w:sz w:val="1"/>
                <w:szCs w:val="1"/>
                <w:color w:val="auto"/>
              </w:rPr>
            </w:pPr>
          </w:p>
        </w:tc>
      </w:tr>
    </w:tbl>
    <w:p>
      <w:pPr>
        <w:spacing w:after="0" w:line="137"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are an integral part of these Consolidated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715962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8" w:right="339" w:bottom="1440" w:gutter="0" w:footer="0" w:header="0"/>
          <w:type w:val="continuous"/>
        </w:sectPr>
      </w:pPr>
    </w:p>
    <w:bookmarkStart w:id="10" w:name="page11"/>
    <w:bookmarkEnd w:id="10"/>
    <w:p>
      <w:pPr>
        <w:ind w:left="20"/>
        <w:spacing w:after="0"/>
        <w:rPr>
          <w:sz w:val="20"/>
          <w:szCs w:val="20"/>
          <w:color w:val="auto"/>
        </w:rPr>
      </w:pPr>
      <w:r>
        <w:rPr>
          <w:rFonts w:ascii="Arial" w:cs="Arial" w:eastAsia="Arial" w:hAnsi="Arial"/>
          <w:sz w:val="24"/>
          <w:szCs w:val="24"/>
          <w:b w:val="1"/>
          <w:bCs w:val="1"/>
          <w:color w:val="00539B"/>
        </w:rPr>
        <w:t>Notes to Consolidated Condensed Financial Statements</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jc w:val="right"/>
        <w:ind w:right="20"/>
        <w:spacing w:after="0" w:line="238" w:lineRule="auto"/>
        <w:rPr>
          <w:sz w:val="20"/>
          <w:szCs w:val="20"/>
          <w:color w:val="auto"/>
        </w:rPr>
      </w:pPr>
      <w:r>
        <w:rPr>
          <w:rFonts w:ascii="Arial" w:cs="Arial" w:eastAsia="Arial" w:hAnsi="Arial"/>
          <w:sz w:val="17"/>
          <w:szCs w:val="17"/>
          <w:color w:val="auto"/>
        </w:rPr>
        <w:t>Occidental Petroleum Corporation and Subsidiaries</w:t>
      </w:r>
    </w:p>
    <w:p>
      <w:pPr>
        <w:spacing w:after="0" w:line="122" w:lineRule="exact"/>
        <w:rPr>
          <w:sz w:val="20"/>
          <w:szCs w:val="20"/>
          <w:color w:val="auto"/>
        </w:rPr>
      </w:pPr>
    </w:p>
    <w:p>
      <w:pPr>
        <w:sectPr>
          <w:pgSz w:w="11900" w:h="16838" w:orient="portrait"/>
          <w:cols w:equalWidth="0" w:num="2">
            <w:col w:w="7640" w:space="720"/>
            <w:col w:w="2880"/>
          </w:cols>
          <w:pgMar w:left="320" w:top="1098" w:right="339" w:bottom="1440" w:gutter="0" w:footer="0" w:header="0"/>
        </w:sectPr>
      </w:pPr>
    </w:p>
    <w:p>
      <w:pPr>
        <w:ind w:left="20"/>
        <w:spacing w:after="0"/>
        <w:rPr>
          <w:sz w:val="20"/>
          <w:szCs w:val="20"/>
          <w:color w:val="auto"/>
        </w:rPr>
      </w:pPr>
      <w:r>
        <w:rPr>
          <w:rFonts w:ascii="Arial" w:cs="Arial" w:eastAsia="Arial" w:hAnsi="Arial"/>
          <w:sz w:val="25"/>
          <w:szCs w:val="25"/>
          <w:b w:val="1"/>
          <w:bCs w:val="1"/>
          <w:color w:val="00539B"/>
        </w:rPr>
        <w:t>NOTE 1 -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-180975</wp:posOffset>
            </wp:positionV>
            <wp:extent cx="713422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4225" cy="17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30480</wp:posOffset>
            </wp:positionV>
            <wp:extent cx="713422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pacing w:after="0" w:line="351" w:lineRule="exact"/>
        <w:rPr>
          <w:sz w:val="20"/>
          <w:szCs w:val="20"/>
          <w:color w:val="auto"/>
        </w:rPr>
      </w:pPr>
    </w:p>
    <w:p>
      <w:pPr>
        <w:spacing w:after="0"/>
        <w:rPr>
          <w:sz w:val="20"/>
          <w:szCs w:val="20"/>
          <w:color w:val="auto"/>
        </w:rPr>
      </w:pPr>
      <w:r>
        <w:rPr>
          <w:rFonts w:ascii="Arial" w:cs="Arial" w:eastAsia="Arial" w:hAnsi="Arial"/>
          <w:sz w:val="20"/>
          <w:szCs w:val="20"/>
          <w:b w:val="1"/>
          <w:bCs w:val="1"/>
          <w:color w:val="00539B"/>
        </w:rPr>
        <w:t>NATURE OF OPERATIONS</w:t>
      </w:r>
    </w:p>
    <w:p>
      <w:pPr>
        <w:spacing w:after="0" w:line="42" w:lineRule="exact"/>
        <w:rPr>
          <w:sz w:val="20"/>
          <w:szCs w:val="20"/>
          <w:color w:val="auto"/>
        </w:rPr>
      </w:pPr>
    </w:p>
    <w:p>
      <w:pPr>
        <w:jc w:val="both"/>
        <w:ind w:firstLine="240"/>
        <w:spacing w:after="0" w:line="246" w:lineRule="auto"/>
        <w:rPr>
          <w:sz w:val="20"/>
          <w:szCs w:val="20"/>
          <w:color w:val="auto"/>
        </w:rPr>
      </w:pPr>
      <w:r>
        <w:rPr>
          <w:rFonts w:ascii="Arial" w:cs="Arial" w:eastAsia="Arial" w:hAnsi="Arial"/>
          <w:sz w:val="17"/>
          <w:szCs w:val="17"/>
          <w:color w:val="auto"/>
        </w:rPr>
        <w:t>Occidental conducts its operations through various subsidiaries and affiliates. Occidental has made its disclosures in accordance with United States generally accepted accounting principles as they apply to interim reporting, and condensed or omitted, as permitted by the U.S. Securities and Exchange Commission’s rules and regulations, certain information and disclosures normally included in Consolidated Financial Statements and the notes thereto. These unaudited Consolidated Condensed Financial Statements should be read in conjunction with the audited Consolidated Financial Statements and the notes thereto in the 2022 Form 10-K.</w:t>
      </w:r>
    </w:p>
    <w:p>
      <w:pPr>
        <w:spacing w:after="0" w:line="2" w:lineRule="exact"/>
        <w:rPr>
          <w:sz w:val="20"/>
          <w:szCs w:val="20"/>
          <w:color w:val="auto"/>
        </w:rPr>
      </w:pPr>
    </w:p>
    <w:p>
      <w:pPr>
        <w:jc w:val="both"/>
        <w:ind w:firstLine="240"/>
        <w:spacing w:after="0" w:line="253" w:lineRule="auto"/>
        <w:rPr>
          <w:sz w:val="20"/>
          <w:szCs w:val="20"/>
          <w:color w:val="auto"/>
        </w:rPr>
      </w:pPr>
      <w:r>
        <w:rPr>
          <w:rFonts w:ascii="Arial" w:cs="Arial" w:eastAsia="Arial" w:hAnsi="Arial"/>
          <w:sz w:val="17"/>
          <w:szCs w:val="17"/>
          <w:color w:val="auto"/>
        </w:rPr>
        <w:t>In the opinion of Occidental’s management, the accompanying unaudited Consolidated Condensed Financial Statements in this report reflect all adjustments (consisting of normal recurring adjustments) that are necessary to fairly present Occidental’s results of operations and cash flows for the six months ended June 30, 2023 and 2022 and Occidental’s financial position as of June 30, 2023 and December 31, 2022. The income and cash flows for the periods ended June 30, 2023 and 2022 are not necessarily indicative of the income or cash flows to be expected for the full year.</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b w:val="1"/>
          <w:bCs w:val="1"/>
          <w:color w:val="00539B"/>
        </w:rPr>
        <w:t>CASH EQUIVALENTS AND RESTRICTED CASH EQUIVALENTS</w:t>
      </w:r>
    </w:p>
    <w:p>
      <w:pPr>
        <w:spacing w:after="0" w:line="42" w:lineRule="exact"/>
        <w:rPr>
          <w:sz w:val="20"/>
          <w:szCs w:val="20"/>
          <w:color w:val="auto"/>
        </w:rPr>
      </w:pPr>
    </w:p>
    <w:p>
      <w:pPr>
        <w:jc w:val="both"/>
        <w:ind w:firstLine="240"/>
        <w:spacing w:after="0" w:line="245" w:lineRule="auto"/>
        <w:rPr>
          <w:sz w:val="20"/>
          <w:szCs w:val="20"/>
          <w:color w:val="auto"/>
        </w:rPr>
      </w:pPr>
      <w:r>
        <w:rPr>
          <w:rFonts w:ascii="Arial" w:cs="Arial" w:eastAsia="Arial" w:hAnsi="Arial"/>
          <w:sz w:val="17"/>
          <w:szCs w:val="17"/>
          <w:color w:val="auto"/>
        </w:rPr>
        <w:t>Occidental considers all highly liquid investments with a maturity of three months or less when purchased to be cash equivalents or restricted cash equivalents. The cash equivalents and restricted cash equivalents balances for the periods presented included investments in government money market funds in which the carrying value approximates fair value.</w:t>
      </w:r>
    </w:p>
    <w:p>
      <w:pPr>
        <w:spacing w:after="0" w:line="2" w:lineRule="exact"/>
        <w:rPr>
          <w:sz w:val="20"/>
          <w:szCs w:val="20"/>
          <w:color w:val="auto"/>
        </w:rPr>
      </w:pPr>
    </w:p>
    <w:p>
      <w:pPr>
        <w:ind w:left="240"/>
        <w:spacing w:after="0"/>
        <w:rPr>
          <w:sz w:val="20"/>
          <w:szCs w:val="20"/>
          <w:color w:val="auto"/>
        </w:rPr>
      </w:pPr>
      <w:r>
        <w:rPr>
          <w:rFonts w:ascii="Arial" w:cs="Arial" w:eastAsia="Arial" w:hAnsi="Arial"/>
          <w:sz w:val="17"/>
          <w:szCs w:val="17"/>
          <w:color w:val="auto"/>
        </w:rPr>
        <w:t>The following table provides a reconciliation of cash, cash equivalents, restricted cash and restricted cash equivalents as reported in the</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Consolidated Condensed Statements of Cash Flows as of June 30, 2023 and 2022:</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78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7"/>
                <w:szCs w:val="17"/>
                <w:i w:val="1"/>
                <w:iCs w:val="1"/>
                <w:color w:val="auto"/>
              </w:rPr>
              <w:t>millions</w:t>
            </w:r>
          </w:p>
        </w:tc>
        <w:tc>
          <w:tcPr>
            <w:tcW w:w="80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2023</w:t>
            </w:r>
          </w:p>
        </w:tc>
        <w:tc>
          <w:tcPr>
            <w:tcW w:w="62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2022</w:t>
            </w:r>
          </w:p>
        </w:tc>
      </w:tr>
      <w:tr>
        <w:trPr>
          <w:trHeight w:val="207"/>
        </w:trPr>
        <w:tc>
          <w:tcPr>
            <w:tcW w:w="7860" w:type="dxa"/>
            <w:vAlign w:val="bottom"/>
          </w:tcPr>
          <w:p>
            <w:pPr>
              <w:ind w:left="20"/>
              <w:spacing w:after="0"/>
              <w:rPr>
                <w:sz w:val="20"/>
                <w:szCs w:val="20"/>
                <w:color w:val="auto"/>
              </w:rPr>
            </w:pPr>
            <w:r>
              <w:rPr>
                <w:rFonts w:ascii="Arial" w:cs="Arial" w:eastAsia="Arial" w:hAnsi="Arial"/>
                <w:sz w:val="17"/>
                <w:szCs w:val="17"/>
                <w:color w:val="auto"/>
              </w:rPr>
              <w:t>Cash and cash equivalents</w:t>
            </w:r>
          </w:p>
        </w:tc>
        <w:tc>
          <w:tcPr>
            <w:tcW w:w="800" w:type="dxa"/>
            <w:vAlign w:val="bottom"/>
          </w:tcPr>
          <w:p>
            <w:pPr>
              <w:jc w:val="right"/>
              <w:ind w:right="476"/>
              <w:spacing w:after="0"/>
              <w:rPr>
                <w:sz w:val="20"/>
                <w:szCs w:val="20"/>
                <w:color w:val="auto"/>
              </w:rPr>
            </w:pPr>
            <w:r>
              <w:rPr>
                <w:rFonts w:ascii="Arial" w:cs="Arial" w:eastAsia="Arial" w:hAnsi="Arial"/>
                <w:sz w:val="17"/>
                <w:szCs w:val="17"/>
                <w:b w:val="1"/>
                <w:bCs w:val="1"/>
                <w:color w:val="00539B"/>
              </w:rPr>
              <w:t>$</w:t>
            </w:r>
          </w:p>
        </w:tc>
        <w:tc>
          <w:tcPr>
            <w:tcW w:w="960" w:type="dxa"/>
            <w:vAlign w:val="bottom"/>
          </w:tcPr>
          <w:p>
            <w:pPr>
              <w:jc w:val="right"/>
              <w:spacing w:after="0"/>
              <w:rPr>
                <w:sz w:val="20"/>
                <w:szCs w:val="20"/>
                <w:color w:val="auto"/>
              </w:rPr>
            </w:pPr>
            <w:r>
              <w:rPr>
                <w:rFonts w:ascii="Arial" w:cs="Arial" w:eastAsia="Arial" w:hAnsi="Arial"/>
                <w:sz w:val="17"/>
                <w:szCs w:val="17"/>
                <w:b w:val="1"/>
                <w:bCs w:val="1"/>
                <w:color w:val="00539B"/>
              </w:rPr>
              <w:t>486</w:t>
            </w:r>
          </w:p>
        </w:tc>
        <w:tc>
          <w:tcPr>
            <w:tcW w:w="620" w:type="dxa"/>
            <w:vAlign w:val="bottom"/>
          </w:tcPr>
          <w:p>
            <w:pPr>
              <w:jc w:val="right"/>
              <w:ind w:right="436"/>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1,362</w:t>
            </w:r>
          </w:p>
        </w:tc>
      </w:tr>
      <w:tr>
        <w:trPr>
          <w:trHeight w:val="213"/>
        </w:trPr>
        <w:tc>
          <w:tcPr>
            <w:tcW w:w="7860" w:type="dxa"/>
            <w:vAlign w:val="bottom"/>
          </w:tcPr>
          <w:p>
            <w:pPr>
              <w:ind w:left="20"/>
              <w:spacing w:after="0"/>
              <w:rPr>
                <w:sz w:val="20"/>
                <w:szCs w:val="20"/>
                <w:color w:val="auto"/>
              </w:rPr>
            </w:pPr>
            <w:r>
              <w:rPr>
                <w:rFonts w:ascii="Arial" w:cs="Arial" w:eastAsia="Arial" w:hAnsi="Arial"/>
                <w:sz w:val="17"/>
                <w:szCs w:val="17"/>
                <w:color w:val="auto"/>
              </w:rPr>
              <w:t>Restricted cash and restricted cash equivalents included in other current assets</w:t>
            </w:r>
          </w:p>
        </w:tc>
        <w:tc>
          <w:tcPr>
            <w:tcW w:w="8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b w:val="1"/>
                <w:bCs w:val="1"/>
                <w:color w:val="00539B"/>
              </w:rPr>
              <w:t>29</w:t>
            </w:r>
          </w:p>
        </w:tc>
        <w:tc>
          <w:tcPr>
            <w:tcW w:w="6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23</w:t>
            </w:r>
          </w:p>
        </w:tc>
      </w:tr>
      <w:tr>
        <w:trPr>
          <w:trHeight w:val="237"/>
        </w:trPr>
        <w:tc>
          <w:tcPr>
            <w:tcW w:w="78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Restricted cash and restricted cash equivalents included in long-term receivables and other assets, net</w:t>
            </w:r>
          </w:p>
        </w:tc>
        <w:tc>
          <w:tcPr>
            <w:tcW w:w="8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18</w:t>
            </w:r>
          </w:p>
        </w:tc>
        <w:tc>
          <w:tcPr>
            <w:tcW w:w="6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w:t>
            </w:r>
          </w:p>
        </w:tc>
      </w:tr>
      <w:tr>
        <w:trPr>
          <w:trHeight w:val="209"/>
        </w:trPr>
        <w:tc>
          <w:tcPr>
            <w:tcW w:w="7860" w:type="dxa"/>
            <w:vAlign w:val="bottom"/>
            <w:tcBorders>
              <w:bottom w:val="single" w:sz="8" w:color="auto"/>
            </w:tcBorders>
          </w:tcPr>
          <w:p>
            <w:pPr>
              <w:ind w:left="340"/>
              <w:spacing w:after="0"/>
              <w:rPr>
                <w:sz w:val="20"/>
                <w:szCs w:val="20"/>
                <w:color w:val="auto"/>
              </w:rPr>
            </w:pPr>
            <w:r>
              <w:rPr>
                <w:rFonts w:ascii="Arial" w:cs="Arial" w:eastAsia="Arial" w:hAnsi="Arial"/>
                <w:sz w:val="17"/>
                <w:szCs w:val="17"/>
                <w:color w:val="auto"/>
              </w:rPr>
              <w:t>Cash, cash equivalents, restricted cash and restricted cash equivalents</w:t>
            </w:r>
          </w:p>
        </w:tc>
        <w:tc>
          <w:tcPr>
            <w:tcW w:w="800" w:type="dxa"/>
            <w:vAlign w:val="bottom"/>
            <w:tcBorders>
              <w:bottom w:val="single" w:sz="8" w:color="auto"/>
            </w:tcBorders>
          </w:tcPr>
          <w:p>
            <w:pPr>
              <w:jc w:val="right"/>
              <w:ind w:right="476"/>
              <w:spacing w:after="0"/>
              <w:rPr>
                <w:sz w:val="20"/>
                <w:szCs w:val="20"/>
                <w:color w:val="auto"/>
              </w:rPr>
            </w:pPr>
            <w:r>
              <w:rPr>
                <w:rFonts w:ascii="Arial" w:cs="Arial" w:eastAsia="Arial" w:hAnsi="Arial"/>
                <w:sz w:val="17"/>
                <w:szCs w:val="17"/>
                <w:b w:val="1"/>
                <w:bCs w:val="1"/>
                <w:color w:val="00539B"/>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533</w:t>
            </w:r>
          </w:p>
        </w:tc>
        <w:tc>
          <w:tcPr>
            <w:tcW w:w="620" w:type="dxa"/>
            <w:vAlign w:val="bottom"/>
            <w:tcBorders>
              <w:bottom w:val="single" w:sz="8" w:color="auto"/>
            </w:tcBorders>
          </w:tcPr>
          <w:p>
            <w:pPr>
              <w:jc w:val="right"/>
              <w:ind w:right="436"/>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1,401</w:t>
            </w:r>
          </w:p>
        </w:tc>
      </w:tr>
    </w:tbl>
    <w:p>
      <w:pPr>
        <w:spacing w:after="0" w:line="309" w:lineRule="exact"/>
        <w:rPr>
          <w:sz w:val="20"/>
          <w:szCs w:val="20"/>
          <w:color w:val="auto"/>
        </w:rPr>
      </w:pPr>
    </w:p>
    <w:p>
      <w:pPr>
        <w:spacing w:after="0"/>
        <w:rPr>
          <w:sz w:val="20"/>
          <w:szCs w:val="20"/>
          <w:color w:val="auto"/>
        </w:rPr>
      </w:pPr>
      <w:r>
        <w:rPr>
          <w:rFonts w:ascii="Arial" w:cs="Arial" w:eastAsia="Arial" w:hAnsi="Arial"/>
          <w:sz w:val="20"/>
          <w:szCs w:val="20"/>
          <w:b w:val="1"/>
          <w:bCs w:val="1"/>
          <w:color w:val="00539B"/>
        </w:rPr>
        <w:t>SUPPLEMENTAL CASH FLOW INFORMATION</w:t>
      </w:r>
    </w:p>
    <w:p>
      <w:pPr>
        <w:spacing w:after="0" w:line="42" w:lineRule="exact"/>
        <w:rPr>
          <w:sz w:val="20"/>
          <w:szCs w:val="20"/>
          <w:color w:val="auto"/>
        </w:rPr>
      </w:pPr>
    </w:p>
    <w:p>
      <w:pPr>
        <w:jc w:val="both"/>
        <w:ind w:firstLine="240"/>
        <w:spacing w:after="0" w:line="254" w:lineRule="auto"/>
        <w:rPr>
          <w:sz w:val="20"/>
          <w:szCs w:val="20"/>
          <w:color w:val="auto"/>
        </w:rPr>
      </w:pPr>
      <w:r>
        <w:rPr>
          <w:rFonts w:ascii="Arial" w:cs="Arial" w:eastAsia="Arial" w:hAnsi="Arial"/>
          <w:sz w:val="17"/>
          <w:szCs w:val="17"/>
          <w:color w:val="auto"/>
        </w:rPr>
        <w:t>The following table represents U.S. federal, domestic, state and international income taxes paid, tax refunds received and interest paid during the six months ended June 30, 2023 and 2022, respectively:</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50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7"/>
                <w:szCs w:val="17"/>
                <w:i w:val="1"/>
                <w:iCs w:val="1"/>
                <w:color w:val="auto"/>
              </w:rPr>
              <w:t>millions</w:t>
            </w:r>
          </w:p>
        </w:tc>
        <w:tc>
          <w:tcPr>
            <w:tcW w:w="358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2023</w:t>
            </w:r>
          </w:p>
        </w:tc>
        <w:tc>
          <w:tcPr>
            <w:tcW w:w="6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2022</w:t>
            </w:r>
          </w:p>
        </w:tc>
      </w:tr>
      <w:tr>
        <w:trPr>
          <w:trHeight w:val="207"/>
        </w:trPr>
        <w:tc>
          <w:tcPr>
            <w:tcW w:w="5080" w:type="dxa"/>
            <w:vAlign w:val="bottom"/>
          </w:tcPr>
          <w:p>
            <w:pPr>
              <w:ind w:left="20"/>
              <w:spacing w:after="0"/>
              <w:rPr>
                <w:sz w:val="20"/>
                <w:szCs w:val="20"/>
                <w:color w:val="auto"/>
              </w:rPr>
            </w:pPr>
            <w:r>
              <w:rPr>
                <w:rFonts w:ascii="Arial" w:cs="Arial" w:eastAsia="Arial" w:hAnsi="Arial"/>
                <w:sz w:val="17"/>
                <w:szCs w:val="17"/>
                <w:color w:val="auto"/>
              </w:rPr>
              <w:t>Income tax payments</w:t>
            </w:r>
          </w:p>
        </w:tc>
        <w:tc>
          <w:tcPr>
            <w:tcW w:w="3580" w:type="dxa"/>
            <w:vAlign w:val="bottom"/>
          </w:tcPr>
          <w:p>
            <w:pPr>
              <w:jc w:val="right"/>
              <w:ind w:right="476"/>
              <w:spacing w:after="0"/>
              <w:rPr>
                <w:sz w:val="20"/>
                <w:szCs w:val="20"/>
                <w:color w:val="auto"/>
              </w:rPr>
            </w:pPr>
            <w:r>
              <w:rPr>
                <w:rFonts w:ascii="Arial" w:cs="Arial" w:eastAsia="Arial" w:hAnsi="Arial"/>
                <w:sz w:val="17"/>
                <w:szCs w:val="17"/>
                <w:b w:val="1"/>
                <w:bCs w:val="1"/>
                <w:color w:val="00539B"/>
              </w:rPr>
              <w:t>$</w:t>
            </w:r>
          </w:p>
        </w:tc>
        <w:tc>
          <w:tcPr>
            <w:tcW w:w="960" w:type="dxa"/>
            <w:vAlign w:val="bottom"/>
          </w:tcPr>
          <w:p>
            <w:pPr>
              <w:jc w:val="right"/>
              <w:spacing w:after="0"/>
              <w:rPr>
                <w:sz w:val="20"/>
                <w:szCs w:val="20"/>
                <w:color w:val="auto"/>
              </w:rPr>
            </w:pPr>
            <w:r>
              <w:rPr>
                <w:rFonts w:ascii="Arial" w:cs="Arial" w:eastAsia="Arial" w:hAnsi="Arial"/>
                <w:sz w:val="17"/>
                <w:szCs w:val="17"/>
                <w:b w:val="1"/>
                <w:bCs w:val="1"/>
                <w:color w:val="00539B"/>
              </w:rPr>
              <w:t>632</w:t>
            </w:r>
          </w:p>
        </w:tc>
        <w:tc>
          <w:tcPr>
            <w:tcW w:w="660" w:type="dxa"/>
            <w:vAlign w:val="bottom"/>
          </w:tcPr>
          <w:p>
            <w:pPr>
              <w:jc w:val="right"/>
              <w:ind w:right="476"/>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962</w:t>
            </w:r>
          </w:p>
        </w:tc>
      </w:tr>
      <w:tr>
        <w:trPr>
          <w:trHeight w:val="213"/>
        </w:trPr>
        <w:tc>
          <w:tcPr>
            <w:tcW w:w="5080" w:type="dxa"/>
            <w:vAlign w:val="bottom"/>
          </w:tcPr>
          <w:p>
            <w:pPr>
              <w:ind w:left="20"/>
              <w:spacing w:after="0"/>
              <w:rPr>
                <w:sz w:val="20"/>
                <w:szCs w:val="20"/>
                <w:color w:val="auto"/>
              </w:rPr>
            </w:pPr>
            <w:r>
              <w:rPr>
                <w:rFonts w:ascii="Arial" w:cs="Arial" w:eastAsia="Arial" w:hAnsi="Arial"/>
                <w:sz w:val="17"/>
                <w:szCs w:val="17"/>
                <w:color w:val="auto"/>
              </w:rPr>
              <w:t>Income tax refunds received</w:t>
            </w:r>
          </w:p>
        </w:tc>
        <w:tc>
          <w:tcPr>
            <w:tcW w:w="3580" w:type="dxa"/>
            <w:vAlign w:val="bottom"/>
          </w:tcPr>
          <w:p>
            <w:pPr>
              <w:jc w:val="right"/>
              <w:ind w:right="476"/>
              <w:spacing w:after="0"/>
              <w:rPr>
                <w:sz w:val="20"/>
                <w:szCs w:val="20"/>
                <w:color w:val="auto"/>
              </w:rPr>
            </w:pPr>
            <w:r>
              <w:rPr>
                <w:rFonts w:ascii="Arial" w:cs="Arial" w:eastAsia="Arial" w:hAnsi="Arial"/>
                <w:sz w:val="17"/>
                <w:szCs w:val="17"/>
                <w:b w:val="1"/>
                <w:bCs w:val="1"/>
                <w:color w:val="00539B"/>
              </w:rPr>
              <w:t>$</w:t>
            </w:r>
          </w:p>
        </w:tc>
        <w:tc>
          <w:tcPr>
            <w:tcW w:w="960" w:type="dxa"/>
            <w:vAlign w:val="bottom"/>
          </w:tcPr>
          <w:p>
            <w:pPr>
              <w:jc w:val="right"/>
              <w:spacing w:after="0"/>
              <w:rPr>
                <w:sz w:val="20"/>
                <w:szCs w:val="20"/>
                <w:color w:val="auto"/>
              </w:rPr>
            </w:pPr>
            <w:r>
              <w:rPr>
                <w:rFonts w:ascii="Arial" w:cs="Arial" w:eastAsia="Arial" w:hAnsi="Arial"/>
                <w:sz w:val="17"/>
                <w:szCs w:val="17"/>
                <w:b w:val="1"/>
                <w:bCs w:val="1"/>
                <w:color w:val="00539B"/>
              </w:rPr>
              <w:t>3</w:t>
            </w:r>
          </w:p>
        </w:tc>
        <w:tc>
          <w:tcPr>
            <w:tcW w:w="660" w:type="dxa"/>
            <w:vAlign w:val="bottom"/>
          </w:tcPr>
          <w:p>
            <w:pPr>
              <w:jc w:val="right"/>
              <w:ind w:right="476"/>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70</w:t>
            </w:r>
          </w:p>
        </w:tc>
      </w:tr>
      <w:tr>
        <w:trPr>
          <w:trHeight w:val="240"/>
        </w:trPr>
        <w:tc>
          <w:tcPr>
            <w:tcW w:w="5080" w:type="dxa"/>
            <w:vAlign w:val="bottom"/>
            <w:tcBorders>
              <w:bottom w:val="single" w:sz="8" w:color="auto"/>
            </w:tcBorders>
          </w:tcPr>
          <w:p>
            <w:pPr>
              <w:ind w:left="20"/>
              <w:spacing w:after="0" w:line="240" w:lineRule="exact"/>
              <w:rPr>
                <w:sz w:val="20"/>
                <w:szCs w:val="20"/>
                <w:color w:val="auto"/>
              </w:rPr>
            </w:pPr>
            <w:r>
              <w:rPr>
                <w:rFonts w:ascii="Arial" w:cs="Arial" w:eastAsia="Arial" w:hAnsi="Arial"/>
                <w:sz w:val="17"/>
                <w:szCs w:val="17"/>
                <w:color w:val="auto"/>
              </w:rPr>
              <w:t xml:space="preserve">Interest paid </w:t>
            </w:r>
            <w:r>
              <w:rPr>
                <w:rFonts w:ascii="Arial" w:cs="Arial" w:eastAsia="Arial" w:hAnsi="Arial"/>
                <w:sz w:val="21"/>
                <w:szCs w:val="21"/>
                <w:color w:val="auto"/>
                <w:vertAlign w:val="superscript"/>
              </w:rPr>
              <w:t>(a)</w:t>
            </w:r>
          </w:p>
        </w:tc>
        <w:tc>
          <w:tcPr>
            <w:tcW w:w="3580" w:type="dxa"/>
            <w:vAlign w:val="bottom"/>
            <w:tcBorders>
              <w:bottom w:val="single" w:sz="8" w:color="auto"/>
            </w:tcBorders>
          </w:tcPr>
          <w:p>
            <w:pPr>
              <w:jc w:val="right"/>
              <w:ind w:right="476"/>
              <w:spacing w:after="0"/>
              <w:rPr>
                <w:sz w:val="20"/>
                <w:szCs w:val="20"/>
                <w:color w:val="auto"/>
              </w:rPr>
            </w:pPr>
            <w:r>
              <w:rPr>
                <w:rFonts w:ascii="Arial" w:cs="Arial" w:eastAsia="Arial" w:hAnsi="Arial"/>
                <w:sz w:val="17"/>
                <w:szCs w:val="17"/>
                <w:b w:val="1"/>
                <w:bCs w:val="1"/>
                <w:color w:val="00539B"/>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509</w:t>
            </w:r>
          </w:p>
        </w:tc>
        <w:tc>
          <w:tcPr>
            <w:tcW w:w="660" w:type="dxa"/>
            <w:vAlign w:val="bottom"/>
            <w:tcBorders>
              <w:bottom w:val="single" w:sz="8" w:color="auto"/>
            </w:tcBorders>
          </w:tcPr>
          <w:p>
            <w:pPr>
              <w:jc w:val="right"/>
              <w:ind w:right="476"/>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846</w:t>
            </w:r>
          </w:p>
        </w:tc>
      </w:tr>
    </w:tbl>
    <w:p>
      <w:pPr>
        <w:spacing w:after="0" w:line="47" w:lineRule="exact"/>
        <w:rPr>
          <w:sz w:val="20"/>
          <w:szCs w:val="20"/>
          <w:color w:val="auto"/>
        </w:rPr>
      </w:pPr>
    </w:p>
    <w:p>
      <w:pPr>
        <w:ind w:left="240" w:hanging="233"/>
        <w:spacing w:after="0"/>
        <w:tabs>
          <w:tab w:leader="none" w:pos="240" w:val="left"/>
        </w:tabs>
        <w:numPr>
          <w:ilvl w:val="0"/>
          <w:numId w:val="8"/>
        </w:numPr>
        <w:rPr>
          <w:rFonts w:ascii="Arial" w:cs="Arial" w:eastAsia="Arial" w:hAnsi="Arial"/>
          <w:sz w:val="21"/>
          <w:szCs w:val="21"/>
          <w:color w:val="auto"/>
          <w:vertAlign w:val="superscript"/>
        </w:rPr>
      </w:pPr>
      <w:r>
        <w:rPr>
          <w:rFonts w:ascii="Arial" w:cs="Arial" w:eastAsia="Arial" w:hAnsi="Arial"/>
          <w:sz w:val="16"/>
          <w:szCs w:val="16"/>
          <w:color w:val="auto"/>
        </w:rPr>
        <w:t>Net of capitalized interest of $42 million and $30 million for the six months ended June 30, 2023 and 2022, respectively.</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color w:val="00539B"/>
        </w:rPr>
        <w:t>WES INVESTMENT</w:t>
      </w:r>
    </w:p>
    <w:p>
      <w:pPr>
        <w:spacing w:after="0" w:line="28" w:lineRule="exact"/>
        <w:rPr>
          <w:sz w:val="20"/>
          <w:szCs w:val="20"/>
          <w:color w:val="auto"/>
        </w:rPr>
      </w:pPr>
    </w:p>
    <w:p>
      <w:pPr>
        <w:jc w:val="both"/>
        <w:ind w:firstLine="240"/>
        <w:spacing w:after="0" w:line="242" w:lineRule="auto"/>
        <w:rPr>
          <w:sz w:val="20"/>
          <w:szCs w:val="20"/>
          <w:color w:val="auto"/>
        </w:rPr>
      </w:pPr>
      <w:r>
        <w:rPr>
          <w:rFonts w:ascii="Arial" w:cs="Arial" w:eastAsia="Arial" w:hAnsi="Arial"/>
          <w:sz w:val="17"/>
          <w:szCs w:val="17"/>
          <w:color w:val="auto"/>
        </w:rPr>
        <w:t>As of June 30, 2023, Occidental owned all of the 2.3% non-voting general partner interest and 49.5% of the limited partner units in WES. On a combined basis, with its 2% non-voting limited partner interest in WES Operating, Occidental's total effective economic interest in WES and its subsidiaries was 51.6%.</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00539B"/>
        </w:rPr>
        <w:t>IMPAIRMENT</w:t>
      </w:r>
    </w:p>
    <w:p>
      <w:pPr>
        <w:spacing w:after="0" w:line="15" w:lineRule="exact"/>
        <w:rPr>
          <w:sz w:val="20"/>
          <w:szCs w:val="20"/>
          <w:color w:val="auto"/>
        </w:rPr>
      </w:pPr>
    </w:p>
    <w:p>
      <w:pPr>
        <w:jc w:val="both"/>
        <w:ind w:firstLine="240"/>
        <w:spacing w:after="0" w:line="238" w:lineRule="auto"/>
        <w:rPr>
          <w:sz w:val="20"/>
          <w:szCs w:val="20"/>
          <w:color w:val="auto"/>
        </w:rPr>
      </w:pPr>
      <w:r>
        <w:rPr>
          <w:rFonts w:ascii="Arial" w:cs="Arial" w:eastAsia="Arial" w:hAnsi="Arial"/>
          <w:sz w:val="17"/>
          <w:szCs w:val="17"/>
          <w:color w:val="auto"/>
        </w:rPr>
        <w:t>For the three and six months ended June 30, 2023, Occidental recorded a pre-tax impairment of $180 million related to undeveloped acreage in the northern non-core area of the Powder River Basin where Occidental has decided not to pursue future exploration and appraisal activities. Impairment expense for the three and six months ended June 30, 2023 also includes a $29 million impairment related to an equity method investment in Black Butte Coal Company.</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715962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8" w:right="339" w:bottom="1440" w:gutter="0" w:footer="0" w:header="0"/>
          <w:type w:val="continuous"/>
        </w:sectPr>
      </w:pPr>
    </w:p>
    <w:bookmarkStart w:id="11" w:name="page12"/>
    <w:bookmarkEnd w:id="11"/>
    <w:p>
      <w:pPr>
        <w:ind w:left="20"/>
        <w:spacing w:after="0"/>
        <w:rPr>
          <w:sz w:val="20"/>
          <w:szCs w:val="20"/>
          <w:color w:val="auto"/>
        </w:rPr>
      </w:pPr>
      <w:r>
        <w:rPr>
          <w:rFonts w:ascii="Arial" w:cs="Arial" w:eastAsia="Arial" w:hAnsi="Arial"/>
          <w:sz w:val="25"/>
          <w:szCs w:val="25"/>
          <w:b w:val="1"/>
          <w:bCs w:val="1"/>
          <w:color w:val="00539B"/>
        </w:rPr>
        <w:t>NOTE 2 -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-180975</wp:posOffset>
            </wp:positionV>
            <wp:extent cx="713422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4225" cy="17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30480</wp:posOffset>
            </wp:positionV>
            <wp:extent cx="713422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pacing w:after="0" w:line="357" w:lineRule="exact"/>
        <w:rPr>
          <w:sz w:val="20"/>
          <w:szCs w:val="20"/>
          <w:color w:val="auto"/>
        </w:rPr>
      </w:pPr>
    </w:p>
    <w:p>
      <w:pPr>
        <w:jc w:val="both"/>
        <w:ind w:firstLine="240"/>
        <w:spacing w:after="0" w:line="256" w:lineRule="auto"/>
        <w:rPr>
          <w:sz w:val="20"/>
          <w:szCs w:val="20"/>
          <w:color w:val="auto"/>
        </w:rPr>
      </w:pPr>
      <w:r>
        <w:rPr>
          <w:rFonts w:ascii="Arial" w:cs="Arial" w:eastAsia="Arial" w:hAnsi="Arial"/>
          <w:sz w:val="17"/>
          <w:szCs w:val="17"/>
          <w:color w:val="auto"/>
        </w:rPr>
        <w:t>Revenue from customers is recognized when obligations under the terms of a contract with customers are satisfied; this generally occurs with the delivery of oil, NGL, gas, chemicals or services, such as transportation. As of June 30, 2023, trade receivables, net of $2.9 billion represent rights to payment for which Occidental has satisfied its obligations under a contract and its right to payment is conditioned only on the passage of time.</w:t>
      </w:r>
    </w:p>
    <w:p>
      <w:pPr>
        <w:jc w:val="both"/>
        <w:ind w:firstLine="240"/>
        <w:spacing w:after="0" w:line="254" w:lineRule="auto"/>
        <w:rPr>
          <w:sz w:val="20"/>
          <w:szCs w:val="20"/>
          <w:color w:val="auto"/>
        </w:rPr>
      </w:pPr>
      <w:r>
        <w:rPr>
          <w:rFonts w:ascii="Arial" w:cs="Arial" w:eastAsia="Arial" w:hAnsi="Arial"/>
          <w:sz w:val="17"/>
          <w:szCs w:val="17"/>
          <w:color w:val="auto"/>
        </w:rPr>
        <w:t>The following table shows a reconciliation of revenue from customers to total net sales for the three and six months ended June 30, 2023 and 2022:</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4640" w:type="dxa"/>
            <w:vAlign w:val="bottom"/>
            <w:tcBorders>
              <w:top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spacing w:after="0"/>
              <w:rPr>
                <w:sz w:val="20"/>
                <w:szCs w:val="20"/>
                <w:color w:val="auto"/>
              </w:rPr>
            </w:pPr>
          </w:p>
        </w:tc>
        <w:tc>
          <w:tcPr>
            <w:tcW w:w="27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Three months ended June 30,</w:t>
            </w:r>
          </w:p>
        </w:tc>
        <w:tc>
          <w:tcPr>
            <w:tcW w:w="580" w:type="dxa"/>
            <w:vAlign w:val="bottom"/>
            <w:tcBorders>
              <w:top w:val="single" w:sz="8" w:color="auto"/>
              <w:bottom w:val="single" w:sz="8" w:color="auto"/>
            </w:tcBorders>
          </w:tcPr>
          <w:p>
            <w:pPr>
              <w:spacing w:after="0"/>
              <w:rPr>
                <w:sz w:val="20"/>
                <w:szCs w:val="20"/>
                <w:color w:val="auto"/>
              </w:rPr>
            </w:pPr>
          </w:p>
        </w:tc>
        <w:tc>
          <w:tcPr>
            <w:tcW w:w="26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Six months ended June 30,</w:t>
            </w:r>
          </w:p>
        </w:tc>
      </w:tr>
      <w:tr>
        <w:trPr>
          <w:trHeight w:val="220"/>
        </w:trPr>
        <w:tc>
          <w:tcPr>
            <w:tcW w:w="4640" w:type="dxa"/>
            <w:vAlign w:val="bottom"/>
            <w:tcBorders>
              <w:bottom w:val="single" w:sz="8" w:color="auto"/>
            </w:tcBorders>
          </w:tcPr>
          <w:p>
            <w:pPr>
              <w:ind w:left="20"/>
              <w:spacing w:after="0"/>
              <w:rPr>
                <w:sz w:val="20"/>
                <w:szCs w:val="20"/>
                <w:color w:val="auto"/>
              </w:rPr>
            </w:pPr>
            <w:r>
              <w:rPr>
                <w:rFonts w:ascii="Arial" w:cs="Arial" w:eastAsia="Arial" w:hAnsi="Arial"/>
                <w:sz w:val="17"/>
                <w:szCs w:val="17"/>
                <w:i w:val="1"/>
                <w:iCs w:val="1"/>
                <w:color w:val="auto"/>
              </w:rPr>
              <w:t>millions</w:t>
            </w:r>
          </w:p>
        </w:tc>
        <w:tc>
          <w:tcPr>
            <w:tcW w:w="5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2023</w:t>
            </w:r>
          </w:p>
        </w:tc>
        <w:tc>
          <w:tcPr>
            <w:tcW w:w="5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2022</w:t>
            </w:r>
          </w:p>
        </w:tc>
        <w:tc>
          <w:tcPr>
            <w:tcW w:w="5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2023</w:t>
            </w:r>
          </w:p>
        </w:tc>
        <w:tc>
          <w:tcPr>
            <w:tcW w:w="5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2022</w:t>
            </w:r>
          </w:p>
        </w:tc>
      </w:tr>
      <w:tr>
        <w:trPr>
          <w:trHeight w:val="246"/>
        </w:trPr>
        <w:tc>
          <w:tcPr>
            <w:tcW w:w="4640" w:type="dxa"/>
            <w:vAlign w:val="bottom"/>
          </w:tcPr>
          <w:p>
            <w:pPr>
              <w:ind w:left="20"/>
              <w:spacing w:after="0"/>
              <w:rPr>
                <w:sz w:val="20"/>
                <w:szCs w:val="20"/>
                <w:color w:val="auto"/>
              </w:rPr>
            </w:pPr>
            <w:r>
              <w:rPr>
                <w:rFonts w:ascii="Arial" w:cs="Arial" w:eastAsia="Arial" w:hAnsi="Arial"/>
                <w:sz w:val="17"/>
                <w:szCs w:val="17"/>
                <w:color w:val="auto"/>
              </w:rPr>
              <w:t>Revenue from customers</w:t>
            </w:r>
          </w:p>
        </w:tc>
        <w:tc>
          <w:tcPr>
            <w:tcW w:w="500" w:type="dxa"/>
            <w:vAlign w:val="bottom"/>
          </w:tcPr>
          <w:p>
            <w:pPr>
              <w:jc w:val="right"/>
              <w:ind w:right="296"/>
              <w:spacing w:after="0"/>
              <w:rPr>
                <w:sz w:val="20"/>
                <w:szCs w:val="20"/>
                <w:color w:val="auto"/>
              </w:rPr>
            </w:pPr>
            <w:r>
              <w:rPr>
                <w:rFonts w:ascii="Arial" w:cs="Arial" w:eastAsia="Arial" w:hAnsi="Arial"/>
                <w:sz w:val="17"/>
                <w:szCs w:val="17"/>
                <w:b w:val="1"/>
                <w:bCs w:val="1"/>
                <w:color w:val="00539B"/>
              </w:rPr>
              <w:t>$</w:t>
            </w:r>
          </w:p>
        </w:tc>
        <w:tc>
          <w:tcPr>
            <w:tcW w:w="1140" w:type="dxa"/>
            <w:vAlign w:val="bottom"/>
          </w:tcPr>
          <w:p>
            <w:pPr>
              <w:jc w:val="right"/>
              <w:spacing w:after="0"/>
              <w:rPr>
                <w:sz w:val="20"/>
                <w:szCs w:val="20"/>
                <w:color w:val="auto"/>
              </w:rPr>
            </w:pPr>
            <w:r>
              <w:rPr>
                <w:rFonts w:ascii="Arial" w:cs="Arial" w:eastAsia="Arial" w:hAnsi="Arial"/>
                <w:sz w:val="17"/>
                <w:szCs w:val="17"/>
                <w:b w:val="1"/>
                <w:bCs w:val="1"/>
                <w:color w:val="00539B"/>
              </w:rPr>
              <w:t>6,601</w:t>
            </w:r>
          </w:p>
        </w:tc>
        <w:tc>
          <w:tcPr>
            <w:tcW w:w="580" w:type="dxa"/>
            <w:vAlign w:val="bottom"/>
          </w:tcPr>
          <w:p>
            <w:pPr>
              <w:jc w:val="right"/>
              <w:ind w:right="376"/>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10,351</w:t>
            </w:r>
          </w:p>
        </w:tc>
        <w:tc>
          <w:tcPr>
            <w:tcW w:w="580" w:type="dxa"/>
            <w:vAlign w:val="bottom"/>
          </w:tcPr>
          <w:p>
            <w:pPr>
              <w:jc w:val="right"/>
              <w:ind w:right="376"/>
              <w:spacing w:after="0"/>
              <w:rPr>
                <w:sz w:val="20"/>
                <w:szCs w:val="20"/>
                <w:color w:val="auto"/>
              </w:rPr>
            </w:pPr>
            <w:r>
              <w:rPr>
                <w:rFonts w:ascii="Arial" w:cs="Arial" w:eastAsia="Arial" w:hAnsi="Arial"/>
                <w:sz w:val="17"/>
                <w:szCs w:val="17"/>
                <w:b w:val="1"/>
                <w:bCs w:val="1"/>
                <w:color w:val="00539B"/>
              </w:rPr>
              <w:t>$</w:t>
            </w:r>
          </w:p>
        </w:tc>
        <w:tc>
          <w:tcPr>
            <w:tcW w:w="1060" w:type="dxa"/>
            <w:vAlign w:val="bottom"/>
          </w:tcPr>
          <w:p>
            <w:pPr>
              <w:jc w:val="right"/>
              <w:spacing w:after="0"/>
              <w:rPr>
                <w:sz w:val="20"/>
                <w:szCs w:val="20"/>
                <w:color w:val="auto"/>
              </w:rPr>
            </w:pPr>
            <w:r>
              <w:rPr>
                <w:rFonts w:ascii="Arial" w:cs="Arial" w:eastAsia="Arial" w:hAnsi="Arial"/>
                <w:sz w:val="17"/>
                <w:szCs w:val="17"/>
                <w:b w:val="1"/>
                <w:bCs w:val="1"/>
                <w:color w:val="00539B"/>
              </w:rPr>
              <w:t>13,716</w:t>
            </w:r>
          </w:p>
        </w:tc>
        <w:tc>
          <w:tcPr>
            <w:tcW w:w="580" w:type="dxa"/>
            <w:vAlign w:val="bottom"/>
          </w:tcPr>
          <w:p>
            <w:pPr>
              <w:jc w:val="right"/>
              <w:ind w:right="396"/>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18,564</w:t>
            </w:r>
          </w:p>
        </w:tc>
      </w:tr>
      <w:tr>
        <w:trPr>
          <w:trHeight w:val="227"/>
        </w:trPr>
        <w:tc>
          <w:tcPr>
            <w:tcW w:w="4640" w:type="dxa"/>
            <w:vAlign w:val="bottom"/>
            <w:tcBorders>
              <w:bottom w:val="single" w:sz="8" w:color="auto"/>
            </w:tcBorders>
          </w:tcPr>
          <w:p>
            <w:pPr>
              <w:ind w:left="20"/>
              <w:spacing w:after="0" w:line="227" w:lineRule="exact"/>
              <w:rPr>
                <w:sz w:val="20"/>
                <w:szCs w:val="20"/>
                <w:color w:val="auto"/>
              </w:rPr>
            </w:pPr>
            <w:r>
              <w:rPr>
                <w:rFonts w:ascii="Arial" w:cs="Arial" w:eastAsia="Arial" w:hAnsi="Arial"/>
                <w:sz w:val="17"/>
                <w:szCs w:val="17"/>
                <w:color w:val="auto"/>
              </w:rPr>
              <w:t xml:space="preserve">All other revenues </w:t>
            </w:r>
            <w:r>
              <w:rPr>
                <w:rFonts w:ascii="Arial" w:cs="Arial" w:eastAsia="Arial" w:hAnsi="Arial"/>
                <w:sz w:val="21"/>
                <w:szCs w:val="21"/>
                <w:color w:val="auto"/>
                <w:vertAlign w:val="superscript"/>
              </w:rPr>
              <w:t>(a)</w:t>
            </w:r>
          </w:p>
        </w:tc>
        <w:tc>
          <w:tcPr>
            <w:tcW w:w="5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101</w:t>
            </w:r>
          </w:p>
        </w:tc>
        <w:tc>
          <w:tcPr>
            <w:tcW w:w="5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325</w:t>
            </w:r>
          </w:p>
        </w:tc>
        <w:tc>
          <w:tcPr>
            <w:tcW w:w="5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211</w:t>
            </w:r>
          </w:p>
        </w:tc>
        <w:tc>
          <w:tcPr>
            <w:tcW w:w="5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461</w:t>
            </w:r>
          </w:p>
        </w:tc>
      </w:tr>
      <w:tr>
        <w:trPr>
          <w:trHeight w:val="231"/>
        </w:trPr>
        <w:tc>
          <w:tcPr>
            <w:tcW w:w="464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Net sales</w:t>
            </w:r>
          </w:p>
        </w:tc>
        <w:tc>
          <w:tcPr>
            <w:tcW w:w="500" w:type="dxa"/>
            <w:vAlign w:val="bottom"/>
            <w:tcBorders>
              <w:bottom w:val="single" w:sz="8" w:color="auto"/>
            </w:tcBorders>
          </w:tcPr>
          <w:p>
            <w:pPr>
              <w:jc w:val="right"/>
              <w:ind w:right="296"/>
              <w:spacing w:after="0"/>
              <w:rPr>
                <w:sz w:val="20"/>
                <w:szCs w:val="20"/>
                <w:color w:val="auto"/>
              </w:rPr>
            </w:pPr>
            <w:r>
              <w:rPr>
                <w:rFonts w:ascii="Arial" w:cs="Arial" w:eastAsia="Arial" w:hAnsi="Arial"/>
                <w:sz w:val="17"/>
                <w:szCs w:val="17"/>
                <w:b w:val="1"/>
                <w:bCs w:val="1"/>
                <w:color w:val="00539B"/>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6,702</w:t>
            </w:r>
          </w:p>
        </w:tc>
        <w:tc>
          <w:tcPr>
            <w:tcW w:w="580" w:type="dxa"/>
            <w:vAlign w:val="bottom"/>
            <w:tcBorders>
              <w:bottom w:val="single" w:sz="8" w:color="auto"/>
            </w:tcBorders>
          </w:tcPr>
          <w:p>
            <w:pPr>
              <w:jc w:val="right"/>
              <w:ind w:right="376"/>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10,676</w:t>
            </w:r>
          </w:p>
        </w:tc>
        <w:tc>
          <w:tcPr>
            <w:tcW w:w="580" w:type="dxa"/>
            <w:vAlign w:val="bottom"/>
            <w:tcBorders>
              <w:bottom w:val="single" w:sz="8" w:color="auto"/>
            </w:tcBorders>
          </w:tcPr>
          <w:p>
            <w:pPr>
              <w:jc w:val="right"/>
              <w:ind w:right="376"/>
              <w:spacing w:after="0"/>
              <w:rPr>
                <w:sz w:val="20"/>
                <w:szCs w:val="20"/>
                <w:color w:val="auto"/>
              </w:rPr>
            </w:pPr>
            <w:r>
              <w:rPr>
                <w:rFonts w:ascii="Arial" w:cs="Arial" w:eastAsia="Arial" w:hAnsi="Arial"/>
                <w:sz w:val="17"/>
                <w:szCs w:val="17"/>
                <w:b w:val="1"/>
                <w:bCs w:val="1"/>
                <w:color w:val="00539B"/>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13,927</w:t>
            </w:r>
          </w:p>
        </w:tc>
        <w:tc>
          <w:tcPr>
            <w:tcW w:w="580" w:type="dxa"/>
            <w:vAlign w:val="bottom"/>
            <w:tcBorders>
              <w:bottom w:val="single" w:sz="8" w:color="auto"/>
            </w:tcBorders>
          </w:tcPr>
          <w:p>
            <w:pPr>
              <w:jc w:val="right"/>
              <w:ind w:right="396"/>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19,025</w:t>
            </w:r>
          </w:p>
        </w:tc>
      </w:tr>
    </w:tbl>
    <w:p>
      <w:pPr>
        <w:spacing w:after="0" w:line="33" w:lineRule="exact"/>
        <w:rPr>
          <w:sz w:val="20"/>
          <w:szCs w:val="20"/>
          <w:color w:val="auto"/>
        </w:rPr>
      </w:pPr>
    </w:p>
    <w:p>
      <w:pPr>
        <w:ind w:left="240" w:hanging="233"/>
        <w:spacing w:after="0"/>
        <w:tabs>
          <w:tab w:leader="none" w:pos="240" w:val="left"/>
        </w:tabs>
        <w:numPr>
          <w:ilvl w:val="0"/>
          <w:numId w:val="9"/>
        </w:numPr>
        <w:rPr>
          <w:rFonts w:ascii="Arial" w:cs="Arial" w:eastAsia="Arial" w:hAnsi="Arial"/>
          <w:sz w:val="21"/>
          <w:szCs w:val="21"/>
          <w:color w:val="auto"/>
          <w:vertAlign w:val="superscript"/>
        </w:rPr>
      </w:pPr>
      <w:r>
        <w:rPr>
          <w:rFonts w:ascii="Arial" w:cs="Arial" w:eastAsia="Arial" w:hAnsi="Arial"/>
          <w:sz w:val="16"/>
          <w:szCs w:val="16"/>
          <w:color w:val="auto"/>
        </w:rPr>
        <w:t>Includes net marketing derivatives and chemical exchange contracts.</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b w:val="1"/>
          <w:bCs w:val="1"/>
          <w:color w:val="00539B"/>
        </w:rPr>
        <w:t>DISAGGREGATION OF REVENUE FROM CONTRACTS WITH CUSTOMERS</w:t>
      </w:r>
    </w:p>
    <w:p>
      <w:pPr>
        <w:spacing w:after="0" w:line="28" w:lineRule="exact"/>
        <w:rPr>
          <w:sz w:val="20"/>
          <w:szCs w:val="20"/>
          <w:color w:val="auto"/>
        </w:rPr>
      </w:pPr>
    </w:p>
    <w:p>
      <w:pPr>
        <w:jc w:val="both"/>
        <w:ind w:firstLine="240"/>
        <w:spacing w:after="0" w:line="258" w:lineRule="auto"/>
        <w:rPr>
          <w:sz w:val="20"/>
          <w:szCs w:val="20"/>
          <w:color w:val="auto"/>
        </w:rPr>
      </w:pPr>
      <w:r>
        <w:rPr>
          <w:rFonts w:ascii="Arial" w:cs="Arial" w:eastAsia="Arial" w:hAnsi="Arial"/>
          <w:sz w:val="17"/>
          <w:szCs w:val="17"/>
          <w:color w:val="auto"/>
        </w:rPr>
        <w:t>The table below presents Occidental's revenue from customers by segment, product and geographical area. The oil and gas segment typically sells its oil, NGL and gas at the lease or concession area. Chemical segment revenues are shown by geographic area based on the location of the sale. Excluding net marketing revenue, midstream and marketing segment revenues are shown by the location of sale:</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7"/>
                <w:szCs w:val="17"/>
                <w:i w:val="1"/>
                <w:iCs w:val="1"/>
                <w:color w:val="auto"/>
              </w:rPr>
              <w:t>millions</w:t>
            </w:r>
          </w:p>
        </w:tc>
        <w:tc>
          <w:tcPr>
            <w:tcW w:w="160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United States</w:t>
            </w:r>
          </w:p>
        </w:tc>
        <w:tc>
          <w:tcPr>
            <w:tcW w:w="2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International</w:t>
            </w:r>
          </w:p>
        </w:tc>
        <w:tc>
          <w:tcPr>
            <w:tcW w:w="2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7"/>
                <w:szCs w:val="17"/>
                <w:b w:val="1"/>
                <w:bCs w:val="1"/>
                <w:color w:val="auto"/>
                <w:w w:val="98"/>
              </w:rPr>
              <w:t>Eliminations</w:t>
            </w:r>
          </w:p>
        </w:tc>
        <w:tc>
          <w:tcPr>
            <w:tcW w:w="4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ind w:left="520"/>
              <w:spacing w:after="0"/>
              <w:rPr>
                <w:sz w:val="20"/>
                <w:szCs w:val="20"/>
                <w:color w:val="auto"/>
              </w:rPr>
            </w:pPr>
            <w:r>
              <w:rPr>
                <w:rFonts w:ascii="Arial" w:cs="Arial" w:eastAsia="Arial" w:hAnsi="Arial"/>
                <w:sz w:val="17"/>
                <w:szCs w:val="17"/>
                <w:b w:val="1"/>
                <w:bCs w:val="1"/>
                <w:color w:val="auto"/>
                <w:w w:val="93"/>
              </w:rPr>
              <w:t>Total</w:t>
            </w:r>
          </w:p>
        </w:tc>
        <w:tc>
          <w:tcPr>
            <w:tcW w:w="0" w:type="dxa"/>
            <w:vAlign w:val="bottom"/>
          </w:tcPr>
          <w:p>
            <w:pPr>
              <w:spacing w:after="0"/>
              <w:rPr>
                <w:sz w:val="1"/>
                <w:szCs w:val="1"/>
                <w:color w:val="auto"/>
              </w:rPr>
            </w:pPr>
          </w:p>
        </w:tc>
      </w:tr>
      <w:tr>
        <w:trPr>
          <w:trHeight w:val="261"/>
        </w:trPr>
        <w:tc>
          <w:tcPr>
            <w:tcW w:w="4100" w:type="dxa"/>
            <w:vAlign w:val="bottom"/>
          </w:tcPr>
          <w:p>
            <w:pPr>
              <w:ind w:left="20"/>
              <w:spacing w:after="0"/>
              <w:rPr>
                <w:sz w:val="20"/>
                <w:szCs w:val="20"/>
                <w:color w:val="auto"/>
              </w:rPr>
            </w:pPr>
            <w:r>
              <w:rPr>
                <w:rFonts w:ascii="Arial" w:cs="Arial" w:eastAsia="Arial" w:hAnsi="Arial"/>
                <w:sz w:val="17"/>
                <w:szCs w:val="17"/>
                <w:b w:val="1"/>
                <w:bCs w:val="1"/>
                <w:color w:val="00539B"/>
              </w:rPr>
              <w:t>Three months ended June 30, 2023</w:t>
            </w:r>
          </w:p>
        </w:tc>
        <w:tc>
          <w:tcPr>
            <w:tcW w:w="16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4100" w:type="dxa"/>
            <w:vAlign w:val="bottom"/>
          </w:tcPr>
          <w:p>
            <w:pPr>
              <w:ind w:left="20"/>
              <w:spacing w:after="0"/>
              <w:rPr>
                <w:sz w:val="20"/>
                <w:szCs w:val="20"/>
                <w:color w:val="auto"/>
              </w:rPr>
            </w:pPr>
            <w:r>
              <w:rPr>
                <w:rFonts w:ascii="Arial" w:cs="Arial" w:eastAsia="Arial" w:hAnsi="Arial"/>
                <w:sz w:val="17"/>
                <w:szCs w:val="17"/>
                <w:b w:val="1"/>
                <w:bCs w:val="1"/>
                <w:color w:val="auto"/>
              </w:rPr>
              <w:t>Oil and gas</w:t>
            </w:r>
          </w:p>
        </w:tc>
        <w:tc>
          <w:tcPr>
            <w:tcW w:w="1600" w:type="dxa"/>
            <w:vAlign w:val="bottom"/>
            <w:vMerge w:val="restart"/>
          </w:tcPr>
          <w:p>
            <w:pPr>
              <w:jc w:val="right"/>
              <w:ind w:right="156"/>
              <w:spacing w:after="0"/>
              <w:rPr>
                <w:sz w:val="20"/>
                <w:szCs w:val="20"/>
                <w:color w:val="auto"/>
              </w:rPr>
            </w:pPr>
            <w:r>
              <w:rPr>
                <w:rFonts w:ascii="Arial" w:cs="Arial" w:eastAsia="Arial" w:hAnsi="Arial"/>
                <w:sz w:val="17"/>
                <w:szCs w:val="17"/>
                <w:b w:val="1"/>
                <w:bCs w:val="1"/>
                <w:color w:val="00539B"/>
              </w:rPr>
              <w:t>$</w:t>
            </w:r>
          </w:p>
        </w:tc>
        <w:tc>
          <w:tcPr>
            <w:tcW w:w="1320" w:type="dxa"/>
            <w:vAlign w:val="bottom"/>
            <w:vMerge w:val="restart"/>
          </w:tcPr>
          <w:p>
            <w:pPr>
              <w:jc w:val="right"/>
              <w:spacing w:after="0"/>
              <w:rPr>
                <w:sz w:val="20"/>
                <w:szCs w:val="20"/>
                <w:color w:val="auto"/>
              </w:rPr>
            </w:pPr>
            <w:r>
              <w:rPr>
                <w:rFonts w:ascii="Arial" w:cs="Arial" w:eastAsia="Arial" w:hAnsi="Arial"/>
                <w:sz w:val="17"/>
                <w:szCs w:val="17"/>
                <w:b w:val="1"/>
                <w:bCs w:val="1"/>
                <w:color w:val="00539B"/>
              </w:rPr>
              <w:t>3,446</w:t>
            </w:r>
          </w:p>
        </w:tc>
        <w:tc>
          <w:tcPr>
            <w:tcW w:w="260" w:type="dxa"/>
            <w:vAlign w:val="bottom"/>
            <w:vMerge w:val="restart"/>
          </w:tcPr>
          <w:p>
            <w:pPr>
              <w:jc w:val="right"/>
              <w:ind w:right="56"/>
              <w:spacing w:after="0"/>
              <w:rPr>
                <w:sz w:val="20"/>
                <w:szCs w:val="20"/>
                <w:color w:val="auto"/>
              </w:rPr>
            </w:pPr>
            <w:r>
              <w:rPr>
                <w:rFonts w:ascii="Arial" w:cs="Arial" w:eastAsia="Arial" w:hAnsi="Arial"/>
                <w:sz w:val="17"/>
                <w:szCs w:val="17"/>
                <w:b w:val="1"/>
                <w:bCs w:val="1"/>
                <w:color w:val="00539B"/>
              </w:rPr>
              <w:t>$</w:t>
            </w:r>
          </w:p>
        </w:tc>
        <w:tc>
          <w:tcPr>
            <w:tcW w:w="1160" w:type="dxa"/>
            <w:vAlign w:val="bottom"/>
            <w:vMerge w:val="restart"/>
          </w:tcPr>
          <w:p>
            <w:pPr>
              <w:jc w:val="right"/>
              <w:spacing w:after="0"/>
              <w:rPr>
                <w:sz w:val="20"/>
                <w:szCs w:val="20"/>
                <w:color w:val="auto"/>
              </w:rPr>
            </w:pPr>
            <w:r>
              <w:rPr>
                <w:rFonts w:ascii="Arial" w:cs="Arial" w:eastAsia="Arial" w:hAnsi="Arial"/>
                <w:sz w:val="17"/>
                <w:szCs w:val="17"/>
                <w:b w:val="1"/>
                <w:bCs w:val="1"/>
                <w:color w:val="00539B"/>
              </w:rPr>
              <w:t>795</w:t>
            </w:r>
          </w:p>
        </w:tc>
        <w:tc>
          <w:tcPr>
            <w:tcW w:w="260" w:type="dxa"/>
            <w:vAlign w:val="bottom"/>
            <w:vMerge w:val="restart"/>
          </w:tcPr>
          <w:p>
            <w:pPr>
              <w:jc w:val="right"/>
              <w:ind w:right="56"/>
              <w:spacing w:after="0"/>
              <w:rPr>
                <w:sz w:val="20"/>
                <w:szCs w:val="20"/>
                <w:color w:val="auto"/>
              </w:rPr>
            </w:pPr>
            <w:r>
              <w:rPr>
                <w:rFonts w:ascii="Arial" w:cs="Arial" w:eastAsia="Arial" w:hAnsi="Arial"/>
                <w:sz w:val="17"/>
                <w:szCs w:val="17"/>
                <w:b w:val="1"/>
                <w:bCs w:val="1"/>
                <w:color w:val="00539B"/>
              </w:rPr>
              <w:t>$</w:t>
            </w:r>
          </w:p>
        </w:tc>
        <w:tc>
          <w:tcPr>
            <w:tcW w:w="1620" w:type="dxa"/>
            <w:vAlign w:val="bottom"/>
            <w:gridSpan w:val="2"/>
            <w:vMerge w:val="restart"/>
          </w:tcPr>
          <w:p>
            <w:pPr>
              <w:ind w:left="920"/>
              <w:spacing w:after="0"/>
              <w:rPr>
                <w:sz w:val="20"/>
                <w:szCs w:val="20"/>
                <w:color w:val="auto"/>
              </w:rPr>
            </w:pPr>
            <w:r>
              <w:rPr>
                <w:rFonts w:ascii="Arial" w:cs="Arial" w:eastAsia="Arial" w:hAnsi="Arial"/>
                <w:sz w:val="17"/>
                <w:szCs w:val="17"/>
                <w:b w:val="1"/>
                <w:bCs w:val="1"/>
                <w:color w:val="00539B"/>
              </w:rPr>
              <w:t>— $</w:t>
            </w:r>
          </w:p>
        </w:tc>
        <w:tc>
          <w:tcPr>
            <w:tcW w:w="920" w:type="dxa"/>
            <w:vAlign w:val="bottom"/>
            <w:vMerge w:val="restart"/>
          </w:tcPr>
          <w:p>
            <w:pPr>
              <w:jc w:val="right"/>
              <w:spacing w:after="0"/>
              <w:rPr>
                <w:sz w:val="20"/>
                <w:szCs w:val="20"/>
                <w:color w:val="auto"/>
              </w:rPr>
            </w:pPr>
            <w:r>
              <w:rPr>
                <w:rFonts w:ascii="Arial" w:cs="Arial" w:eastAsia="Arial" w:hAnsi="Arial"/>
                <w:sz w:val="17"/>
                <w:szCs w:val="17"/>
                <w:b w:val="1"/>
                <w:bCs w:val="1"/>
                <w:color w:val="00539B"/>
              </w:rPr>
              <w:t>4,241</w:t>
            </w:r>
          </w:p>
        </w:tc>
        <w:tc>
          <w:tcPr>
            <w:tcW w:w="0" w:type="dxa"/>
            <w:vAlign w:val="bottom"/>
          </w:tcPr>
          <w:p>
            <w:pPr>
              <w:spacing w:after="0"/>
              <w:rPr>
                <w:sz w:val="1"/>
                <w:szCs w:val="1"/>
                <w:color w:val="auto"/>
              </w:rPr>
            </w:pPr>
          </w:p>
        </w:tc>
      </w:tr>
      <w:tr>
        <w:trPr>
          <w:trHeight w:val="219"/>
        </w:trPr>
        <w:tc>
          <w:tcPr>
            <w:tcW w:w="4100" w:type="dxa"/>
            <w:vAlign w:val="bottom"/>
          </w:tcPr>
          <w:p>
            <w:pPr>
              <w:ind w:left="260"/>
              <w:spacing w:after="0"/>
              <w:rPr>
                <w:sz w:val="20"/>
                <w:szCs w:val="20"/>
                <w:color w:val="auto"/>
              </w:rPr>
            </w:pPr>
            <w:r>
              <w:rPr>
                <w:rFonts w:ascii="Arial" w:cs="Arial" w:eastAsia="Arial" w:hAnsi="Arial"/>
                <w:sz w:val="17"/>
                <w:szCs w:val="17"/>
                <w:color w:val="auto"/>
              </w:rPr>
              <w:t>Oil</w:t>
            </w:r>
          </w:p>
        </w:tc>
        <w:tc>
          <w:tcPr>
            <w:tcW w:w="1600" w:type="dxa"/>
            <w:vAlign w:val="bottom"/>
            <w:vMerge w:val="continue"/>
          </w:tcPr>
          <w:p>
            <w:pPr>
              <w:spacing w:after="0"/>
              <w:rPr>
                <w:sz w:val="19"/>
                <w:szCs w:val="19"/>
                <w:color w:val="auto"/>
              </w:rPr>
            </w:pPr>
          </w:p>
        </w:tc>
        <w:tc>
          <w:tcPr>
            <w:tcW w:w="1320" w:type="dxa"/>
            <w:vAlign w:val="bottom"/>
            <w:vMerge w:val="continue"/>
          </w:tcPr>
          <w:p>
            <w:pPr>
              <w:spacing w:after="0"/>
              <w:rPr>
                <w:sz w:val="19"/>
                <w:szCs w:val="19"/>
                <w:color w:val="auto"/>
              </w:rPr>
            </w:pPr>
          </w:p>
        </w:tc>
        <w:tc>
          <w:tcPr>
            <w:tcW w:w="260" w:type="dxa"/>
            <w:vAlign w:val="bottom"/>
            <w:vMerge w:val="continue"/>
          </w:tcPr>
          <w:p>
            <w:pPr>
              <w:spacing w:after="0"/>
              <w:rPr>
                <w:sz w:val="19"/>
                <w:szCs w:val="19"/>
                <w:color w:val="auto"/>
              </w:rPr>
            </w:pPr>
          </w:p>
        </w:tc>
        <w:tc>
          <w:tcPr>
            <w:tcW w:w="1160" w:type="dxa"/>
            <w:vAlign w:val="bottom"/>
            <w:vMerge w:val="continue"/>
          </w:tcPr>
          <w:p>
            <w:pPr>
              <w:spacing w:after="0"/>
              <w:rPr>
                <w:sz w:val="19"/>
                <w:szCs w:val="19"/>
                <w:color w:val="auto"/>
              </w:rPr>
            </w:pPr>
          </w:p>
        </w:tc>
        <w:tc>
          <w:tcPr>
            <w:tcW w:w="260" w:type="dxa"/>
            <w:vAlign w:val="bottom"/>
            <w:vMerge w:val="continue"/>
          </w:tcPr>
          <w:p>
            <w:pPr>
              <w:spacing w:after="0"/>
              <w:rPr>
                <w:sz w:val="19"/>
                <w:szCs w:val="19"/>
                <w:color w:val="auto"/>
              </w:rPr>
            </w:pPr>
          </w:p>
        </w:tc>
        <w:tc>
          <w:tcPr>
            <w:tcW w:w="1620" w:type="dxa"/>
            <w:vAlign w:val="bottom"/>
            <w:gridSpan w:val="2"/>
            <w:vMerge w:val="continue"/>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100" w:type="dxa"/>
            <w:vAlign w:val="bottom"/>
          </w:tcPr>
          <w:p>
            <w:pPr>
              <w:ind w:left="260"/>
              <w:spacing w:after="0"/>
              <w:rPr>
                <w:sz w:val="20"/>
                <w:szCs w:val="20"/>
                <w:color w:val="auto"/>
              </w:rPr>
            </w:pPr>
            <w:r>
              <w:rPr>
                <w:rFonts w:ascii="Arial" w:cs="Arial" w:eastAsia="Arial" w:hAnsi="Arial"/>
                <w:sz w:val="17"/>
                <w:szCs w:val="17"/>
                <w:color w:val="auto"/>
              </w:rPr>
              <w:t>NGL</w:t>
            </w:r>
          </w:p>
        </w:tc>
        <w:tc>
          <w:tcPr>
            <w:tcW w:w="16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b w:val="1"/>
                <w:bCs w:val="1"/>
                <w:color w:val="00539B"/>
              </w:rPr>
              <w:t>352</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b w:val="1"/>
                <w:bCs w:val="1"/>
                <w:color w:val="00539B"/>
              </w:rPr>
              <w:t>90</w:t>
            </w:r>
          </w:p>
        </w:tc>
        <w:tc>
          <w:tcPr>
            <w:tcW w:w="260" w:type="dxa"/>
            <w:vAlign w:val="bottom"/>
          </w:tcPr>
          <w:p>
            <w:pPr>
              <w:spacing w:after="0"/>
              <w:rPr>
                <w:sz w:val="18"/>
                <w:szCs w:val="18"/>
                <w:color w:val="auto"/>
              </w:rPr>
            </w:pPr>
          </w:p>
        </w:tc>
        <w:tc>
          <w:tcPr>
            <w:tcW w:w="1160" w:type="dxa"/>
            <w:vAlign w:val="bottom"/>
          </w:tcPr>
          <w:p>
            <w:pPr>
              <w:ind w:left="920"/>
              <w:spacing w:after="0"/>
              <w:rPr>
                <w:sz w:val="20"/>
                <w:szCs w:val="20"/>
                <w:color w:val="auto"/>
              </w:rPr>
            </w:pPr>
            <w:r>
              <w:rPr>
                <w:rFonts w:ascii="Arial" w:cs="Arial" w:eastAsia="Arial" w:hAnsi="Arial"/>
                <w:sz w:val="17"/>
                <w:szCs w:val="17"/>
                <w:b w:val="1"/>
                <w:bCs w:val="1"/>
                <w:color w:val="00539B"/>
              </w:rPr>
              <w:t>—</w:t>
            </w:r>
          </w:p>
        </w:tc>
        <w:tc>
          <w:tcPr>
            <w:tcW w:w="4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b w:val="1"/>
                <w:bCs w:val="1"/>
                <w:color w:val="00539B"/>
              </w:rPr>
              <w:t>442</w:t>
            </w:r>
          </w:p>
        </w:tc>
        <w:tc>
          <w:tcPr>
            <w:tcW w:w="0" w:type="dxa"/>
            <w:vAlign w:val="bottom"/>
          </w:tcPr>
          <w:p>
            <w:pPr>
              <w:spacing w:after="0"/>
              <w:rPr>
                <w:sz w:val="1"/>
                <w:szCs w:val="1"/>
                <w:color w:val="auto"/>
              </w:rPr>
            </w:pPr>
          </w:p>
        </w:tc>
      </w:tr>
      <w:tr>
        <w:trPr>
          <w:trHeight w:val="227"/>
        </w:trPr>
        <w:tc>
          <w:tcPr>
            <w:tcW w:w="4100" w:type="dxa"/>
            <w:vAlign w:val="bottom"/>
          </w:tcPr>
          <w:p>
            <w:pPr>
              <w:ind w:left="260"/>
              <w:spacing w:after="0"/>
              <w:rPr>
                <w:sz w:val="20"/>
                <w:szCs w:val="20"/>
                <w:color w:val="auto"/>
              </w:rPr>
            </w:pPr>
            <w:r>
              <w:rPr>
                <w:rFonts w:ascii="Arial" w:cs="Arial" w:eastAsia="Arial" w:hAnsi="Arial"/>
                <w:sz w:val="17"/>
                <w:szCs w:val="17"/>
                <w:color w:val="auto"/>
              </w:rPr>
              <w:t>Gas</w:t>
            </w:r>
          </w:p>
        </w:tc>
        <w:tc>
          <w:tcPr>
            <w:tcW w:w="16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b w:val="1"/>
                <w:bCs w:val="1"/>
                <w:color w:val="00539B"/>
              </w:rPr>
              <w:t>161</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b w:val="1"/>
                <w:bCs w:val="1"/>
                <w:color w:val="00539B"/>
              </w:rPr>
              <w:t>87</w:t>
            </w:r>
          </w:p>
        </w:tc>
        <w:tc>
          <w:tcPr>
            <w:tcW w:w="260" w:type="dxa"/>
            <w:vAlign w:val="bottom"/>
          </w:tcPr>
          <w:p>
            <w:pPr>
              <w:spacing w:after="0"/>
              <w:rPr>
                <w:sz w:val="19"/>
                <w:szCs w:val="19"/>
                <w:color w:val="auto"/>
              </w:rPr>
            </w:pPr>
          </w:p>
        </w:tc>
        <w:tc>
          <w:tcPr>
            <w:tcW w:w="1160" w:type="dxa"/>
            <w:vAlign w:val="bottom"/>
          </w:tcPr>
          <w:p>
            <w:pPr>
              <w:ind w:left="920"/>
              <w:spacing w:after="0"/>
              <w:rPr>
                <w:sz w:val="20"/>
                <w:szCs w:val="20"/>
                <w:color w:val="auto"/>
              </w:rPr>
            </w:pPr>
            <w:r>
              <w:rPr>
                <w:rFonts w:ascii="Arial" w:cs="Arial" w:eastAsia="Arial" w:hAnsi="Arial"/>
                <w:sz w:val="17"/>
                <w:szCs w:val="17"/>
                <w:b w:val="1"/>
                <w:bCs w:val="1"/>
                <w:color w:val="00539B"/>
              </w:rPr>
              <w:t>—</w:t>
            </w: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b w:val="1"/>
                <w:bCs w:val="1"/>
                <w:color w:val="00539B"/>
              </w:rPr>
              <w:t>248</w:t>
            </w:r>
          </w:p>
        </w:tc>
        <w:tc>
          <w:tcPr>
            <w:tcW w:w="0" w:type="dxa"/>
            <w:vAlign w:val="bottom"/>
          </w:tcPr>
          <w:p>
            <w:pPr>
              <w:spacing w:after="0"/>
              <w:rPr>
                <w:sz w:val="1"/>
                <w:szCs w:val="1"/>
                <w:color w:val="auto"/>
              </w:rPr>
            </w:pPr>
          </w:p>
        </w:tc>
      </w:tr>
      <w:tr>
        <w:trPr>
          <w:trHeight w:val="237"/>
        </w:trPr>
        <w:tc>
          <w:tcPr>
            <w:tcW w:w="4100" w:type="dxa"/>
            <w:vAlign w:val="bottom"/>
            <w:tcBorders>
              <w:bottom w:val="single" w:sz="8" w:color="auto"/>
            </w:tcBorders>
          </w:tcPr>
          <w:p>
            <w:pPr>
              <w:ind w:left="260"/>
              <w:spacing w:after="0"/>
              <w:rPr>
                <w:sz w:val="20"/>
                <w:szCs w:val="20"/>
                <w:color w:val="auto"/>
              </w:rPr>
            </w:pPr>
            <w:r>
              <w:rPr>
                <w:rFonts w:ascii="Arial" w:cs="Arial" w:eastAsia="Arial" w:hAnsi="Arial"/>
                <w:sz w:val="17"/>
                <w:szCs w:val="17"/>
                <w:color w:val="auto"/>
              </w:rPr>
              <w:t>Other</w:t>
            </w:r>
          </w:p>
        </w:tc>
        <w:tc>
          <w:tcPr>
            <w:tcW w:w="16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10</w:t>
            </w:r>
          </w:p>
        </w:tc>
        <w:tc>
          <w:tcPr>
            <w:tcW w:w="2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w:t>
            </w:r>
          </w:p>
        </w:tc>
        <w:tc>
          <w:tcPr>
            <w:tcW w:w="2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ind w:left="920"/>
              <w:spacing w:after="0"/>
              <w:rPr>
                <w:sz w:val="20"/>
                <w:szCs w:val="20"/>
                <w:color w:val="auto"/>
              </w:rPr>
            </w:pPr>
            <w:r>
              <w:rPr>
                <w:rFonts w:ascii="Arial" w:cs="Arial" w:eastAsia="Arial" w:hAnsi="Arial"/>
                <w:sz w:val="17"/>
                <w:szCs w:val="17"/>
                <w:b w:val="1"/>
                <w:bCs w:val="1"/>
                <w:color w:val="00539B"/>
              </w:rPr>
              <w:t>—</w:t>
            </w:r>
          </w:p>
        </w:tc>
        <w:tc>
          <w:tcPr>
            <w:tcW w:w="4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10</w:t>
            </w:r>
          </w:p>
        </w:tc>
        <w:tc>
          <w:tcPr>
            <w:tcW w:w="0" w:type="dxa"/>
            <w:vAlign w:val="bottom"/>
          </w:tcPr>
          <w:p>
            <w:pPr>
              <w:spacing w:after="0"/>
              <w:rPr>
                <w:sz w:val="1"/>
                <w:szCs w:val="1"/>
                <w:color w:val="auto"/>
              </w:rPr>
            </w:pPr>
          </w:p>
        </w:tc>
      </w:tr>
      <w:tr>
        <w:trPr>
          <w:trHeight w:val="209"/>
        </w:trPr>
        <w:tc>
          <w:tcPr>
            <w:tcW w:w="410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Segment total</w:t>
            </w:r>
          </w:p>
        </w:tc>
        <w:tc>
          <w:tcPr>
            <w:tcW w:w="1600" w:type="dxa"/>
            <w:vAlign w:val="bottom"/>
            <w:tcBorders>
              <w:bottom w:val="single" w:sz="8" w:color="auto"/>
            </w:tcBorders>
          </w:tcPr>
          <w:p>
            <w:pPr>
              <w:jc w:val="right"/>
              <w:ind w:right="156"/>
              <w:spacing w:after="0"/>
              <w:rPr>
                <w:sz w:val="20"/>
                <w:szCs w:val="20"/>
                <w:color w:val="auto"/>
              </w:rPr>
            </w:pPr>
            <w:r>
              <w:rPr>
                <w:rFonts w:ascii="Arial" w:cs="Arial" w:eastAsia="Arial" w:hAnsi="Arial"/>
                <w:sz w:val="17"/>
                <w:szCs w:val="17"/>
                <w:b w:val="1"/>
                <w:bCs w:val="1"/>
                <w:color w:val="00539B"/>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3,969</w:t>
            </w:r>
          </w:p>
        </w:tc>
        <w:tc>
          <w:tcPr>
            <w:tcW w:w="26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b w:val="1"/>
                <w:bCs w:val="1"/>
                <w:color w:val="00539B"/>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972</w:t>
            </w:r>
          </w:p>
        </w:tc>
        <w:tc>
          <w:tcPr>
            <w:tcW w:w="26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b w:val="1"/>
                <w:bCs w:val="1"/>
                <w:color w:val="00539B"/>
              </w:rPr>
              <w:t>$</w:t>
            </w:r>
          </w:p>
        </w:tc>
        <w:tc>
          <w:tcPr>
            <w:tcW w:w="1620" w:type="dxa"/>
            <w:vAlign w:val="bottom"/>
            <w:tcBorders>
              <w:bottom w:val="single" w:sz="8" w:color="auto"/>
            </w:tcBorders>
            <w:gridSpan w:val="2"/>
          </w:tcPr>
          <w:p>
            <w:pPr>
              <w:ind w:left="920"/>
              <w:spacing w:after="0"/>
              <w:rPr>
                <w:sz w:val="20"/>
                <w:szCs w:val="20"/>
                <w:color w:val="auto"/>
              </w:rPr>
            </w:pPr>
            <w:r>
              <w:rPr>
                <w:rFonts w:ascii="Arial" w:cs="Arial" w:eastAsia="Arial" w:hAnsi="Arial"/>
                <w:sz w:val="17"/>
                <w:szCs w:val="17"/>
                <w:b w:val="1"/>
                <w:bCs w:val="1"/>
                <w:color w:val="00539B"/>
              </w:rPr>
              <w:t>— $</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4,941</w:t>
            </w:r>
          </w:p>
        </w:tc>
        <w:tc>
          <w:tcPr>
            <w:tcW w:w="0" w:type="dxa"/>
            <w:vAlign w:val="bottom"/>
          </w:tcPr>
          <w:p>
            <w:pPr>
              <w:spacing w:after="0"/>
              <w:rPr>
                <w:sz w:val="1"/>
                <w:szCs w:val="1"/>
                <w:color w:val="auto"/>
              </w:rPr>
            </w:pPr>
          </w:p>
        </w:tc>
      </w:tr>
      <w:tr>
        <w:trPr>
          <w:trHeight w:val="220"/>
        </w:trPr>
        <w:tc>
          <w:tcPr>
            <w:tcW w:w="410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Chemical</w:t>
            </w:r>
          </w:p>
        </w:tc>
        <w:tc>
          <w:tcPr>
            <w:tcW w:w="1600" w:type="dxa"/>
            <w:vAlign w:val="bottom"/>
            <w:tcBorders>
              <w:bottom w:val="single" w:sz="8" w:color="auto"/>
            </w:tcBorders>
          </w:tcPr>
          <w:p>
            <w:pPr>
              <w:jc w:val="right"/>
              <w:ind w:right="156"/>
              <w:spacing w:after="0"/>
              <w:rPr>
                <w:sz w:val="20"/>
                <w:szCs w:val="20"/>
                <w:color w:val="auto"/>
              </w:rPr>
            </w:pPr>
            <w:r>
              <w:rPr>
                <w:rFonts w:ascii="Arial" w:cs="Arial" w:eastAsia="Arial" w:hAnsi="Arial"/>
                <w:sz w:val="17"/>
                <w:szCs w:val="17"/>
                <w:b w:val="1"/>
                <w:bCs w:val="1"/>
                <w:color w:val="00539B"/>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1,292</w:t>
            </w:r>
          </w:p>
        </w:tc>
        <w:tc>
          <w:tcPr>
            <w:tcW w:w="26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b w:val="1"/>
                <w:bCs w:val="1"/>
                <w:color w:val="00539B"/>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82</w:t>
            </w:r>
          </w:p>
        </w:tc>
        <w:tc>
          <w:tcPr>
            <w:tcW w:w="26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b w:val="1"/>
                <w:bCs w:val="1"/>
                <w:color w:val="00539B"/>
              </w:rPr>
              <w:t>$</w:t>
            </w:r>
          </w:p>
        </w:tc>
        <w:tc>
          <w:tcPr>
            <w:tcW w:w="1620" w:type="dxa"/>
            <w:vAlign w:val="bottom"/>
            <w:tcBorders>
              <w:bottom w:val="single" w:sz="8" w:color="auto"/>
            </w:tcBorders>
            <w:gridSpan w:val="2"/>
          </w:tcPr>
          <w:p>
            <w:pPr>
              <w:ind w:left="920"/>
              <w:spacing w:after="0"/>
              <w:rPr>
                <w:sz w:val="20"/>
                <w:szCs w:val="20"/>
                <w:color w:val="auto"/>
              </w:rPr>
            </w:pPr>
            <w:r>
              <w:rPr>
                <w:rFonts w:ascii="Arial" w:cs="Arial" w:eastAsia="Arial" w:hAnsi="Arial"/>
                <w:sz w:val="17"/>
                <w:szCs w:val="17"/>
                <w:b w:val="1"/>
                <w:bCs w:val="1"/>
                <w:color w:val="00539B"/>
              </w:rPr>
              <w:t>— $</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1,374</w:t>
            </w:r>
          </w:p>
        </w:tc>
        <w:tc>
          <w:tcPr>
            <w:tcW w:w="0" w:type="dxa"/>
            <w:vAlign w:val="bottom"/>
          </w:tcPr>
          <w:p>
            <w:pPr>
              <w:spacing w:after="0"/>
              <w:rPr>
                <w:sz w:val="1"/>
                <w:szCs w:val="1"/>
                <w:color w:val="auto"/>
              </w:rPr>
            </w:pPr>
          </w:p>
        </w:tc>
      </w:tr>
      <w:tr>
        <w:trPr>
          <w:trHeight w:val="207"/>
        </w:trPr>
        <w:tc>
          <w:tcPr>
            <w:tcW w:w="410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Midstream and marketing</w:t>
            </w:r>
          </w:p>
        </w:tc>
        <w:tc>
          <w:tcPr>
            <w:tcW w:w="1600" w:type="dxa"/>
            <w:vAlign w:val="bottom"/>
            <w:tcBorders>
              <w:bottom w:val="single" w:sz="8" w:color="auto"/>
            </w:tcBorders>
          </w:tcPr>
          <w:p>
            <w:pPr>
              <w:jc w:val="right"/>
              <w:ind w:right="156"/>
              <w:spacing w:after="0"/>
              <w:rPr>
                <w:sz w:val="20"/>
                <w:szCs w:val="20"/>
                <w:color w:val="auto"/>
              </w:rPr>
            </w:pPr>
            <w:r>
              <w:rPr>
                <w:rFonts w:ascii="Arial" w:cs="Arial" w:eastAsia="Arial" w:hAnsi="Arial"/>
                <w:sz w:val="17"/>
                <w:szCs w:val="17"/>
                <w:b w:val="1"/>
                <w:bCs w:val="1"/>
                <w:color w:val="00539B"/>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421</w:t>
            </w:r>
          </w:p>
        </w:tc>
        <w:tc>
          <w:tcPr>
            <w:tcW w:w="26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b w:val="1"/>
                <w:bCs w:val="1"/>
                <w:color w:val="00539B"/>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95</w:t>
            </w:r>
          </w:p>
        </w:tc>
        <w:tc>
          <w:tcPr>
            <w:tcW w:w="26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b w:val="1"/>
                <w:bCs w:val="1"/>
                <w:color w:val="00539B"/>
              </w:rPr>
              <w:t>$</w:t>
            </w:r>
          </w:p>
        </w:tc>
        <w:tc>
          <w:tcPr>
            <w:tcW w:w="1160" w:type="dxa"/>
            <w:vAlign w:val="bottom"/>
            <w:tcBorders>
              <w:bottom w:val="single" w:sz="8" w:color="auto"/>
            </w:tcBorders>
          </w:tcPr>
          <w:p>
            <w:pPr>
              <w:ind w:left="920"/>
              <w:spacing w:after="0"/>
              <w:rPr>
                <w:sz w:val="20"/>
                <w:szCs w:val="20"/>
                <w:color w:val="auto"/>
              </w:rPr>
            </w:pPr>
            <w:r>
              <w:rPr>
                <w:rFonts w:ascii="Arial" w:cs="Arial" w:eastAsia="Arial" w:hAnsi="Arial"/>
                <w:sz w:val="17"/>
                <w:szCs w:val="17"/>
                <w:b w:val="1"/>
                <w:bCs w:val="1"/>
                <w:color w:val="00539B"/>
              </w:rPr>
              <w:t>—</w:t>
            </w:r>
          </w:p>
        </w:tc>
        <w:tc>
          <w:tcPr>
            <w:tcW w:w="460" w:type="dxa"/>
            <w:vAlign w:val="bottom"/>
            <w:tcBorders>
              <w:bottom w:val="single" w:sz="8" w:color="auto"/>
            </w:tcBorders>
          </w:tcPr>
          <w:p>
            <w:pPr>
              <w:jc w:val="right"/>
              <w:ind w:right="256"/>
              <w:spacing w:after="0"/>
              <w:rPr>
                <w:sz w:val="20"/>
                <w:szCs w:val="20"/>
                <w:color w:val="auto"/>
              </w:rPr>
            </w:pPr>
            <w:r>
              <w:rPr>
                <w:rFonts w:ascii="Arial" w:cs="Arial" w:eastAsia="Arial" w:hAnsi="Arial"/>
                <w:sz w:val="17"/>
                <w:szCs w:val="17"/>
                <w:b w:val="1"/>
                <w:bCs w:val="1"/>
                <w:color w:val="00539B"/>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516</w:t>
            </w:r>
          </w:p>
        </w:tc>
        <w:tc>
          <w:tcPr>
            <w:tcW w:w="0" w:type="dxa"/>
            <w:vAlign w:val="bottom"/>
          </w:tcPr>
          <w:p>
            <w:pPr>
              <w:spacing w:after="0"/>
              <w:rPr>
                <w:sz w:val="1"/>
                <w:szCs w:val="1"/>
                <w:color w:val="auto"/>
              </w:rPr>
            </w:pPr>
          </w:p>
        </w:tc>
      </w:tr>
      <w:tr>
        <w:trPr>
          <w:trHeight w:val="220"/>
        </w:trPr>
        <w:tc>
          <w:tcPr>
            <w:tcW w:w="4100" w:type="dxa"/>
            <w:vAlign w:val="bottom"/>
            <w:tcBorders>
              <w:bottom w:val="single" w:sz="8" w:color="auto"/>
            </w:tcBorders>
          </w:tcPr>
          <w:p>
            <w:pPr>
              <w:ind w:left="40"/>
              <w:spacing w:after="0"/>
              <w:rPr>
                <w:sz w:val="20"/>
                <w:szCs w:val="20"/>
                <w:color w:val="auto"/>
              </w:rPr>
            </w:pPr>
            <w:r>
              <w:rPr>
                <w:rFonts w:ascii="Arial" w:cs="Arial" w:eastAsia="Arial" w:hAnsi="Arial"/>
                <w:sz w:val="17"/>
                <w:szCs w:val="17"/>
                <w:b w:val="1"/>
                <w:bCs w:val="1"/>
                <w:color w:val="auto"/>
              </w:rPr>
              <w:t>Eliminations</w:t>
            </w:r>
          </w:p>
        </w:tc>
        <w:tc>
          <w:tcPr>
            <w:tcW w:w="1600" w:type="dxa"/>
            <w:vAlign w:val="bottom"/>
            <w:tcBorders>
              <w:bottom w:val="single" w:sz="8" w:color="auto"/>
            </w:tcBorders>
          </w:tcPr>
          <w:p>
            <w:pPr>
              <w:jc w:val="right"/>
              <w:ind w:right="156"/>
              <w:spacing w:after="0"/>
              <w:rPr>
                <w:sz w:val="20"/>
                <w:szCs w:val="20"/>
                <w:color w:val="auto"/>
              </w:rPr>
            </w:pPr>
            <w:r>
              <w:rPr>
                <w:rFonts w:ascii="Arial" w:cs="Arial" w:eastAsia="Arial" w:hAnsi="Arial"/>
                <w:sz w:val="17"/>
                <w:szCs w:val="17"/>
                <w:b w:val="1"/>
                <w:bCs w:val="1"/>
                <w:color w:val="00539B"/>
              </w:rPr>
              <w:t>$</w:t>
            </w:r>
          </w:p>
        </w:tc>
        <w:tc>
          <w:tcPr>
            <w:tcW w:w="1580" w:type="dxa"/>
            <w:vAlign w:val="bottom"/>
            <w:tcBorders>
              <w:bottom w:val="single" w:sz="8" w:color="auto"/>
            </w:tcBorders>
            <w:gridSpan w:val="2"/>
          </w:tcPr>
          <w:p>
            <w:pPr>
              <w:jc w:val="right"/>
              <w:ind w:right="56"/>
              <w:spacing w:after="0"/>
              <w:rPr>
                <w:sz w:val="20"/>
                <w:szCs w:val="20"/>
                <w:color w:val="auto"/>
              </w:rPr>
            </w:pPr>
            <w:r>
              <w:rPr>
                <w:rFonts w:ascii="Arial" w:cs="Arial" w:eastAsia="Arial" w:hAnsi="Arial"/>
                <w:sz w:val="17"/>
                <w:szCs w:val="17"/>
                <w:b w:val="1"/>
                <w:bCs w:val="1"/>
                <w:color w:val="00539B"/>
              </w:rPr>
              <w:t>— $</w:t>
            </w:r>
          </w:p>
        </w:tc>
        <w:tc>
          <w:tcPr>
            <w:tcW w:w="1420" w:type="dxa"/>
            <w:vAlign w:val="bottom"/>
            <w:tcBorders>
              <w:bottom w:val="single" w:sz="8" w:color="auto"/>
            </w:tcBorders>
            <w:gridSpan w:val="2"/>
          </w:tcPr>
          <w:p>
            <w:pPr>
              <w:jc w:val="right"/>
              <w:ind w:right="56"/>
              <w:spacing w:after="0"/>
              <w:rPr>
                <w:sz w:val="20"/>
                <w:szCs w:val="20"/>
                <w:color w:val="auto"/>
              </w:rPr>
            </w:pPr>
            <w:r>
              <w:rPr>
                <w:rFonts w:ascii="Arial" w:cs="Arial" w:eastAsia="Arial" w:hAnsi="Arial"/>
                <w:sz w:val="17"/>
                <w:szCs w:val="17"/>
                <w:b w:val="1"/>
                <w:bCs w:val="1"/>
                <w:color w:val="00539B"/>
              </w:rPr>
              <w:t>— $</w:t>
            </w:r>
          </w:p>
        </w:tc>
        <w:tc>
          <w:tcPr>
            <w:tcW w:w="1160" w:type="dxa"/>
            <w:vAlign w:val="bottom"/>
            <w:tcBorders>
              <w:bottom w:val="single" w:sz="8" w:color="auto"/>
            </w:tcBorders>
          </w:tcPr>
          <w:p>
            <w:pPr>
              <w:ind w:left="740"/>
              <w:spacing w:after="0"/>
              <w:rPr>
                <w:sz w:val="20"/>
                <w:szCs w:val="20"/>
                <w:color w:val="auto"/>
              </w:rPr>
            </w:pPr>
            <w:r>
              <w:rPr>
                <w:rFonts w:ascii="Arial" w:cs="Arial" w:eastAsia="Arial" w:hAnsi="Arial"/>
                <w:sz w:val="17"/>
                <w:szCs w:val="17"/>
                <w:b w:val="1"/>
                <w:bCs w:val="1"/>
                <w:color w:val="00539B"/>
              </w:rPr>
              <w:t>(230)</w:t>
            </w:r>
          </w:p>
        </w:tc>
        <w:tc>
          <w:tcPr>
            <w:tcW w:w="460" w:type="dxa"/>
            <w:vAlign w:val="bottom"/>
            <w:tcBorders>
              <w:bottom w:val="single" w:sz="8" w:color="auto"/>
            </w:tcBorders>
          </w:tcPr>
          <w:p>
            <w:pPr>
              <w:jc w:val="right"/>
              <w:ind w:right="256"/>
              <w:spacing w:after="0"/>
              <w:rPr>
                <w:sz w:val="20"/>
                <w:szCs w:val="20"/>
                <w:color w:val="auto"/>
              </w:rPr>
            </w:pPr>
            <w:r>
              <w:rPr>
                <w:rFonts w:ascii="Arial" w:cs="Arial" w:eastAsia="Arial" w:hAnsi="Arial"/>
                <w:sz w:val="17"/>
                <w:szCs w:val="17"/>
                <w:b w:val="1"/>
                <w:bCs w:val="1"/>
                <w:color w:val="00539B"/>
              </w:rPr>
              <w:t>$</w:t>
            </w:r>
          </w:p>
        </w:tc>
        <w:tc>
          <w:tcPr>
            <w:tcW w:w="920" w:type="dxa"/>
            <w:vAlign w:val="bottom"/>
            <w:tcBorders>
              <w:bottom w:val="single" w:sz="8" w:color="auto"/>
            </w:tcBorders>
          </w:tcPr>
          <w:p>
            <w:pPr>
              <w:ind w:left="500"/>
              <w:spacing w:after="0"/>
              <w:rPr>
                <w:sz w:val="20"/>
                <w:szCs w:val="20"/>
                <w:color w:val="auto"/>
              </w:rPr>
            </w:pPr>
            <w:r>
              <w:rPr>
                <w:rFonts w:ascii="Arial" w:cs="Arial" w:eastAsia="Arial" w:hAnsi="Arial"/>
                <w:sz w:val="17"/>
                <w:szCs w:val="17"/>
                <w:b w:val="1"/>
                <w:bCs w:val="1"/>
                <w:color w:val="00539B"/>
              </w:rPr>
              <w:t>(230)</w:t>
            </w:r>
          </w:p>
        </w:tc>
        <w:tc>
          <w:tcPr>
            <w:tcW w:w="0" w:type="dxa"/>
            <w:vAlign w:val="bottom"/>
          </w:tcPr>
          <w:p>
            <w:pPr>
              <w:spacing w:after="0"/>
              <w:rPr>
                <w:sz w:val="1"/>
                <w:szCs w:val="1"/>
                <w:color w:val="auto"/>
              </w:rPr>
            </w:pPr>
          </w:p>
        </w:tc>
      </w:tr>
      <w:tr>
        <w:trPr>
          <w:trHeight w:val="220"/>
        </w:trPr>
        <w:tc>
          <w:tcPr>
            <w:tcW w:w="410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Consolidated</w:t>
            </w:r>
          </w:p>
        </w:tc>
        <w:tc>
          <w:tcPr>
            <w:tcW w:w="1600" w:type="dxa"/>
            <w:vAlign w:val="bottom"/>
            <w:tcBorders>
              <w:bottom w:val="single" w:sz="8" w:color="auto"/>
            </w:tcBorders>
          </w:tcPr>
          <w:p>
            <w:pPr>
              <w:jc w:val="right"/>
              <w:ind w:right="156"/>
              <w:spacing w:after="0"/>
              <w:rPr>
                <w:sz w:val="20"/>
                <w:szCs w:val="20"/>
                <w:color w:val="auto"/>
              </w:rPr>
            </w:pPr>
            <w:r>
              <w:rPr>
                <w:rFonts w:ascii="Arial" w:cs="Arial" w:eastAsia="Arial" w:hAnsi="Arial"/>
                <w:sz w:val="17"/>
                <w:szCs w:val="17"/>
                <w:b w:val="1"/>
                <w:bCs w:val="1"/>
                <w:color w:val="00539B"/>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5,682</w:t>
            </w:r>
          </w:p>
        </w:tc>
        <w:tc>
          <w:tcPr>
            <w:tcW w:w="26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b w:val="1"/>
                <w:bCs w:val="1"/>
                <w:color w:val="00539B"/>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1,149</w:t>
            </w:r>
          </w:p>
        </w:tc>
        <w:tc>
          <w:tcPr>
            <w:tcW w:w="26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b w:val="1"/>
                <w:bCs w:val="1"/>
                <w:color w:val="00539B"/>
              </w:rPr>
              <w:t>$</w:t>
            </w:r>
          </w:p>
        </w:tc>
        <w:tc>
          <w:tcPr>
            <w:tcW w:w="1160" w:type="dxa"/>
            <w:vAlign w:val="bottom"/>
            <w:tcBorders>
              <w:bottom w:val="single" w:sz="8" w:color="auto"/>
            </w:tcBorders>
          </w:tcPr>
          <w:p>
            <w:pPr>
              <w:ind w:left="740"/>
              <w:spacing w:after="0"/>
              <w:rPr>
                <w:sz w:val="20"/>
                <w:szCs w:val="20"/>
                <w:color w:val="auto"/>
              </w:rPr>
            </w:pPr>
            <w:r>
              <w:rPr>
                <w:rFonts w:ascii="Arial" w:cs="Arial" w:eastAsia="Arial" w:hAnsi="Arial"/>
                <w:sz w:val="17"/>
                <w:szCs w:val="17"/>
                <w:b w:val="1"/>
                <w:bCs w:val="1"/>
                <w:color w:val="00539B"/>
              </w:rPr>
              <w:t>(230)</w:t>
            </w:r>
          </w:p>
        </w:tc>
        <w:tc>
          <w:tcPr>
            <w:tcW w:w="460" w:type="dxa"/>
            <w:vAlign w:val="bottom"/>
            <w:tcBorders>
              <w:bottom w:val="single" w:sz="8" w:color="auto"/>
            </w:tcBorders>
          </w:tcPr>
          <w:p>
            <w:pPr>
              <w:jc w:val="right"/>
              <w:ind w:right="256"/>
              <w:spacing w:after="0"/>
              <w:rPr>
                <w:sz w:val="20"/>
                <w:szCs w:val="20"/>
                <w:color w:val="auto"/>
              </w:rPr>
            </w:pPr>
            <w:r>
              <w:rPr>
                <w:rFonts w:ascii="Arial" w:cs="Arial" w:eastAsia="Arial" w:hAnsi="Arial"/>
                <w:sz w:val="17"/>
                <w:szCs w:val="17"/>
                <w:b w:val="1"/>
                <w:bCs w:val="1"/>
                <w:color w:val="00539B"/>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6,601</w:t>
            </w:r>
          </w:p>
        </w:tc>
        <w:tc>
          <w:tcPr>
            <w:tcW w:w="0" w:type="dxa"/>
            <w:vAlign w:val="bottom"/>
          </w:tcPr>
          <w:p>
            <w:pPr>
              <w:spacing w:after="0"/>
              <w:rPr>
                <w:sz w:val="1"/>
                <w:szCs w:val="1"/>
                <w:color w:val="auto"/>
              </w:rPr>
            </w:pPr>
          </w:p>
        </w:tc>
      </w:tr>
      <w:tr>
        <w:trPr>
          <w:trHeight w:val="220"/>
        </w:trPr>
        <w:tc>
          <w:tcPr>
            <w:tcW w:w="41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100" w:type="dxa"/>
            <w:vAlign w:val="bottom"/>
            <w:tcBorders>
              <w:bottom w:val="single" w:sz="8" w:color="auto"/>
            </w:tcBorders>
          </w:tcPr>
          <w:p>
            <w:pPr>
              <w:ind w:left="20"/>
              <w:spacing w:after="0"/>
              <w:rPr>
                <w:sz w:val="20"/>
                <w:szCs w:val="20"/>
                <w:color w:val="auto"/>
              </w:rPr>
            </w:pPr>
            <w:r>
              <w:rPr>
                <w:rFonts w:ascii="Arial" w:cs="Arial" w:eastAsia="Arial" w:hAnsi="Arial"/>
                <w:sz w:val="17"/>
                <w:szCs w:val="17"/>
                <w:i w:val="1"/>
                <w:iCs w:val="1"/>
                <w:color w:val="auto"/>
              </w:rPr>
              <w:t>millions</w:t>
            </w:r>
          </w:p>
        </w:tc>
        <w:tc>
          <w:tcPr>
            <w:tcW w:w="16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United States</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International</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ind w:left="140"/>
              <w:spacing w:after="0"/>
              <w:rPr>
                <w:sz w:val="20"/>
                <w:szCs w:val="20"/>
                <w:color w:val="auto"/>
              </w:rPr>
            </w:pPr>
            <w:r>
              <w:rPr>
                <w:rFonts w:ascii="Arial" w:cs="Arial" w:eastAsia="Arial" w:hAnsi="Arial"/>
                <w:sz w:val="17"/>
                <w:szCs w:val="17"/>
                <w:b w:val="1"/>
                <w:bCs w:val="1"/>
                <w:color w:val="auto"/>
                <w:w w:val="98"/>
              </w:rPr>
              <w:t>Eliminations</w:t>
            </w:r>
          </w:p>
        </w:tc>
        <w:tc>
          <w:tcPr>
            <w:tcW w:w="4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ind w:left="520"/>
              <w:spacing w:after="0"/>
              <w:rPr>
                <w:sz w:val="20"/>
                <w:szCs w:val="20"/>
                <w:color w:val="auto"/>
              </w:rPr>
            </w:pPr>
            <w:r>
              <w:rPr>
                <w:rFonts w:ascii="Arial" w:cs="Arial" w:eastAsia="Arial" w:hAnsi="Arial"/>
                <w:sz w:val="17"/>
                <w:szCs w:val="17"/>
                <w:b w:val="1"/>
                <w:bCs w:val="1"/>
                <w:color w:val="auto"/>
                <w:w w:val="93"/>
              </w:rPr>
              <w:t>Total</w:t>
            </w:r>
          </w:p>
        </w:tc>
        <w:tc>
          <w:tcPr>
            <w:tcW w:w="0" w:type="dxa"/>
            <w:vAlign w:val="bottom"/>
          </w:tcPr>
          <w:p>
            <w:pPr>
              <w:spacing w:after="0"/>
              <w:rPr>
                <w:sz w:val="1"/>
                <w:szCs w:val="1"/>
                <w:color w:val="auto"/>
              </w:rPr>
            </w:pPr>
          </w:p>
        </w:tc>
      </w:tr>
      <w:tr>
        <w:trPr>
          <w:trHeight w:val="247"/>
        </w:trPr>
        <w:tc>
          <w:tcPr>
            <w:tcW w:w="4100" w:type="dxa"/>
            <w:vAlign w:val="bottom"/>
          </w:tcPr>
          <w:p>
            <w:pPr>
              <w:ind w:left="20"/>
              <w:spacing w:after="0"/>
              <w:rPr>
                <w:sz w:val="20"/>
                <w:szCs w:val="20"/>
                <w:color w:val="auto"/>
              </w:rPr>
            </w:pPr>
            <w:r>
              <w:rPr>
                <w:rFonts w:ascii="Arial" w:cs="Arial" w:eastAsia="Arial" w:hAnsi="Arial"/>
                <w:sz w:val="17"/>
                <w:szCs w:val="17"/>
                <w:b w:val="1"/>
                <w:bCs w:val="1"/>
                <w:color w:val="auto"/>
              </w:rPr>
              <w:t>Three months ended June 30, 2022</w:t>
            </w:r>
          </w:p>
        </w:tc>
        <w:tc>
          <w:tcPr>
            <w:tcW w:w="16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4100" w:type="dxa"/>
            <w:vAlign w:val="bottom"/>
          </w:tcPr>
          <w:p>
            <w:pPr>
              <w:ind w:left="20"/>
              <w:spacing w:after="0"/>
              <w:rPr>
                <w:sz w:val="20"/>
                <w:szCs w:val="20"/>
                <w:color w:val="auto"/>
              </w:rPr>
            </w:pPr>
            <w:r>
              <w:rPr>
                <w:rFonts w:ascii="Arial" w:cs="Arial" w:eastAsia="Arial" w:hAnsi="Arial"/>
                <w:sz w:val="17"/>
                <w:szCs w:val="17"/>
                <w:b w:val="1"/>
                <w:bCs w:val="1"/>
                <w:color w:val="auto"/>
              </w:rPr>
              <w:t>Oil and gas</w:t>
            </w:r>
          </w:p>
        </w:tc>
        <w:tc>
          <w:tcPr>
            <w:tcW w:w="16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4100" w:type="dxa"/>
            <w:vAlign w:val="bottom"/>
          </w:tcPr>
          <w:p>
            <w:pPr>
              <w:ind w:left="240"/>
              <w:spacing w:after="0"/>
              <w:rPr>
                <w:sz w:val="20"/>
                <w:szCs w:val="20"/>
                <w:color w:val="auto"/>
              </w:rPr>
            </w:pPr>
            <w:r>
              <w:rPr>
                <w:rFonts w:ascii="Arial" w:cs="Arial" w:eastAsia="Arial" w:hAnsi="Arial"/>
                <w:sz w:val="17"/>
                <w:szCs w:val="17"/>
                <w:color w:val="auto"/>
              </w:rPr>
              <w:t>Oil</w:t>
            </w:r>
          </w:p>
        </w:tc>
        <w:tc>
          <w:tcPr>
            <w:tcW w:w="1600" w:type="dxa"/>
            <w:vAlign w:val="bottom"/>
          </w:tcPr>
          <w:p>
            <w:pPr>
              <w:jc w:val="right"/>
              <w:ind w:right="156"/>
              <w:spacing w:after="0"/>
              <w:rPr>
                <w:sz w:val="20"/>
                <w:szCs w:val="20"/>
                <w:color w:val="auto"/>
              </w:rPr>
            </w:pPr>
            <w:r>
              <w:rPr>
                <w:rFonts w:ascii="Arial" w:cs="Arial" w:eastAsia="Arial" w:hAnsi="Arial"/>
                <w:sz w:val="17"/>
                <w:szCs w:val="17"/>
                <w:color w:val="auto"/>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4,894</w:t>
            </w:r>
          </w:p>
        </w:tc>
        <w:tc>
          <w:tcPr>
            <w:tcW w:w="260" w:type="dxa"/>
            <w:vAlign w:val="bottom"/>
          </w:tcPr>
          <w:p>
            <w:pPr>
              <w:jc w:val="right"/>
              <w:ind w:right="56"/>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1,146</w:t>
            </w:r>
          </w:p>
        </w:tc>
        <w:tc>
          <w:tcPr>
            <w:tcW w:w="260" w:type="dxa"/>
            <w:vAlign w:val="bottom"/>
          </w:tcPr>
          <w:p>
            <w:pPr>
              <w:jc w:val="right"/>
              <w:ind w:right="56"/>
              <w:spacing w:after="0"/>
              <w:rPr>
                <w:sz w:val="20"/>
                <w:szCs w:val="20"/>
                <w:color w:val="auto"/>
              </w:rPr>
            </w:pPr>
            <w:r>
              <w:rPr>
                <w:rFonts w:ascii="Arial" w:cs="Arial" w:eastAsia="Arial" w:hAnsi="Arial"/>
                <w:sz w:val="17"/>
                <w:szCs w:val="17"/>
                <w:color w:val="auto"/>
              </w:rPr>
              <w:t>$</w:t>
            </w:r>
          </w:p>
        </w:tc>
        <w:tc>
          <w:tcPr>
            <w:tcW w:w="1620" w:type="dxa"/>
            <w:vAlign w:val="bottom"/>
            <w:gridSpan w:val="2"/>
          </w:tcPr>
          <w:p>
            <w:pPr>
              <w:ind w:left="920"/>
              <w:spacing w:after="0"/>
              <w:rPr>
                <w:sz w:val="20"/>
                <w:szCs w:val="20"/>
                <w:color w:val="auto"/>
              </w:rPr>
            </w:pPr>
            <w:r>
              <w:rPr>
                <w:rFonts w:ascii="Arial" w:cs="Arial" w:eastAsia="Arial" w:hAnsi="Arial"/>
                <w:sz w:val="17"/>
                <w:szCs w:val="17"/>
                <w:color w:val="auto"/>
              </w:rPr>
              <w:t>— $</w:t>
            </w:r>
          </w:p>
        </w:tc>
        <w:tc>
          <w:tcPr>
            <w:tcW w:w="920" w:type="dxa"/>
            <w:vAlign w:val="bottom"/>
          </w:tcPr>
          <w:p>
            <w:pPr>
              <w:jc w:val="right"/>
              <w:spacing w:after="0"/>
              <w:rPr>
                <w:sz w:val="20"/>
                <w:szCs w:val="20"/>
                <w:color w:val="auto"/>
              </w:rPr>
            </w:pPr>
            <w:r>
              <w:rPr>
                <w:rFonts w:ascii="Arial" w:cs="Arial" w:eastAsia="Arial" w:hAnsi="Arial"/>
                <w:sz w:val="17"/>
                <w:szCs w:val="17"/>
                <w:color w:val="auto"/>
              </w:rPr>
              <w:t>6,040</w:t>
            </w:r>
          </w:p>
        </w:tc>
        <w:tc>
          <w:tcPr>
            <w:tcW w:w="0" w:type="dxa"/>
            <w:vAlign w:val="bottom"/>
          </w:tcPr>
          <w:p>
            <w:pPr>
              <w:spacing w:after="0"/>
              <w:rPr>
                <w:sz w:val="1"/>
                <w:szCs w:val="1"/>
                <w:color w:val="auto"/>
              </w:rPr>
            </w:pPr>
          </w:p>
        </w:tc>
      </w:tr>
      <w:tr>
        <w:trPr>
          <w:trHeight w:val="215"/>
        </w:trPr>
        <w:tc>
          <w:tcPr>
            <w:tcW w:w="4100" w:type="dxa"/>
            <w:vAlign w:val="bottom"/>
          </w:tcPr>
          <w:p>
            <w:pPr>
              <w:ind w:left="240"/>
              <w:spacing w:after="0"/>
              <w:rPr>
                <w:sz w:val="20"/>
                <w:szCs w:val="20"/>
                <w:color w:val="auto"/>
              </w:rPr>
            </w:pPr>
            <w:r>
              <w:rPr>
                <w:rFonts w:ascii="Arial" w:cs="Arial" w:eastAsia="Arial" w:hAnsi="Arial"/>
                <w:sz w:val="17"/>
                <w:szCs w:val="17"/>
                <w:color w:val="auto"/>
              </w:rPr>
              <w:t>NGL</w:t>
            </w:r>
          </w:p>
        </w:tc>
        <w:tc>
          <w:tcPr>
            <w:tcW w:w="16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783</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113</w:t>
            </w:r>
          </w:p>
        </w:tc>
        <w:tc>
          <w:tcPr>
            <w:tcW w:w="260" w:type="dxa"/>
            <w:vAlign w:val="bottom"/>
          </w:tcPr>
          <w:p>
            <w:pPr>
              <w:spacing w:after="0"/>
              <w:rPr>
                <w:sz w:val="18"/>
                <w:szCs w:val="18"/>
                <w:color w:val="auto"/>
              </w:rPr>
            </w:pPr>
          </w:p>
        </w:tc>
        <w:tc>
          <w:tcPr>
            <w:tcW w:w="1160" w:type="dxa"/>
            <w:vAlign w:val="bottom"/>
          </w:tcPr>
          <w:p>
            <w:pPr>
              <w:ind w:left="920"/>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896</w:t>
            </w:r>
          </w:p>
        </w:tc>
        <w:tc>
          <w:tcPr>
            <w:tcW w:w="0" w:type="dxa"/>
            <w:vAlign w:val="bottom"/>
          </w:tcPr>
          <w:p>
            <w:pPr>
              <w:spacing w:after="0"/>
              <w:rPr>
                <w:sz w:val="1"/>
                <w:szCs w:val="1"/>
                <w:color w:val="auto"/>
              </w:rPr>
            </w:pPr>
          </w:p>
        </w:tc>
      </w:tr>
      <w:tr>
        <w:trPr>
          <w:trHeight w:val="227"/>
        </w:trPr>
        <w:tc>
          <w:tcPr>
            <w:tcW w:w="4100" w:type="dxa"/>
            <w:vAlign w:val="bottom"/>
          </w:tcPr>
          <w:p>
            <w:pPr>
              <w:ind w:left="240"/>
              <w:spacing w:after="0"/>
              <w:rPr>
                <w:sz w:val="20"/>
                <w:szCs w:val="20"/>
                <w:color w:val="auto"/>
              </w:rPr>
            </w:pPr>
            <w:r>
              <w:rPr>
                <w:rFonts w:ascii="Arial" w:cs="Arial" w:eastAsia="Arial" w:hAnsi="Arial"/>
                <w:sz w:val="17"/>
                <w:szCs w:val="17"/>
                <w:color w:val="auto"/>
              </w:rPr>
              <w:t>Gas</w:t>
            </w:r>
          </w:p>
        </w:tc>
        <w:tc>
          <w:tcPr>
            <w:tcW w:w="16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675</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79</w:t>
            </w:r>
          </w:p>
        </w:tc>
        <w:tc>
          <w:tcPr>
            <w:tcW w:w="260" w:type="dxa"/>
            <w:vAlign w:val="bottom"/>
          </w:tcPr>
          <w:p>
            <w:pPr>
              <w:spacing w:after="0"/>
              <w:rPr>
                <w:sz w:val="19"/>
                <w:szCs w:val="19"/>
                <w:color w:val="auto"/>
              </w:rPr>
            </w:pPr>
          </w:p>
        </w:tc>
        <w:tc>
          <w:tcPr>
            <w:tcW w:w="1160" w:type="dxa"/>
            <w:vAlign w:val="bottom"/>
          </w:tcPr>
          <w:p>
            <w:pPr>
              <w:ind w:left="920"/>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754</w:t>
            </w:r>
          </w:p>
        </w:tc>
        <w:tc>
          <w:tcPr>
            <w:tcW w:w="0" w:type="dxa"/>
            <w:vAlign w:val="bottom"/>
          </w:tcPr>
          <w:p>
            <w:pPr>
              <w:spacing w:after="0"/>
              <w:rPr>
                <w:sz w:val="1"/>
                <w:szCs w:val="1"/>
                <w:color w:val="auto"/>
              </w:rPr>
            </w:pPr>
          </w:p>
        </w:tc>
      </w:tr>
      <w:tr>
        <w:trPr>
          <w:trHeight w:val="229"/>
        </w:trPr>
        <w:tc>
          <w:tcPr>
            <w:tcW w:w="4100" w:type="dxa"/>
            <w:vAlign w:val="bottom"/>
            <w:tcBorders>
              <w:bottom w:val="single" w:sz="8" w:color="auto"/>
            </w:tcBorders>
          </w:tcPr>
          <w:p>
            <w:pPr>
              <w:ind w:left="240"/>
              <w:spacing w:after="0"/>
              <w:rPr>
                <w:sz w:val="20"/>
                <w:szCs w:val="20"/>
                <w:color w:val="auto"/>
              </w:rPr>
            </w:pPr>
            <w:r>
              <w:rPr>
                <w:rFonts w:ascii="Arial" w:cs="Arial" w:eastAsia="Arial" w:hAnsi="Arial"/>
                <w:sz w:val="17"/>
                <w:szCs w:val="17"/>
                <w:color w:val="auto"/>
              </w:rPr>
              <w:t>Other</w:t>
            </w:r>
          </w:p>
        </w:tc>
        <w:tc>
          <w:tcPr>
            <w:tcW w:w="16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ind w:left="920"/>
              <w:spacing w:after="0"/>
              <w:rPr>
                <w:sz w:val="20"/>
                <w:szCs w:val="20"/>
                <w:color w:val="auto"/>
              </w:rPr>
            </w:pPr>
            <w:r>
              <w:rPr>
                <w:rFonts w:ascii="Arial" w:cs="Arial" w:eastAsia="Arial" w:hAnsi="Arial"/>
                <w:sz w:val="17"/>
                <w:szCs w:val="17"/>
                <w:color w:val="auto"/>
              </w:rPr>
              <w:t>—</w:t>
            </w:r>
          </w:p>
        </w:tc>
        <w:tc>
          <w:tcPr>
            <w:tcW w:w="4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216"/>
        </w:trPr>
        <w:tc>
          <w:tcPr>
            <w:tcW w:w="4100" w:type="dxa"/>
            <w:vAlign w:val="bottom"/>
            <w:tcBorders>
              <w:bottom w:val="single" w:sz="8" w:color="auto"/>
            </w:tcBorders>
          </w:tcPr>
          <w:p>
            <w:pPr>
              <w:ind w:left="240"/>
              <w:spacing w:after="0"/>
              <w:rPr>
                <w:sz w:val="20"/>
                <w:szCs w:val="20"/>
                <w:color w:val="auto"/>
              </w:rPr>
            </w:pPr>
            <w:r>
              <w:rPr>
                <w:rFonts w:ascii="Arial" w:cs="Arial" w:eastAsia="Arial" w:hAnsi="Arial"/>
                <w:sz w:val="17"/>
                <w:szCs w:val="17"/>
                <w:color w:val="auto"/>
              </w:rPr>
              <w:t>Segment total</w:t>
            </w:r>
          </w:p>
        </w:tc>
        <w:tc>
          <w:tcPr>
            <w:tcW w:w="1600" w:type="dxa"/>
            <w:vAlign w:val="bottom"/>
            <w:tcBorders>
              <w:bottom w:val="single" w:sz="8" w:color="auto"/>
            </w:tcBorders>
          </w:tcPr>
          <w:p>
            <w:pPr>
              <w:jc w:val="right"/>
              <w:ind w:right="156"/>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6,357</w:t>
            </w:r>
          </w:p>
        </w:tc>
        <w:tc>
          <w:tcPr>
            <w:tcW w:w="26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1,339</w:t>
            </w:r>
          </w:p>
        </w:tc>
        <w:tc>
          <w:tcPr>
            <w:tcW w:w="26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color w:val="auto"/>
              </w:rPr>
              <w:t>$</w:t>
            </w:r>
          </w:p>
        </w:tc>
        <w:tc>
          <w:tcPr>
            <w:tcW w:w="1620" w:type="dxa"/>
            <w:vAlign w:val="bottom"/>
            <w:tcBorders>
              <w:bottom w:val="single" w:sz="8" w:color="auto"/>
            </w:tcBorders>
            <w:gridSpan w:val="2"/>
          </w:tcPr>
          <w:p>
            <w:pPr>
              <w:ind w:left="920"/>
              <w:spacing w:after="0"/>
              <w:rPr>
                <w:sz w:val="20"/>
                <w:szCs w:val="20"/>
                <w:color w:val="auto"/>
              </w:rPr>
            </w:pPr>
            <w:r>
              <w:rPr>
                <w:rFonts w:ascii="Arial" w:cs="Arial" w:eastAsia="Arial" w:hAnsi="Arial"/>
                <w:sz w:val="17"/>
                <w:szCs w:val="17"/>
                <w:color w:val="auto"/>
              </w:rPr>
              <w:t>— $</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7,696</w:t>
            </w:r>
          </w:p>
        </w:tc>
        <w:tc>
          <w:tcPr>
            <w:tcW w:w="0" w:type="dxa"/>
            <w:vAlign w:val="bottom"/>
          </w:tcPr>
          <w:p>
            <w:pPr>
              <w:spacing w:after="0"/>
              <w:rPr>
                <w:sz w:val="1"/>
                <w:szCs w:val="1"/>
                <w:color w:val="auto"/>
              </w:rPr>
            </w:pPr>
          </w:p>
        </w:tc>
      </w:tr>
      <w:tr>
        <w:trPr>
          <w:trHeight w:val="213"/>
        </w:trPr>
        <w:tc>
          <w:tcPr>
            <w:tcW w:w="410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Chemical</w:t>
            </w:r>
          </w:p>
        </w:tc>
        <w:tc>
          <w:tcPr>
            <w:tcW w:w="1600" w:type="dxa"/>
            <w:vAlign w:val="bottom"/>
            <w:tcBorders>
              <w:bottom w:val="single" w:sz="8" w:color="auto"/>
            </w:tcBorders>
          </w:tcPr>
          <w:p>
            <w:pPr>
              <w:jc w:val="right"/>
              <w:ind w:right="156"/>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1,810</w:t>
            </w:r>
          </w:p>
        </w:tc>
        <w:tc>
          <w:tcPr>
            <w:tcW w:w="26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98</w:t>
            </w:r>
          </w:p>
        </w:tc>
        <w:tc>
          <w:tcPr>
            <w:tcW w:w="26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color w:val="auto"/>
              </w:rPr>
              <w:t>$</w:t>
            </w:r>
          </w:p>
        </w:tc>
        <w:tc>
          <w:tcPr>
            <w:tcW w:w="1620" w:type="dxa"/>
            <w:vAlign w:val="bottom"/>
            <w:tcBorders>
              <w:bottom w:val="single" w:sz="8" w:color="auto"/>
            </w:tcBorders>
            <w:gridSpan w:val="2"/>
          </w:tcPr>
          <w:p>
            <w:pPr>
              <w:ind w:left="920"/>
              <w:spacing w:after="0"/>
              <w:rPr>
                <w:sz w:val="20"/>
                <w:szCs w:val="20"/>
                <w:color w:val="auto"/>
              </w:rPr>
            </w:pPr>
            <w:r>
              <w:rPr>
                <w:rFonts w:ascii="Arial" w:cs="Arial" w:eastAsia="Arial" w:hAnsi="Arial"/>
                <w:sz w:val="17"/>
                <w:szCs w:val="17"/>
                <w:color w:val="auto"/>
              </w:rPr>
              <w:t>— $</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1,908</w:t>
            </w:r>
          </w:p>
        </w:tc>
        <w:tc>
          <w:tcPr>
            <w:tcW w:w="0" w:type="dxa"/>
            <w:vAlign w:val="bottom"/>
          </w:tcPr>
          <w:p>
            <w:pPr>
              <w:spacing w:after="0"/>
              <w:rPr>
                <w:sz w:val="1"/>
                <w:szCs w:val="1"/>
                <w:color w:val="auto"/>
              </w:rPr>
            </w:pPr>
          </w:p>
        </w:tc>
      </w:tr>
      <w:tr>
        <w:trPr>
          <w:trHeight w:val="220"/>
        </w:trPr>
        <w:tc>
          <w:tcPr>
            <w:tcW w:w="410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Midstream and marketing</w:t>
            </w:r>
          </w:p>
        </w:tc>
        <w:tc>
          <w:tcPr>
            <w:tcW w:w="1600" w:type="dxa"/>
            <w:vAlign w:val="bottom"/>
            <w:tcBorders>
              <w:bottom w:val="single" w:sz="8" w:color="auto"/>
            </w:tcBorders>
          </w:tcPr>
          <w:p>
            <w:pPr>
              <w:jc w:val="right"/>
              <w:ind w:right="156"/>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903</w:t>
            </w:r>
          </w:p>
        </w:tc>
        <w:tc>
          <w:tcPr>
            <w:tcW w:w="26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247</w:t>
            </w:r>
          </w:p>
        </w:tc>
        <w:tc>
          <w:tcPr>
            <w:tcW w:w="26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color w:val="auto"/>
              </w:rPr>
              <w:t>$</w:t>
            </w:r>
          </w:p>
        </w:tc>
        <w:tc>
          <w:tcPr>
            <w:tcW w:w="1620" w:type="dxa"/>
            <w:vAlign w:val="bottom"/>
            <w:tcBorders>
              <w:bottom w:val="single" w:sz="8" w:color="auto"/>
            </w:tcBorders>
            <w:gridSpan w:val="2"/>
          </w:tcPr>
          <w:p>
            <w:pPr>
              <w:ind w:left="920"/>
              <w:spacing w:after="0"/>
              <w:rPr>
                <w:sz w:val="20"/>
                <w:szCs w:val="20"/>
                <w:color w:val="auto"/>
              </w:rPr>
            </w:pPr>
            <w:r>
              <w:rPr>
                <w:rFonts w:ascii="Arial" w:cs="Arial" w:eastAsia="Arial" w:hAnsi="Arial"/>
                <w:sz w:val="17"/>
                <w:szCs w:val="17"/>
                <w:color w:val="auto"/>
              </w:rPr>
              <w:t>— $</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1,150</w:t>
            </w:r>
          </w:p>
        </w:tc>
        <w:tc>
          <w:tcPr>
            <w:tcW w:w="0" w:type="dxa"/>
            <w:vAlign w:val="bottom"/>
          </w:tcPr>
          <w:p>
            <w:pPr>
              <w:spacing w:after="0"/>
              <w:rPr>
                <w:sz w:val="1"/>
                <w:szCs w:val="1"/>
                <w:color w:val="auto"/>
              </w:rPr>
            </w:pPr>
          </w:p>
        </w:tc>
      </w:tr>
      <w:tr>
        <w:trPr>
          <w:trHeight w:val="207"/>
        </w:trPr>
        <w:tc>
          <w:tcPr>
            <w:tcW w:w="410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Eliminations</w:t>
            </w:r>
          </w:p>
        </w:tc>
        <w:tc>
          <w:tcPr>
            <w:tcW w:w="1600" w:type="dxa"/>
            <w:vAlign w:val="bottom"/>
            <w:tcBorders>
              <w:bottom w:val="single" w:sz="8" w:color="auto"/>
            </w:tcBorders>
          </w:tcPr>
          <w:p>
            <w:pPr>
              <w:jc w:val="right"/>
              <w:ind w:right="156"/>
              <w:spacing w:after="0"/>
              <w:rPr>
                <w:sz w:val="20"/>
                <w:szCs w:val="20"/>
                <w:color w:val="auto"/>
              </w:rPr>
            </w:pPr>
            <w:r>
              <w:rPr>
                <w:rFonts w:ascii="Arial" w:cs="Arial" w:eastAsia="Arial" w:hAnsi="Arial"/>
                <w:sz w:val="17"/>
                <w:szCs w:val="17"/>
                <w:color w:val="auto"/>
              </w:rPr>
              <w:t>$</w:t>
            </w:r>
          </w:p>
        </w:tc>
        <w:tc>
          <w:tcPr>
            <w:tcW w:w="1580" w:type="dxa"/>
            <w:vAlign w:val="bottom"/>
            <w:tcBorders>
              <w:bottom w:val="single" w:sz="8" w:color="auto"/>
            </w:tcBorders>
            <w:gridSpan w:val="2"/>
          </w:tcPr>
          <w:p>
            <w:pPr>
              <w:jc w:val="right"/>
              <w:ind w:right="56"/>
              <w:spacing w:after="0"/>
              <w:rPr>
                <w:sz w:val="20"/>
                <w:szCs w:val="20"/>
                <w:color w:val="auto"/>
              </w:rPr>
            </w:pPr>
            <w:r>
              <w:rPr>
                <w:rFonts w:ascii="Arial" w:cs="Arial" w:eastAsia="Arial" w:hAnsi="Arial"/>
                <w:sz w:val="17"/>
                <w:szCs w:val="17"/>
                <w:color w:val="auto"/>
              </w:rPr>
              <w:t>— $</w:t>
            </w:r>
          </w:p>
        </w:tc>
        <w:tc>
          <w:tcPr>
            <w:tcW w:w="1420" w:type="dxa"/>
            <w:vAlign w:val="bottom"/>
            <w:tcBorders>
              <w:bottom w:val="single" w:sz="8" w:color="auto"/>
            </w:tcBorders>
            <w:gridSpan w:val="2"/>
          </w:tcPr>
          <w:p>
            <w:pPr>
              <w:jc w:val="right"/>
              <w:ind w:right="56"/>
              <w:spacing w:after="0"/>
              <w:rPr>
                <w:sz w:val="20"/>
                <w:szCs w:val="20"/>
                <w:color w:val="auto"/>
              </w:rPr>
            </w:pPr>
            <w:r>
              <w:rPr>
                <w:rFonts w:ascii="Arial" w:cs="Arial" w:eastAsia="Arial" w:hAnsi="Arial"/>
                <w:sz w:val="17"/>
                <w:szCs w:val="17"/>
                <w:color w:val="auto"/>
              </w:rPr>
              <w:t>— $</w:t>
            </w:r>
          </w:p>
        </w:tc>
        <w:tc>
          <w:tcPr>
            <w:tcW w:w="1160" w:type="dxa"/>
            <w:vAlign w:val="bottom"/>
            <w:tcBorders>
              <w:bottom w:val="single" w:sz="8" w:color="auto"/>
            </w:tcBorders>
          </w:tcPr>
          <w:p>
            <w:pPr>
              <w:ind w:left="740"/>
              <w:spacing w:after="0"/>
              <w:rPr>
                <w:sz w:val="20"/>
                <w:szCs w:val="20"/>
                <w:color w:val="auto"/>
              </w:rPr>
            </w:pPr>
            <w:r>
              <w:rPr>
                <w:rFonts w:ascii="Arial" w:cs="Arial" w:eastAsia="Arial" w:hAnsi="Arial"/>
                <w:sz w:val="17"/>
                <w:szCs w:val="17"/>
                <w:color w:val="auto"/>
              </w:rPr>
              <w:t>(403)</w:t>
            </w:r>
          </w:p>
        </w:tc>
        <w:tc>
          <w:tcPr>
            <w:tcW w:w="460" w:type="dxa"/>
            <w:vAlign w:val="bottom"/>
            <w:tcBorders>
              <w:bottom w:val="single" w:sz="8" w:color="auto"/>
            </w:tcBorders>
          </w:tcPr>
          <w:p>
            <w:pPr>
              <w:jc w:val="right"/>
              <w:ind w:right="256"/>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tcPr>
          <w:p>
            <w:pPr>
              <w:ind w:left="500"/>
              <w:spacing w:after="0"/>
              <w:rPr>
                <w:sz w:val="20"/>
                <w:szCs w:val="20"/>
                <w:color w:val="auto"/>
              </w:rPr>
            </w:pPr>
            <w:r>
              <w:rPr>
                <w:rFonts w:ascii="Arial" w:cs="Arial" w:eastAsia="Arial" w:hAnsi="Arial"/>
                <w:sz w:val="17"/>
                <w:szCs w:val="17"/>
                <w:color w:val="auto"/>
              </w:rPr>
              <w:t>(403)</w:t>
            </w:r>
          </w:p>
        </w:tc>
        <w:tc>
          <w:tcPr>
            <w:tcW w:w="0" w:type="dxa"/>
            <w:vAlign w:val="bottom"/>
          </w:tcPr>
          <w:p>
            <w:pPr>
              <w:spacing w:after="0"/>
              <w:rPr>
                <w:sz w:val="1"/>
                <w:szCs w:val="1"/>
                <w:color w:val="auto"/>
              </w:rPr>
            </w:pPr>
          </w:p>
        </w:tc>
      </w:tr>
      <w:tr>
        <w:trPr>
          <w:trHeight w:val="220"/>
        </w:trPr>
        <w:tc>
          <w:tcPr>
            <w:tcW w:w="410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Consolidated</w:t>
            </w:r>
          </w:p>
        </w:tc>
        <w:tc>
          <w:tcPr>
            <w:tcW w:w="1600" w:type="dxa"/>
            <w:vAlign w:val="bottom"/>
            <w:tcBorders>
              <w:bottom w:val="single" w:sz="8" w:color="auto"/>
            </w:tcBorders>
          </w:tcPr>
          <w:p>
            <w:pPr>
              <w:jc w:val="right"/>
              <w:ind w:right="156"/>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9,070</w:t>
            </w:r>
          </w:p>
        </w:tc>
        <w:tc>
          <w:tcPr>
            <w:tcW w:w="26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1,684</w:t>
            </w:r>
          </w:p>
        </w:tc>
        <w:tc>
          <w:tcPr>
            <w:tcW w:w="26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tcPr>
          <w:p>
            <w:pPr>
              <w:ind w:left="740"/>
              <w:spacing w:after="0"/>
              <w:rPr>
                <w:sz w:val="20"/>
                <w:szCs w:val="20"/>
                <w:color w:val="auto"/>
              </w:rPr>
            </w:pPr>
            <w:r>
              <w:rPr>
                <w:rFonts w:ascii="Arial" w:cs="Arial" w:eastAsia="Arial" w:hAnsi="Arial"/>
                <w:sz w:val="17"/>
                <w:szCs w:val="17"/>
                <w:color w:val="auto"/>
              </w:rPr>
              <w:t>(403)</w:t>
            </w:r>
          </w:p>
        </w:tc>
        <w:tc>
          <w:tcPr>
            <w:tcW w:w="460" w:type="dxa"/>
            <w:vAlign w:val="bottom"/>
            <w:tcBorders>
              <w:bottom w:val="single" w:sz="8" w:color="auto"/>
            </w:tcBorders>
          </w:tcPr>
          <w:p>
            <w:pPr>
              <w:jc w:val="right"/>
              <w:ind w:right="256"/>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10,351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715962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25"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40"/>
        </w:trPr>
        <w:tc>
          <w:tcPr>
            <w:tcW w:w="40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7"/>
                <w:szCs w:val="17"/>
                <w:i w:val="1"/>
                <w:iCs w:val="1"/>
                <w:color w:val="auto"/>
              </w:rPr>
              <w:t>millions</w:t>
            </w:r>
          </w:p>
        </w:tc>
        <w:tc>
          <w:tcPr>
            <w:tcW w:w="1700" w:type="dxa"/>
            <w:vAlign w:val="bottom"/>
            <w:tcBorders>
              <w:top w:val="single" w:sz="8" w:color="auto"/>
              <w:bottom w:val="single" w:sz="8" w:color="auto"/>
            </w:tcBorders>
          </w:tcPr>
          <w:p>
            <w:pPr>
              <w:spacing w:after="0"/>
              <w:rPr>
                <w:sz w:val="20"/>
                <w:szCs w:val="20"/>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United States</w:t>
            </w:r>
          </w:p>
        </w:tc>
        <w:tc>
          <w:tcPr>
            <w:tcW w:w="26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International</w:t>
            </w:r>
          </w:p>
        </w:tc>
        <w:tc>
          <w:tcPr>
            <w:tcW w:w="26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7"/>
                <w:szCs w:val="17"/>
                <w:b w:val="1"/>
                <w:bCs w:val="1"/>
                <w:color w:val="auto"/>
                <w:w w:val="98"/>
              </w:rPr>
              <w:t>Eliminations</w:t>
            </w:r>
          </w:p>
        </w:tc>
        <w:tc>
          <w:tcPr>
            <w:tcW w:w="46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247"/>
        </w:trPr>
        <w:tc>
          <w:tcPr>
            <w:tcW w:w="4000" w:type="dxa"/>
            <w:vAlign w:val="bottom"/>
          </w:tcPr>
          <w:p>
            <w:pPr>
              <w:ind w:left="20"/>
              <w:spacing w:after="0"/>
              <w:rPr>
                <w:sz w:val="20"/>
                <w:szCs w:val="20"/>
                <w:color w:val="auto"/>
              </w:rPr>
            </w:pPr>
            <w:r>
              <w:rPr>
                <w:rFonts w:ascii="Arial" w:cs="Arial" w:eastAsia="Arial" w:hAnsi="Arial"/>
                <w:sz w:val="17"/>
                <w:szCs w:val="17"/>
                <w:b w:val="1"/>
                <w:bCs w:val="1"/>
                <w:color w:val="00539B"/>
              </w:rPr>
              <w:t>Six months ended June 30, 2023</w:t>
            </w:r>
          </w:p>
        </w:tc>
        <w:tc>
          <w:tcPr>
            <w:tcW w:w="17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4000" w:type="dxa"/>
            <w:vAlign w:val="bottom"/>
          </w:tcPr>
          <w:p>
            <w:pPr>
              <w:ind w:left="40"/>
              <w:spacing w:after="0"/>
              <w:rPr>
                <w:sz w:val="20"/>
                <w:szCs w:val="20"/>
                <w:color w:val="auto"/>
              </w:rPr>
            </w:pPr>
            <w:r>
              <w:rPr>
                <w:rFonts w:ascii="Arial" w:cs="Arial" w:eastAsia="Arial" w:hAnsi="Arial"/>
                <w:sz w:val="17"/>
                <w:szCs w:val="17"/>
                <w:b w:val="1"/>
                <w:bCs w:val="1"/>
                <w:color w:val="auto"/>
              </w:rPr>
              <w:t>Oil and gas</w:t>
            </w:r>
          </w:p>
        </w:tc>
        <w:tc>
          <w:tcPr>
            <w:tcW w:w="1700" w:type="dxa"/>
            <w:vAlign w:val="bottom"/>
            <w:vMerge w:val="restart"/>
          </w:tcPr>
          <w:p>
            <w:pPr>
              <w:jc w:val="right"/>
              <w:ind w:right="156"/>
              <w:spacing w:after="0"/>
              <w:rPr>
                <w:sz w:val="20"/>
                <w:szCs w:val="20"/>
                <w:color w:val="auto"/>
              </w:rPr>
            </w:pPr>
            <w:r>
              <w:rPr>
                <w:rFonts w:ascii="Arial" w:cs="Arial" w:eastAsia="Arial" w:hAnsi="Arial"/>
                <w:sz w:val="17"/>
                <w:szCs w:val="17"/>
                <w:b w:val="1"/>
                <w:bCs w:val="1"/>
                <w:color w:val="00539B"/>
              </w:rPr>
              <w:t>$</w:t>
            </w:r>
          </w:p>
        </w:tc>
        <w:tc>
          <w:tcPr>
            <w:tcW w:w="1320" w:type="dxa"/>
            <w:vAlign w:val="bottom"/>
            <w:vMerge w:val="restart"/>
          </w:tcPr>
          <w:p>
            <w:pPr>
              <w:jc w:val="right"/>
              <w:spacing w:after="0"/>
              <w:rPr>
                <w:sz w:val="20"/>
                <w:szCs w:val="20"/>
                <w:color w:val="auto"/>
              </w:rPr>
            </w:pPr>
            <w:r>
              <w:rPr>
                <w:rFonts w:ascii="Arial" w:cs="Arial" w:eastAsia="Arial" w:hAnsi="Arial"/>
                <w:sz w:val="17"/>
                <w:szCs w:val="17"/>
                <w:b w:val="1"/>
                <w:bCs w:val="1"/>
                <w:color w:val="00539B"/>
              </w:rPr>
              <w:t>7,096</w:t>
            </w:r>
          </w:p>
        </w:tc>
        <w:tc>
          <w:tcPr>
            <w:tcW w:w="260" w:type="dxa"/>
            <w:vAlign w:val="bottom"/>
            <w:vMerge w:val="restart"/>
          </w:tcPr>
          <w:p>
            <w:pPr>
              <w:jc w:val="right"/>
              <w:ind w:right="56"/>
              <w:spacing w:after="0"/>
              <w:rPr>
                <w:sz w:val="20"/>
                <w:szCs w:val="20"/>
                <w:color w:val="auto"/>
              </w:rPr>
            </w:pPr>
            <w:r>
              <w:rPr>
                <w:rFonts w:ascii="Arial" w:cs="Arial" w:eastAsia="Arial" w:hAnsi="Arial"/>
                <w:sz w:val="17"/>
                <w:szCs w:val="17"/>
                <w:b w:val="1"/>
                <w:bCs w:val="1"/>
                <w:color w:val="00539B"/>
              </w:rPr>
              <w:t>$</w:t>
            </w:r>
          </w:p>
        </w:tc>
        <w:tc>
          <w:tcPr>
            <w:tcW w:w="1160" w:type="dxa"/>
            <w:vAlign w:val="bottom"/>
            <w:vMerge w:val="restart"/>
          </w:tcPr>
          <w:p>
            <w:pPr>
              <w:jc w:val="right"/>
              <w:spacing w:after="0"/>
              <w:rPr>
                <w:sz w:val="20"/>
                <w:szCs w:val="20"/>
                <w:color w:val="auto"/>
              </w:rPr>
            </w:pPr>
            <w:r>
              <w:rPr>
                <w:rFonts w:ascii="Arial" w:cs="Arial" w:eastAsia="Arial" w:hAnsi="Arial"/>
                <w:sz w:val="17"/>
                <w:szCs w:val="17"/>
                <w:b w:val="1"/>
                <w:bCs w:val="1"/>
                <w:color w:val="00539B"/>
              </w:rPr>
              <w:t>1,513</w:t>
            </w:r>
          </w:p>
        </w:tc>
        <w:tc>
          <w:tcPr>
            <w:tcW w:w="260" w:type="dxa"/>
            <w:vAlign w:val="bottom"/>
            <w:vMerge w:val="restart"/>
          </w:tcPr>
          <w:p>
            <w:pPr>
              <w:jc w:val="right"/>
              <w:ind w:right="56"/>
              <w:spacing w:after="0"/>
              <w:rPr>
                <w:sz w:val="20"/>
                <w:szCs w:val="20"/>
                <w:color w:val="auto"/>
              </w:rPr>
            </w:pPr>
            <w:r>
              <w:rPr>
                <w:rFonts w:ascii="Arial" w:cs="Arial" w:eastAsia="Arial" w:hAnsi="Arial"/>
                <w:sz w:val="17"/>
                <w:szCs w:val="17"/>
                <w:b w:val="1"/>
                <w:bCs w:val="1"/>
                <w:color w:val="00539B"/>
              </w:rPr>
              <w:t>$</w:t>
            </w:r>
          </w:p>
        </w:tc>
        <w:tc>
          <w:tcPr>
            <w:tcW w:w="1620" w:type="dxa"/>
            <w:vAlign w:val="bottom"/>
            <w:gridSpan w:val="2"/>
            <w:vMerge w:val="restart"/>
          </w:tcPr>
          <w:p>
            <w:pPr>
              <w:ind w:left="920"/>
              <w:spacing w:after="0"/>
              <w:rPr>
                <w:sz w:val="20"/>
                <w:szCs w:val="20"/>
                <w:color w:val="auto"/>
              </w:rPr>
            </w:pPr>
            <w:r>
              <w:rPr>
                <w:rFonts w:ascii="Arial" w:cs="Arial" w:eastAsia="Arial" w:hAnsi="Arial"/>
                <w:sz w:val="17"/>
                <w:szCs w:val="17"/>
                <w:b w:val="1"/>
                <w:bCs w:val="1"/>
                <w:color w:val="00539B"/>
              </w:rPr>
              <w:t>— $</w:t>
            </w:r>
          </w:p>
        </w:tc>
        <w:tc>
          <w:tcPr>
            <w:tcW w:w="920" w:type="dxa"/>
            <w:vAlign w:val="bottom"/>
            <w:vMerge w:val="restart"/>
          </w:tcPr>
          <w:p>
            <w:pPr>
              <w:jc w:val="right"/>
              <w:spacing w:after="0"/>
              <w:rPr>
                <w:sz w:val="20"/>
                <w:szCs w:val="20"/>
                <w:color w:val="auto"/>
              </w:rPr>
            </w:pPr>
            <w:r>
              <w:rPr>
                <w:rFonts w:ascii="Arial" w:cs="Arial" w:eastAsia="Arial" w:hAnsi="Arial"/>
                <w:sz w:val="17"/>
                <w:szCs w:val="17"/>
                <w:b w:val="1"/>
                <w:bCs w:val="1"/>
                <w:color w:val="00539B"/>
              </w:rPr>
              <w:t>8,609</w:t>
            </w:r>
          </w:p>
        </w:tc>
        <w:tc>
          <w:tcPr>
            <w:tcW w:w="0" w:type="dxa"/>
            <w:vAlign w:val="bottom"/>
          </w:tcPr>
          <w:p>
            <w:pPr>
              <w:spacing w:after="0"/>
              <w:rPr>
                <w:sz w:val="1"/>
                <w:szCs w:val="1"/>
                <w:color w:val="auto"/>
              </w:rPr>
            </w:pPr>
          </w:p>
        </w:tc>
      </w:tr>
      <w:tr>
        <w:trPr>
          <w:trHeight w:val="219"/>
        </w:trPr>
        <w:tc>
          <w:tcPr>
            <w:tcW w:w="4000" w:type="dxa"/>
            <w:vAlign w:val="bottom"/>
          </w:tcPr>
          <w:p>
            <w:pPr>
              <w:ind w:left="260"/>
              <w:spacing w:after="0"/>
              <w:rPr>
                <w:sz w:val="20"/>
                <w:szCs w:val="20"/>
                <w:color w:val="auto"/>
              </w:rPr>
            </w:pPr>
            <w:r>
              <w:rPr>
                <w:rFonts w:ascii="Arial" w:cs="Arial" w:eastAsia="Arial" w:hAnsi="Arial"/>
                <w:sz w:val="17"/>
                <w:szCs w:val="17"/>
                <w:color w:val="auto"/>
              </w:rPr>
              <w:t>Oil</w:t>
            </w:r>
          </w:p>
        </w:tc>
        <w:tc>
          <w:tcPr>
            <w:tcW w:w="1700" w:type="dxa"/>
            <w:vAlign w:val="bottom"/>
            <w:vMerge w:val="continue"/>
          </w:tcPr>
          <w:p>
            <w:pPr>
              <w:spacing w:after="0"/>
              <w:rPr>
                <w:sz w:val="19"/>
                <w:szCs w:val="19"/>
                <w:color w:val="auto"/>
              </w:rPr>
            </w:pPr>
          </w:p>
        </w:tc>
        <w:tc>
          <w:tcPr>
            <w:tcW w:w="1320" w:type="dxa"/>
            <w:vAlign w:val="bottom"/>
            <w:vMerge w:val="continue"/>
          </w:tcPr>
          <w:p>
            <w:pPr>
              <w:spacing w:after="0"/>
              <w:rPr>
                <w:sz w:val="19"/>
                <w:szCs w:val="19"/>
                <w:color w:val="auto"/>
              </w:rPr>
            </w:pPr>
          </w:p>
        </w:tc>
        <w:tc>
          <w:tcPr>
            <w:tcW w:w="260" w:type="dxa"/>
            <w:vAlign w:val="bottom"/>
            <w:vMerge w:val="continue"/>
          </w:tcPr>
          <w:p>
            <w:pPr>
              <w:spacing w:after="0"/>
              <w:rPr>
                <w:sz w:val="19"/>
                <w:szCs w:val="19"/>
                <w:color w:val="auto"/>
              </w:rPr>
            </w:pPr>
          </w:p>
        </w:tc>
        <w:tc>
          <w:tcPr>
            <w:tcW w:w="1160" w:type="dxa"/>
            <w:vAlign w:val="bottom"/>
            <w:vMerge w:val="continue"/>
          </w:tcPr>
          <w:p>
            <w:pPr>
              <w:spacing w:after="0"/>
              <w:rPr>
                <w:sz w:val="19"/>
                <w:szCs w:val="19"/>
                <w:color w:val="auto"/>
              </w:rPr>
            </w:pPr>
          </w:p>
        </w:tc>
        <w:tc>
          <w:tcPr>
            <w:tcW w:w="260" w:type="dxa"/>
            <w:vAlign w:val="bottom"/>
            <w:vMerge w:val="continue"/>
          </w:tcPr>
          <w:p>
            <w:pPr>
              <w:spacing w:after="0"/>
              <w:rPr>
                <w:sz w:val="19"/>
                <w:szCs w:val="19"/>
                <w:color w:val="auto"/>
              </w:rPr>
            </w:pPr>
          </w:p>
        </w:tc>
        <w:tc>
          <w:tcPr>
            <w:tcW w:w="1620" w:type="dxa"/>
            <w:vAlign w:val="bottom"/>
            <w:gridSpan w:val="2"/>
            <w:vMerge w:val="continue"/>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000" w:type="dxa"/>
            <w:vAlign w:val="bottom"/>
          </w:tcPr>
          <w:p>
            <w:pPr>
              <w:ind w:left="260"/>
              <w:spacing w:after="0"/>
              <w:rPr>
                <w:sz w:val="20"/>
                <w:szCs w:val="20"/>
                <w:color w:val="auto"/>
              </w:rPr>
            </w:pPr>
            <w:r>
              <w:rPr>
                <w:rFonts w:ascii="Arial" w:cs="Arial" w:eastAsia="Arial" w:hAnsi="Arial"/>
                <w:sz w:val="17"/>
                <w:szCs w:val="17"/>
                <w:color w:val="auto"/>
              </w:rPr>
              <w:t>NGL</w:t>
            </w:r>
          </w:p>
        </w:tc>
        <w:tc>
          <w:tcPr>
            <w:tcW w:w="17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b w:val="1"/>
                <w:bCs w:val="1"/>
                <w:color w:val="00539B"/>
              </w:rPr>
              <w:t>812</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b w:val="1"/>
                <w:bCs w:val="1"/>
                <w:color w:val="00539B"/>
              </w:rPr>
              <w:t>175</w:t>
            </w:r>
          </w:p>
        </w:tc>
        <w:tc>
          <w:tcPr>
            <w:tcW w:w="260" w:type="dxa"/>
            <w:vAlign w:val="bottom"/>
          </w:tcPr>
          <w:p>
            <w:pPr>
              <w:spacing w:after="0"/>
              <w:rPr>
                <w:sz w:val="19"/>
                <w:szCs w:val="19"/>
                <w:color w:val="auto"/>
              </w:rPr>
            </w:pPr>
          </w:p>
        </w:tc>
        <w:tc>
          <w:tcPr>
            <w:tcW w:w="1160" w:type="dxa"/>
            <w:vAlign w:val="bottom"/>
          </w:tcPr>
          <w:p>
            <w:pPr>
              <w:ind w:left="920"/>
              <w:spacing w:after="0"/>
              <w:rPr>
                <w:sz w:val="20"/>
                <w:szCs w:val="20"/>
                <w:color w:val="auto"/>
              </w:rPr>
            </w:pPr>
            <w:r>
              <w:rPr>
                <w:rFonts w:ascii="Arial" w:cs="Arial" w:eastAsia="Arial" w:hAnsi="Arial"/>
                <w:sz w:val="17"/>
                <w:szCs w:val="17"/>
                <w:b w:val="1"/>
                <w:bCs w:val="1"/>
                <w:color w:val="00539B"/>
              </w:rPr>
              <w:t>—</w:t>
            </w: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b w:val="1"/>
                <w:bCs w:val="1"/>
                <w:color w:val="00539B"/>
              </w:rPr>
              <w:t>987</w:t>
            </w:r>
          </w:p>
        </w:tc>
        <w:tc>
          <w:tcPr>
            <w:tcW w:w="0" w:type="dxa"/>
            <w:vAlign w:val="bottom"/>
          </w:tcPr>
          <w:p>
            <w:pPr>
              <w:spacing w:after="0"/>
              <w:rPr>
                <w:sz w:val="1"/>
                <w:szCs w:val="1"/>
                <w:color w:val="auto"/>
              </w:rPr>
            </w:pPr>
          </w:p>
        </w:tc>
      </w:tr>
      <w:tr>
        <w:trPr>
          <w:trHeight w:val="213"/>
        </w:trPr>
        <w:tc>
          <w:tcPr>
            <w:tcW w:w="4000" w:type="dxa"/>
            <w:vAlign w:val="bottom"/>
          </w:tcPr>
          <w:p>
            <w:pPr>
              <w:ind w:left="260"/>
              <w:spacing w:after="0"/>
              <w:rPr>
                <w:sz w:val="20"/>
                <w:szCs w:val="20"/>
                <w:color w:val="auto"/>
              </w:rPr>
            </w:pPr>
            <w:r>
              <w:rPr>
                <w:rFonts w:ascii="Arial" w:cs="Arial" w:eastAsia="Arial" w:hAnsi="Arial"/>
                <w:sz w:val="17"/>
                <w:szCs w:val="17"/>
                <w:color w:val="auto"/>
              </w:rPr>
              <w:t>Gas</w:t>
            </w:r>
          </w:p>
        </w:tc>
        <w:tc>
          <w:tcPr>
            <w:tcW w:w="17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b w:val="1"/>
                <w:bCs w:val="1"/>
                <w:color w:val="00539B"/>
              </w:rPr>
              <w:t>516</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b w:val="1"/>
                <w:bCs w:val="1"/>
                <w:color w:val="00539B"/>
              </w:rPr>
              <w:t>159</w:t>
            </w:r>
          </w:p>
        </w:tc>
        <w:tc>
          <w:tcPr>
            <w:tcW w:w="260" w:type="dxa"/>
            <w:vAlign w:val="bottom"/>
          </w:tcPr>
          <w:p>
            <w:pPr>
              <w:spacing w:after="0"/>
              <w:rPr>
                <w:sz w:val="18"/>
                <w:szCs w:val="18"/>
                <w:color w:val="auto"/>
              </w:rPr>
            </w:pPr>
          </w:p>
        </w:tc>
        <w:tc>
          <w:tcPr>
            <w:tcW w:w="1160" w:type="dxa"/>
            <w:vAlign w:val="bottom"/>
          </w:tcPr>
          <w:p>
            <w:pPr>
              <w:ind w:left="920"/>
              <w:spacing w:after="0"/>
              <w:rPr>
                <w:sz w:val="20"/>
                <w:szCs w:val="20"/>
                <w:color w:val="auto"/>
              </w:rPr>
            </w:pPr>
            <w:r>
              <w:rPr>
                <w:rFonts w:ascii="Arial" w:cs="Arial" w:eastAsia="Arial" w:hAnsi="Arial"/>
                <w:sz w:val="17"/>
                <w:szCs w:val="17"/>
                <w:b w:val="1"/>
                <w:bCs w:val="1"/>
                <w:color w:val="00539B"/>
              </w:rPr>
              <w:t>—</w:t>
            </w:r>
          </w:p>
        </w:tc>
        <w:tc>
          <w:tcPr>
            <w:tcW w:w="4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b w:val="1"/>
                <w:bCs w:val="1"/>
                <w:color w:val="00539B"/>
              </w:rPr>
              <w:t>675</w:t>
            </w:r>
          </w:p>
        </w:tc>
        <w:tc>
          <w:tcPr>
            <w:tcW w:w="0" w:type="dxa"/>
            <w:vAlign w:val="bottom"/>
          </w:tcPr>
          <w:p>
            <w:pPr>
              <w:spacing w:after="0"/>
              <w:rPr>
                <w:sz w:val="1"/>
                <w:szCs w:val="1"/>
                <w:color w:val="auto"/>
              </w:rPr>
            </w:pPr>
          </w:p>
        </w:tc>
      </w:tr>
      <w:tr>
        <w:trPr>
          <w:trHeight w:val="237"/>
        </w:trPr>
        <w:tc>
          <w:tcPr>
            <w:tcW w:w="4000" w:type="dxa"/>
            <w:vAlign w:val="bottom"/>
            <w:tcBorders>
              <w:bottom w:val="single" w:sz="8" w:color="auto"/>
            </w:tcBorders>
          </w:tcPr>
          <w:p>
            <w:pPr>
              <w:ind w:left="260"/>
              <w:spacing w:after="0"/>
              <w:rPr>
                <w:sz w:val="20"/>
                <w:szCs w:val="20"/>
                <w:color w:val="auto"/>
              </w:rPr>
            </w:pPr>
            <w:r>
              <w:rPr>
                <w:rFonts w:ascii="Arial" w:cs="Arial" w:eastAsia="Arial" w:hAnsi="Arial"/>
                <w:sz w:val="17"/>
                <w:szCs w:val="17"/>
                <w:color w:val="auto"/>
              </w:rPr>
              <w:t>Other</w:t>
            </w:r>
          </w:p>
        </w:tc>
        <w:tc>
          <w:tcPr>
            <w:tcW w:w="17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(6)</w:t>
            </w:r>
          </w:p>
        </w:tc>
        <w:tc>
          <w:tcPr>
            <w:tcW w:w="2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1</w:t>
            </w:r>
          </w:p>
        </w:tc>
        <w:tc>
          <w:tcPr>
            <w:tcW w:w="2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ind w:left="920"/>
              <w:spacing w:after="0"/>
              <w:rPr>
                <w:sz w:val="20"/>
                <w:szCs w:val="20"/>
                <w:color w:val="auto"/>
              </w:rPr>
            </w:pPr>
            <w:r>
              <w:rPr>
                <w:rFonts w:ascii="Arial" w:cs="Arial" w:eastAsia="Arial" w:hAnsi="Arial"/>
                <w:sz w:val="17"/>
                <w:szCs w:val="17"/>
                <w:b w:val="1"/>
                <w:bCs w:val="1"/>
                <w:color w:val="00539B"/>
              </w:rPr>
              <w:t>—</w:t>
            </w:r>
          </w:p>
        </w:tc>
        <w:tc>
          <w:tcPr>
            <w:tcW w:w="4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(5)</w:t>
            </w:r>
          </w:p>
        </w:tc>
        <w:tc>
          <w:tcPr>
            <w:tcW w:w="0" w:type="dxa"/>
            <w:vAlign w:val="bottom"/>
          </w:tcPr>
          <w:p>
            <w:pPr>
              <w:spacing w:after="0"/>
              <w:rPr>
                <w:sz w:val="1"/>
                <w:szCs w:val="1"/>
                <w:color w:val="auto"/>
              </w:rPr>
            </w:pPr>
          </w:p>
        </w:tc>
      </w:tr>
      <w:tr>
        <w:trPr>
          <w:trHeight w:val="223"/>
        </w:trPr>
        <w:tc>
          <w:tcPr>
            <w:tcW w:w="4000" w:type="dxa"/>
            <w:vAlign w:val="bottom"/>
            <w:tcBorders>
              <w:bottom w:val="single" w:sz="8" w:color="auto"/>
            </w:tcBorders>
          </w:tcPr>
          <w:p>
            <w:pPr>
              <w:ind w:left="260"/>
              <w:spacing w:after="0"/>
              <w:rPr>
                <w:sz w:val="20"/>
                <w:szCs w:val="20"/>
                <w:color w:val="auto"/>
              </w:rPr>
            </w:pPr>
            <w:r>
              <w:rPr>
                <w:rFonts w:ascii="Arial" w:cs="Arial" w:eastAsia="Arial" w:hAnsi="Arial"/>
                <w:sz w:val="17"/>
                <w:szCs w:val="17"/>
                <w:color w:val="auto"/>
              </w:rPr>
              <w:t>Segment total</w:t>
            </w:r>
          </w:p>
        </w:tc>
        <w:tc>
          <w:tcPr>
            <w:tcW w:w="1700" w:type="dxa"/>
            <w:vAlign w:val="bottom"/>
            <w:tcBorders>
              <w:bottom w:val="single" w:sz="8" w:color="auto"/>
            </w:tcBorders>
          </w:tcPr>
          <w:p>
            <w:pPr>
              <w:jc w:val="right"/>
              <w:ind w:right="156"/>
              <w:spacing w:after="0"/>
              <w:rPr>
                <w:sz w:val="20"/>
                <w:szCs w:val="20"/>
                <w:color w:val="auto"/>
              </w:rPr>
            </w:pPr>
            <w:r>
              <w:rPr>
                <w:rFonts w:ascii="Arial" w:cs="Arial" w:eastAsia="Arial" w:hAnsi="Arial"/>
                <w:sz w:val="17"/>
                <w:szCs w:val="17"/>
                <w:b w:val="1"/>
                <w:bCs w:val="1"/>
                <w:color w:val="00539B"/>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8,418</w:t>
            </w:r>
          </w:p>
        </w:tc>
        <w:tc>
          <w:tcPr>
            <w:tcW w:w="26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b w:val="1"/>
                <w:bCs w:val="1"/>
                <w:color w:val="00539B"/>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1,848</w:t>
            </w:r>
          </w:p>
        </w:tc>
        <w:tc>
          <w:tcPr>
            <w:tcW w:w="26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b w:val="1"/>
                <w:bCs w:val="1"/>
                <w:color w:val="00539B"/>
              </w:rPr>
              <w:t>$</w:t>
            </w:r>
          </w:p>
        </w:tc>
        <w:tc>
          <w:tcPr>
            <w:tcW w:w="1620" w:type="dxa"/>
            <w:vAlign w:val="bottom"/>
            <w:tcBorders>
              <w:bottom w:val="single" w:sz="8" w:color="auto"/>
            </w:tcBorders>
            <w:gridSpan w:val="2"/>
          </w:tcPr>
          <w:p>
            <w:pPr>
              <w:ind w:left="920"/>
              <w:spacing w:after="0"/>
              <w:rPr>
                <w:sz w:val="20"/>
                <w:szCs w:val="20"/>
                <w:color w:val="auto"/>
              </w:rPr>
            </w:pPr>
            <w:r>
              <w:rPr>
                <w:rFonts w:ascii="Arial" w:cs="Arial" w:eastAsia="Arial" w:hAnsi="Arial"/>
                <w:sz w:val="17"/>
                <w:szCs w:val="17"/>
                <w:b w:val="1"/>
                <w:bCs w:val="1"/>
                <w:color w:val="00539B"/>
              </w:rPr>
              <w:t>— $</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10,266</w:t>
            </w:r>
          </w:p>
        </w:tc>
        <w:tc>
          <w:tcPr>
            <w:tcW w:w="0" w:type="dxa"/>
            <w:vAlign w:val="bottom"/>
          </w:tcPr>
          <w:p>
            <w:pPr>
              <w:spacing w:after="0"/>
              <w:rPr>
                <w:sz w:val="1"/>
                <w:szCs w:val="1"/>
                <w:color w:val="auto"/>
              </w:rPr>
            </w:pPr>
          </w:p>
        </w:tc>
      </w:tr>
      <w:tr>
        <w:trPr>
          <w:trHeight w:val="207"/>
        </w:trPr>
        <w:tc>
          <w:tcPr>
            <w:tcW w:w="400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Chemical</w:t>
            </w:r>
          </w:p>
        </w:tc>
        <w:tc>
          <w:tcPr>
            <w:tcW w:w="1700" w:type="dxa"/>
            <w:vAlign w:val="bottom"/>
            <w:tcBorders>
              <w:bottom w:val="single" w:sz="8" w:color="auto"/>
            </w:tcBorders>
          </w:tcPr>
          <w:p>
            <w:pPr>
              <w:jc w:val="right"/>
              <w:ind w:right="156"/>
              <w:spacing w:after="0"/>
              <w:rPr>
                <w:sz w:val="20"/>
                <w:szCs w:val="20"/>
                <w:color w:val="auto"/>
              </w:rPr>
            </w:pPr>
            <w:r>
              <w:rPr>
                <w:rFonts w:ascii="Arial" w:cs="Arial" w:eastAsia="Arial" w:hAnsi="Arial"/>
                <w:sz w:val="17"/>
                <w:szCs w:val="17"/>
                <w:b w:val="1"/>
                <w:bCs w:val="1"/>
                <w:color w:val="00539B"/>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2,600</w:t>
            </w:r>
          </w:p>
        </w:tc>
        <w:tc>
          <w:tcPr>
            <w:tcW w:w="26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b w:val="1"/>
                <w:bCs w:val="1"/>
                <w:color w:val="00539B"/>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176</w:t>
            </w:r>
          </w:p>
        </w:tc>
        <w:tc>
          <w:tcPr>
            <w:tcW w:w="26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b w:val="1"/>
                <w:bCs w:val="1"/>
                <w:color w:val="00539B"/>
              </w:rPr>
              <w:t>$</w:t>
            </w:r>
          </w:p>
        </w:tc>
        <w:tc>
          <w:tcPr>
            <w:tcW w:w="1620" w:type="dxa"/>
            <w:vAlign w:val="bottom"/>
            <w:tcBorders>
              <w:bottom w:val="single" w:sz="8" w:color="auto"/>
            </w:tcBorders>
            <w:gridSpan w:val="2"/>
          </w:tcPr>
          <w:p>
            <w:pPr>
              <w:ind w:left="920"/>
              <w:spacing w:after="0"/>
              <w:rPr>
                <w:sz w:val="20"/>
                <w:szCs w:val="20"/>
                <w:color w:val="auto"/>
              </w:rPr>
            </w:pPr>
            <w:r>
              <w:rPr>
                <w:rFonts w:ascii="Arial" w:cs="Arial" w:eastAsia="Arial" w:hAnsi="Arial"/>
                <w:sz w:val="17"/>
                <w:szCs w:val="17"/>
                <w:b w:val="1"/>
                <w:bCs w:val="1"/>
                <w:color w:val="00539B"/>
              </w:rPr>
              <w:t>— $</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2,776</w:t>
            </w:r>
          </w:p>
        </w:tc>
        <w:tc>
          <w:tcPr>
            <w:tcW w:w="0" w:type="dxa"/>
            <w:vAlign w:val="bottom"/>
          </w:tcPr>
          <w:p>
            <w:pPr>
              <w:spacing w:after="0"/>
              <w:rPr>
                <w:sz w:val="1"/>
                <w:szCs w:val="1"/>
                <w:color w:val="auto"/>
              </w:rPr>
            </w:pPr>
          </w:p>
        </w:tc>
      </w:tr>
      <w:tr>
        <w:trPr>
          <w:trHeight w:val="220"/>
        </w:trPr>
        <w:tc>
          <w:tcPr>
            <w:tcW w:w="400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Midstream and marketing</w:t>
            </w:r>
          </w:p>
        </w:tc>
        <w:tc>
          <w:tcPr>
            <w:tcW w:w="1700" w:type="dxa"/>
            <w:vAlign w:val="bottom"/>
            <w:tcBorders>
              <w:bottom w:val="single" w:sz="8" w:color="auto"/>
            </w:tcBorders>
          </w:tcPr>
          <w:p>
            <w:pPr>
              <w:jc w:val="right"/>
              <w:ind w:right="156"/>
              <w:spacing w:after="0"/>
              <w:rPr>
                <w:sz w:val="20"/>
                <w:szCs w:val="20"/>
                <w:color w:val="auto"/>
              </w:rPr>
            </w:pPr>
            <w:r>
              <w:rPr>
                <w:rFonts w:ascii="Arial" w:cs="Arial" w:eastAsia="Arial" w:hAnsi="Arial"/>
                <w:sz w:val="17"/>
                <w:szCs w:val="17"/>
                <w:b w:val="1"/>
                <w:bCs w:val="1"/>
                <w:color w:val="00539B"/>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961</w:t>
            </w:r>
          </w:p>
        </w:tc>
        <w:tc>
          <w:tcPr>
            <w:tcW w:w="26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b w:val="1"/>
                <w:bCs w:val="1"/>
                <w:color w:val="00539B"/>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199</w:t>
            </w:r>
          </w:p>
        </w:tc>
        <w:tc>
          <w:tcPr>
            <w:tcW w:w="26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b w:val="1"/>
                <w:bCs w:val="1"/>
                <w:color w:val="00539B"/>
              </w:rPr>
              <w:t>$</w:t>
            </w:r>
          </w:p>
        </w:tc>
        <w:tc>
          <w:tcPr>
            <w:tcW w:w="1160" w:type="dxa"/>
            <w:vAlign w:val="bottom"/>
            <w:tcBorders>
              <w:bottom w:val="single" w:sz="8" w:color="auto"/>
            </w:tcBorders>
          </w:tcPr>
          <w:p>
            <w:pPr>
              <w:ind w:left="920"/>
              <w:spacing w:after="0"/>
              <w:rPr>
                <w:sz w:val="20"/>
                <w:szCs w:val="20"/>
                <w:color w:val="auto"/>
              </w:rPr>
            </w:pPr>
            <w:r>
              <w:rPr>
                <w:rFonts w:ascii="Arial" w:cs="Arial" w:eastAsia="Arial" w:hAnsi="Arial"/>
                <w:sz w:val="17"/>
                <w:szCs w:val="17"/>
                <w:b w:val="1"/>
                <w:bCs w:val="1"/>
                <w:color w:val="00539B"/>
              </w:rPr>
              <w:t>—</w:t>
            </w:r>
          </w:p>
        </w:tc>
        <w:tc>
          <w:tcPr>
            <w:tcW w:w="460" w:type="dxa"/>
            <w:vAlign w:val="bottom"/>
            <w:tcBorders>
              <w:bottom w:val="single" w:sz="8" w:color="auto"/>
            </w:tcBorders>
          </w:tcPr>
          <w:p>
            <w:pPr>
              <w:jc w:val="right"/>
              <w:ind w:right="256"/>
              <w:spacing w:after="0"/>
              <w:rPr>
                <w:sz w:val="20"/>
                <w:szCs w:val="20"/>
                <w:color w:val="auto"/>
              </w:rPr>
            </w:pPr>
            <w:r>
              <w:rPr>
                <w:rFonts w:ascii="Arial" w:cs="Arial" w:eastAsia="Arial" w:hAnsi="Arial"/>
                <w:sz w:val="17"/>
                <w:szCs w:val="17"/>
                <w:b w:val="1"/>
                <w:bCs w:val="1"/>
                <w:color w:val="00539B"/>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1,160</w:t>
            </w:r>
          </w:p>
        </w:tc>
        <w:tc>
          <w:tcPr>
            <w:tcW w:w="0" w:type="dxa"/>
            <w:vAlign w:val="bottom"/>
          </w:tcPr>
          <w:p>
            <w:pPr>
              <w:spacing w:after="0"/>
              <w:rPr>
                <w:sz w:val="1"/>
                <w:szCs w:val="1"/>
                <w:color w:val="auto"/>
              </w:rPr>
            </w:pPr>
          </w:p>
        </w:tc>
      </w:tr>
      <w:tr>
        <w:trPr>
          <w:trHeight w:val="207"/>
        </w:trPr>
        <w:tc>
          <w:tcPr>
            <w:tcW w:w="400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Eliminations</w:t>
            </w:r>
          </w:p>
        </w:tc>
        <w:tc>
          <w:tcPr>
            <w:tcW w:w="1700" w:type="dxa"/>
            <w:vAlign w:val="bottom"/>
            <w:tcBorders>
              <w:bottom w:val="single" w:sz="8" w:color="auto"/>
            </w:tcBorders>
          </w:tcPr>
          <w:p>
            <w:pPr>
              <w:jc w:val="right"/>
              <w:ind w:right="156"/>
              <w:spacing w:after="0"/>
              <w:rPr>
                <w:sz w:val="20"/>
                <w:szCs w:val="20"/>
                <w:color w:val="auto"/>
              </w:rPr>
            </w:pPr>
            <w:r>
              <w:rPr>
                <w:rFonts w:ascii="Arial" w:cs="Arial" w:eastAsia="Arial" w:hAnsi="Arial"/>
                <w:sz w:val="17"/>
                <w:szCs w:val="17"/>
                <w:b w:val="1"/>
                <w:bCs w:val="1"/>
                <w:color w:val="00539B"/>
              </w:rPr>
              <w:t>$</w:t>
            </w:r>
          </w:p>
        </w:tc>
        <w:tc>
          <w:tcPr>
            <w:tcW w:w="1580" w:type="dxa"/>
            <w:vAlign w:val="bottom"/>
            <w:tcBorders>
              <w:bottom w:val="single" w:sz="8" w:color="auto"/>
            </w:tcBorders>
            <w:gridSpan w:val="2"/>
          </w:tcPr>
          <w:p>
            <w:pPr>
              <w:jc w:val="right"/>
              <w:ind w:right="56"/>
              <w:spacing w:after="0"/>
              <w:rPr>
                <w:sz w:val="20"/>
                <w:szCs w:val="20"/>
                <w:color w:val="auto"/>
              </w:rPr>
            </w:pPr>
            <w:r>
              <w:rPr>
                <w:rFonts w:ascii="Arial" w:cs="Arial" w:eastAsia="Arial" w:hAnsi="Arial"/>
                <w:sz w:val="17"/>
                <w:szCs w:val="17"/>
                <w:b w:val="1"/>
                <w:bCs w:val="1"/>
                <w:color w:val="00539B"/>
              </w:rPr>
              <w:t>— $</w:t>
            </w:r>
          </w:p>
        </w:tc>
        <w:tc>
          <w:tcPr>
            <w:tcW w:w="1420" w:type="dxa"/>
            <w:vAlign w:val="bottom"/>
            <w:tcBorders>
              <w:bottom w:val="single" w:sz="8" w:color="auto"/>
            </w:tcBorders>
            <w:gridSpan w:val="2"/>
          </w:tcPr>
          <w:p>
            <w:pPr>
              <w:jc w:val="right"/>
              <w:ind w:right="56"/>
              <w:spacing w:after="0"/>
              <w:rPr>
                <w:sz w:val="20"/>
                <w:szCs w:val="20"/>
                <w:color w:val="auto"/>
              </w:rPr>
            </w:pPr>
            <w:r>
              <w:rPr>
                <w:rFonts w:ascii="Arial" w:cs="Arial" w:eastAsia="Arial" w:hAnsi="Arial"/>
                <w:sz w:val="17"/>
                <w:szCs w:val="17"/>
                <w:b w:val="1"/>
                <w:bCs w:val="1"/>
                <w:color w:val="00539B"/>
              </w:rPr>
              <w:t>— $</w:t>
            </w:r>
          </w:p>
        </w:tc>
        <w:tc>
          <w:tcPr>
            <w:tcW w:w="1160" w:type="dxa"/>
            <w:vAlign w:val="bottom"/>
            <w:tcBorders>
              <w:bottom w:val="single" w:sz="8" w:color="auto"/>
            </w:tcBorders>
          </w:tcPr>
          <w:p>
            <w:pPr>
              <w:ind w:left="740"/>
              <w:spacing w:after="0"/>
              <w:rPr>
                <w:sz w:val="20"/>
                <w:szCs w:val="20"/>
                <w:color w:val="auto"/>
              </w:rPr>
            </w:pPr>
            <w:r>
              <w:rPr>
                <w:rFonts w:ascii="Arial" w:cs="Arial" w:eastAsia="Arial" w:hAnsi="Arial"/>
                <w:sz w:val="17"/>
                <w:szCs w:val="17"/>
                <w:b w:val="1"/>
                <w:bCs w:val="1"/>
                <w:color w:val="00539B"/>
              </w:rPr>
              <w:t>(486)</w:t>
            </w:r>
          </w:p>
        </w:tc>
        <w:tc>
          <w:tcPr>
            <w:tcW w:w="460" w:type="dxa"/>
            <w:vAlign w:val="bottom"/>
            <w:tcBorders>
              <w:bottom w:val="single" w:sz="8" w:color="auto"/>
            </w:tcBorders>
          </w:tcPr>
          <w:p>
            <w:pPr>
              <w:jc w:val="right"/>
              <w:ind w:right="256"/>
              <w:spacing w:after="0"/>
              <w:rPr>
                <w:sz w:val="20"/>
                <w:szCs w:val="20"/>
                <w:color w:val="auto"/>
              </w:rPr>
            </w:pPr>
            <w:r>
              <w:rPr>
                <w:rFonts w:ascii="Arial" w:cs="Arial" w:eastAsia="Arial" w:hAnsi="Arial"/>
                <w:sz w:val="17"/>
                <w:szCs w:val="17"/>
                <w:b w:val="1"/>
                <w:bCs w:val="1"/>
                <w:color w:val="00539B"/>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(486)</w:t>
            </w:r>
          </w:p>
        </w:tc>
        <w:tc>
          <w:tcPr>
            <w:tcW w:w="0" w:type="dxa"/>
            <w:vAlign w:val="bottom"/>
          </w:tcPr>
          <w:p>
            <w:pPr>
              <w:spacing w:after="0"/>
              <w:rPr>
                <w:sz w:val="1"/>
                <w:szCs w:val="1"/>
                <w:color w:val="auto"/>
              </w:rPr>
            </w:pPr>
          </w:p>
        </w:tc>
      </w:tr>
      <w:tr>
        <w:trPr>
          <w:trHeight w:val="220"/>
        </w:trPr>
        <w:tc>
          <w:tcPr>
            <w:tcW w:w="400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Consolidated</w:t>
            </w:r>
          </w:p>
        </w:tc>
        <w:tc>
          <w:tcPr>
            <w:tcW w:w="1700" w:type="dxa"/>
            <w:vAlign w:val="bottom"/>
            <w:tcBorders>
              <w:bottom w:val="single" w:sz="8" w:color="auto"/>
            </w:tcBorders>
          </w:tcPr>
          <w:p>
            <w:pPr>
              <w:jc w:val="right"/>
              <w:ind w:right="156"/>
              <w:spacing w:after="0"/>
              <w:rPr>
                <w:sz w:val="20"/>
                <w:szCs w:val="20"/>
                <w:color w:val="auto"/>
              </w:rPr>
            </w:pPr>
            <w:r>
              <w:rPr>
                <w:rFonts w:ascii="Arial" w:cs="Arial" w:eastAsia="Arial" w:hAnsi="Arial"/>
                <w:sz w:val="17"/>
                <w:szCs w:val="17"/>
                <w:b w:val="1"/>
                <w:bCs w:val="1"/>
                <w:color w:val="00539B"/>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11,979</w:t>
            </w:r>
          </w:p>
        </w:tc>
        <w:tc>
          <w:tcPr>
            <w:tcW w:w="26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b w:val="1"/>
                <w:bCs w:val="1"/>
                <w:color w:val="00539B"/>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2,223</w:t>
            </w:r>
          </w:p>
        </w:tc>
        <w:tc>
          <w:tcPr>
            <w:tcW w:w="26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b w:val="1"/>
                <w:bCs w:val="1"/>
                <w:color w:val="00539B"/>
              </w:rPr>
              <w:t>$</w:t>
            </w:r>
          </w:p>
        </w:tc>
        <w:tc>
          <w:tcPr>
            <w:tcW w:w="1160" w:type="dxa"/>
            <w:vAlign w:val="bottom"/>
            <w:tcBorders>
              <w:bottom w:val="single" w:sz="8" w:color="auto"/>
            </w:tcBorders>
          </w:tcPr>
          <w:p>
            <w:pPr>
              <w:ind w:left="740"/>
              <w:spacing w:after="0"/>
              <w:rPr>
                <w:sz w:val="20"/>
                <w:szCs w:val="20"/>
                <w:color w:val="auto"/>
              </w:rPr>
            </w:pPr>
            <w:r>
              <w:rPr>
                <w:rFonts w:ascii="Arial" w:cs="Arial" w:eastAsia="Arial" w:hAnsi="Arial"/>
                <w:sz w:val="17"/>
                <w:szCs w:val="17"/>
                <w:b w:val="1"/>
                <w:bCs w:val="1"/>
                <w:color w:val="00539B"/>
              </w:rPr>
              <w:t>(486)</w:t>
            </w:r>
          </w:p>
        </w:tc>
        <w:tc>
          <w:tcPr>
            <w:tcW w:w="460" w:type="dxa"/>
            <w:vAlign w:val="bottom"/>
            <w:tcBorders>
              <w:bottom w:val="single" w:sz="8" w:color="auto"/>
            </w:tcBorders>
          </w:tcPr>
          <w:p>
            <w:pPr>
              <w:jc w:val="right"/>
              <w:ind w:right="256"/>
              <w:spacing w:after="0"/>
              <w:rPr>
                <w:sz w:val="20"/>
                <w:szCs w:val="20"/>
                <w:color w:val="auto"/>
              </w:rPr>
            </w:pPr>
            <w:r>
              <w:rPr>
                <w:rFonts w:ascii="Arial" w:cs="Arial" w:eastAsia="Arial" w:hAnsi="Arial"/>
                <w:sz w:val="17"/>
                <w:szCs w:val="17"/>
                <w:b w:val="1"/>
                <w:bCs w:val="1"/>
                <w:color w:val="00539B"/>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13,716</w:t>
            </w:r>
          </w:p>
        </w:tc>
        <w:tc>
          <w:tcPr>
            <w:tcW w:w="0" w:type="dxa"/>
            <w:vAlign w:val="bottom"/>
          </w:tcPr>
          <w:p>
            <w:pPr>
              <w:spacing w:after="0"/>
              <w:rPr>
                <w:sz w:val="1"/>
                <w:szCs w:val="1"/>
                <w:color w:val="auto"/>
              </w:rPr>
            </w:pPr>
          </w:p>
        </w:tc>
      </w:tr>
      <w:tr>
        <w:trPr>
          <w:trHeight w:val="300"/>
        </w:trPr>
        <w:tc>
          <w:tcPr>
            <w:tcW w:w="400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4000" w:type="dxa"/>
            <w:vAlign w:val="bottom"/>
            <w:tcBorders>
              <w:bottom w:val="single" w:sz="8" w:color="auto"/>
            </w:tcBorders>
          </w:tcPr>
          <w:p>
            <w:pPr>
              <w:ind w:left="20"/>
              <w:spacing w:after="0"/>
              <w:rPr>
                <w:sz w:val="20"/>
                <w:szCs w:val="20"/>
                <w:color w:val="auto"/>
              </w:rPr>
            </w:pPr>
            <w:r>
              <w:rPr>
                <w:rFonts w:ascii="Arial" w:cs="Arial" w:eastAsia="Arial" w:hAnsi="Arial"/>
                <w:sz w:val="17"/>
                <w:szCs w:val="17"/>
                <w:i w:val="1"/>
                <w:iCs w:val="1"/>
                <w:color w:val="auto"/>
              </w:rPr>
              <w:t>millions</w:t>
            </w:r>
          </w:p>
        </w:tc>
        <w:tc>
          <w:tcPr>
            <w:tcW w:w="17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United States</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International</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ind w:left="140"/>
              <w:spacing w:after="0"/>
              <w:rPr>
                <w:sz w:val="20"/>
                <w:szCs w:val="20"/>
                <w:color w:val="auto"/>
              </w:rPr>
            </w:pPr>
            <w:r>
              <w:rPr>
                <w:rFonts w:ascii="Arial" w:cs="Arial" w:eastAsia="Arial" w:hAnsi="Arial"/>
                <w:sz w:val="17"/>
                <w:szCs w:val="17"/>
                <w:b w:val="1"/>
                <w:bCs w:val="1"/>
                <w:color w:val="auto"/>
                <w:w w:val="98"/>
              </w:rPr>
              <w:t>Eliminations</w:t>
            </w:r>
          </w:p>
        </w:tc>
        <w:tc>
          <w:tcPr>
            <w:tcW w:w="4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247"/>
        </w:trPr>
        <w:tc>
          <w:tcPr>
            <w:tcW w:w="4000" w:type="dxa"/>
            <w:vAlign w:val="bottom"/>
          </w:tcPr>
          <w:p>
            <w:pPr>
              <w:ind w:left="20"/>
              <w:spacing w:after="0"/>
              <w:rPr>
                <w:sz w:val="20"/>
                <w:szCs w:val="20"/>
                <w:color w:val="auto"/>
              </w:rPr>
            </w:pPr>
            <w:r>
              <w:rPr>
                <w:rFonts w:ascii="Arial" w:cs="Arial" w:eastAsia="Arial" w:hAnsi="Arial"/>
                <w:sz w:val="17"/>
                <w:szCs w:val="17"/>
                <w:b w:val="1"/>
                <w:bCs w:val="1"/>
                <w:color w:val="auto"/>
              </w:rPr>
              <w:t>Six months ended June 30, 2022</w:t>
            </w:r>
          </w:p>
        </w:tc>
        <w:tc>
          <w:tcPr>
            <w:tcW w:w="17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4000" w:type="dxa"/>
            <w:vAlign w:val="bottom"/>
          </w:tcPr>
          <w:p>
            <w:pPr>
              <w:ind w:left="20"/>
              <w:spacing w:after="0"/>
              <w:rPr>
                <w:sz w:val="20"/>
                <w:szCs w:val="20"/>
                <w:color w:val="auto"/>
              </w:rPr>
            </w:pPr>
            <w:r>
              <w:rPr>
                <w:rFonts w:ascii="Arial" w:cs="Arial" w:eastAsia="Arial" w:hAnsi="Arial"/>
                <w:sz w:val="17"/>
                <w:szCs w:val="17"/>
                <w:b w:val="1"/>
                <w:bCs w:val="1"/>
                <w:color w:val="auto"/>
              </w:rPr>
              <w:t>Oil and gas</w:t>
            </w:r>
          </w:p>
        </w:tc>
        <w:tc>
          <w:tcPr>
            <w:tcW w:w="17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000" w:type="dxa"/>
            <w:vAlign w:val="bottom"/>
          </w:tcPr>
          <w:p>
            <w:pPr>
              <w:ind w:left="240"/>
              <w:spacing w:after="0"/>
              <w:rPr>
                <w:sz w:val="20"/>
                <w:szCs w:val="20"/>
                <w:color w:val="auto"/>
              </w:rPr>
            </w:pPr>
            <w:r>
              <w:rPr>
                <w:rFonts w:ascii="Arial" w:cs="Arial" w:eastAsia="Arial" w:hAnsi="Arial"/>
                <w:sz w:val="17"/>
                <w:szCs w:val="17"/>
                <w:color w:val="auto"/>
              </w:rPr>
              <w:t>Oil</w:t>
            </w:r>
          </w:p>
        </w:tc>
        <w:tc>
          <w:tcPr>
            <w:tcW w:w="1700" w:type="dxa"/>
            <w:vAlign w:val="bottom"/>
          </w:tcPr>
          <w:p>
            <w:pPr>
              <w:jc w:val="right"/>
              <w:ind w:right="156"/>
              <w:spacing w:after="0"/>
              <w:rPr>
                <w:sz w:val="20"/>
                <w:szCs w:val="20"/>
                <w:color w:val="auto"/>
              </w:rPr>
            </w:pPr>
            <w:r>
              <w:rPr>
                <w:rFonts w:ascii="Arial" w:cs="Arial" w:eastAsia="Arial" w:hAnsi="Arial"/>
                <w:sz w:val="17"/>
                <w:szCs w:val="17"/>
                <w:color w:val="auto"/>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8,942</w:t>
            </w:r>
          </w:p>
        </w:tc>
        <w:tc>
          <w:tcPr>
            <w:tcW w:w="260" w:type="dxa"/>
            <w:vAlign w:val="bottom"/>
          </w:tcPr>
          <w:p>
            <w:pPr>
              <w:jc w:val="right"/>
              <w:ind w:right="56"/>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1,897</w:t>
            </w:r>
          </w:p>
        </w:tc>
        <w:tc>
          <w:tcPr>
            <w:tcW w:w="260" w:type="dxa"/>
            <w:vAlign w:val="bottom"/>
          </w:tcPr>
          <w:p>
            <w:pPr>
              <w:jc w:val="right"/>
              <w:ind w:right="56"/>
              <w:spacing w:after="0"/>
              <w:rPr>
                <w:sz w:val="20"/>
                <w:szCs w:val="20"/>
                <w:color w:val="auto"/>
              </w:rPr>
            </w:pPr>
            <w:r>
              <w:rPr>
                <w:rFonts w:ascii="Arial" w:cs="Arial" w:eastAsia="Arial" w:hAnsi="Arial"/>
                <w:sz w:val="17"/>
                <w:szCs w:val="17"/>
                <w:color w:val="auto"/>
              </w:rPr>
              <w:t>$</w:t>
            </w:r>
          </w:p>
        </w:tc>
        <w:tc>
          <w:tcPr>
            <w:tcW w:w="1620" w:type="dxa"/>
            <w:vAlign w:val="bottom"/>
            <w:gridSpan w:val="2"/>
          </w:tcPr>
          <w:p>
            <w:pPr>
              <w:ind w:left="920"/>
              <w:spacing w:after="0"/>
              <w:rPr>
                <w:sz w:val="20"/>
                <w:szCs w:val="20"/>
                <w:color w:val="auto"/>
              </w:rPr>
            </w:pPr>
            <w:r>
              <w:rPr>
                <w:rFonts w:ascii="Arial" w:cs="Arial" w:eastAsia="Arial" w:hAnsi="Arial"/>
                <w:sz w:val="17"/>
                <w:szCs w:val="17"/>
                <w:color w:val="auto"/>
              </w:rPr>
              <w:t>— $</w:t>
            </w:r>
          </w:p>
        </w:tc>
        <w:tc>
          <w:tcPr>
            <w:tcW w:w="920" w:type="dxa"/>
            <w:vAlign w:val="bottom"/>
          </w:tcPr>
          <w:p>
            <w:pPr>
              <w:jc w:val="right"/>
              <w:spacing w:after="0"/>
              <w:rPr>
                <w:sz w:val="20"/>
                <w:szCs w:val="20"/>
                <w:color w:val="auto"/>
              </w:rPr>
            </w:pPr>
            <w:r>
              <w:rPr>
                <w:rFonts w:ascii="Arial" w:cs="Arial" w:eastAsia="Arial" w:hAnsi="Arial"/>
                <w:sz w:val="17"/>
                <w:szCs w:val="17"/>
                <w:color w:val="auto"/>
              </w:rPr>
              <w:t>10,839</w:t>
            </w:r>
          </w:p>
        </w:tc>
        <w:tc>
          <w:tcPr>
            <w:tcW w:w="0" w:type="dxa"/>
            <w:vAlign w:val="bottom"/>
          </w:tcPr>
          <w:p>
            <w:pPr>
              <w:spacing w:after="0"/>
              <w:rPr>
                <w:sz w:val="1"/>
                <w:szCs w:val="1"/>
                <w:color w:val="auto"/>
              </w:rPr>
            </w:pPr>
          </w:p>
        </w:tc>
      </w:tr>
      <w:tr>
        <w:trPr>
          <w:trHeight w:val="227"/>
        </w:trPr>
        <w:tc>
          <w:tcPr>
            <w:tcW w:w="4000" w:type="dxa"/>
            <w:vAlign w:val="bottom"/>
          </w:tcPr>
          <w:p>
            <w:pPr>
              <w:ind w:left="240"/>
              <w:spacing w:after="0"/>
              <w:rPr>
                <w:sz w:val="20"/>
                <w:szCs w:val="20"/>
                <w:color w:val="auto"/>
              </w:rPr>
            </w:pPr>
            <w:r>
              <w:rPr>
                <w:rFonts w:ascii="Arial" w:cs="Arial" w:eastAsia="Arial" w:hAnsi="Arial"/>
                <w:sz w:val="17"/>
                <w:szCs w:val="17"/>
                <w:color w:val="auto"/>
              </w:rPr>
              <w:t>NGL</w:t>
            </w:r>
          </w:p>
        </w:tc>
        <w:tc>
          <w:tcPr>
            <w:tcW w:w="17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1,481</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175</w:t>
            </w:r>
          </w:p>
        </w:tc>
        <w:tc>
          <w:tcPr>
            <w:tcW w:w="260" w:type="dxa"/>
            <w:vAlign w:val="bottom"/>
          </w:tcPr>
          <w:p>
            <w:pPr>
              <w:spacing w:after="0"/>
              <w:rPr>
                <w:sz w:val="19"/>
                <w:szCs w:val="19"/>
                <w:color w:val="auto"/>
              </w:rPr>
            </w:pPr>
          </w:p>
        </w:tc>
        <w:tc>
          <w:tcPr>
            <w:tcW w:w="1160" w:type="dxa"/>
            <w:vAlign w:val="bottom"/>
          </w:tcPr>
          <w:p>
            <w:pPr>
              <w:ind w:left="920"/>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1,656</w:t>
            </w:r>
          </w:p>
        </w:tc>
        <w:tc>
          <w:tcPr>
            <w:tcW w:w="0" w:type="dxa"/>
            <w:vAlign w:val="bottom"/>
          </w:tcPr>
          <w:p>
            <w:pPr>
              <w:spacing w:after="0"/>
              <w:rPr>
                <w:sz w:val="1"/>
                <w:szCs w:val="1"/>
                <w:color w:val="auto"/>
              </w:rPr>
            </w:pPr>
          </w:p>
        </w:tc>
      </w:tr>
      <w:tr>
        <w:trPr>
          <w:trHeight w:val="225"/>
        </w:trPr>
        <w:tc>
          <w:tcPr>
            <w:tcW w:w="4000" w:type="dxa"/>
            <w:vAlign w:val="bottom"/>
          </w:tcPr>
          <w:p>
            <w:pPr>
              <w:ind w:left="240"/>
              <w:spacing w:after="0"/>
              <w:rPr>
                <w:sz w:val="20"/>
                <w:szCs w:val="20"/>
                <w:color w:val="auto"/>
              </w:rPr>
            </w:pPr>
            <w:r>
              <w:rPr>
                <w:rFonts w:ascii="Arial" w:cs="Arial" w:eastAsia="Arial" w:hAnsi="Arial"/>
                <w:sz w:val="17"/>
                <w:szCs w:val="17"/>
                <w:color w:val="auto"/>
              </w:rPr>
              <w:t>Gas</w:t>
            </w:r>
          </w:p>
        </w:tc>
        <w:tc>
          <w:tcPr>
            <w:tcW w:w="17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1,130</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137</w:t>
            </w:r>
          </w:p>
        </w:tc>
        <w:tc>
          <w:tcPr>
            <w:tcW w:w="260" w:type="dxa"/>
            <w:vAlign w:val="bottom"/>
          </w:tcPr>
          <w:p>
            <w:pPr>
              <w:spacing w:after="0"/>
              <w:rPr>
                <w:sz w:val="19"/>
                <w:szCs w:val="19"/>
                <w:color w:val="auto"/>
              </w:rPr>
            </w:pPr>
          </w:p>
        </w:tc>
        <w:tc>
          <w:tcPr>
            <w:tcW w:w="1160" w:type="dxa"/>
            <w:vAlign w:val="bottom"/>
          </w:tcPr>
          <w:p>
            <w:pPr>
              <w:ind w:left="920"/>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1,267</w:t>
            </w:r>
          </w:p>
        </w:tc>
        <w:tc>
          <w:tcPr>
            <w:tcW w:w="0" w:type="dxa"/>
            <w:vAlign w:val="bottom"/>
          </w:tcPr>
          <w:p>
            <w:pPr>
              <w:spacing w:after="0"/>
              <w:rPr>
                <w:sz w:val="1"/>
                <w:szCs w:val="1"/>
                <w:color w:val="auto"/>
              </w:rPr>
            </w:pPr>
          </w:p>
        </w:tc>
      </w:tr>
      <w:tr>
        <w:trPr>
          <w:trHeight w:val="225"/>
        </w:trPr>
        <w:tc>
          <w:tcPr>
            <w:tcW w:w="4000" w:type="dxa"/>
            <w:vAlign w:val="bottom"/>
            <w:tcBorders>
              <w:bottom w:val="single" w:sz="8" w:color="auto"/>
            </w:tcBorders>
          </w:tcPr>
          <w:p>
            <w:pPr>
              <w:ind w:left="240"/>
              <w:spacing w:after="0"/>
              <w:rPr>
                <w:sz w:val="20"/>
                <w:szCs w:val="20"/>
                <w:color w:val="auto"/>
              </w:rPr>
            </w:pPr>
            <w:r>
              <w:rPr>
                <w:rFonts w:ascii="Arial" w:cs="Arial" w:eastAsia="Arial" w:hAnsi="Arial"/>
                <w:sz w:val="17"/>
                <w:szCs w:val="17"/>
                <w:color w:val="auto"/>
              </w:rPr>
              <w:t>Other</w:t>
            </w:r>
          </w:p>
        </w:tc>
        <w:tc>
          <w:tcPr>
            <w:tcW w:w="17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ind w:left="920"/>
              <w:spacing w:after="0"/>
              <w:rPr>
                <w:sz w:val="20"/>
                <w:szCs w:val="20"/>
                <w:color w:val="auto"/>
              </w:rPr>
            </w:pPr>
            <w:r>
              <w:rPr>
                <w:rFonts w:ascii="Arial" w:cs="Arial" w:eastAsia="Arial" w:hAnsi="Arial"/>
                <w:sz w:val="17"/>
                <w:szCs w:val="17"/>
                <w:color w:val="auto"/>
              </w:rPr>
              <w:t>—</w:t>
            </w:r>
          </w:p>
        </w:tc>
        <w:tc>
          <w:tcPr>
            <w:tcW w:w="4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221"/>
        </w:trPr>
        <w:tc>
          <w:tcPr>
            <w:tcW w:w="4000" w:type="dxa"/>
            <w:vAlign w:val="bottom"/>
            <w:tcBorders>
              <w:bottom w:val="single" w:sz="8" w:color="auto"/>
            </w:tcBorders>
          </w:tcPr>
          <w:p>
            <w:pPr>
              <w:ind w:left="240"/>
              <w:spacing w:after="0"/>
              <w:rPr>
                <w:sz w:val="20"/>
                <w:szCs w:val="20"/>
                <w:color w:val="auto"/>
              </w:rPr>
            </w:pPr>
            <w:r>
              <w:rPr>
                <w:rFonts w:ascii="Arial" w:cs="Arial" w:eastAsia="Arial" w:hAnsi="Arial"/>
                <w:sz w:val="17"/>
                <w:szCs w:val="17"/>
                <w:color w:val="auto"/>
              </w:rPr>
              <w:t>Segment total</w:t>
            </w:r>
          </w:p>
        </w:tc>
        <w:tc>
          <w:tcPr>
            <w:tcW w:w="1700" w:type="dxa"/>
            <w:vAlign w:val="bottom"/>
            <w:tcBorders>
              <w:bottom w:val="single" w:sz="8" w:color="auto"/>
            </w:tcBorders>
          </w:tcPr>
          <w:p>
            <w:pPr>
              <w:jc w:val="right"/>
              <w:ind w:right="156"/>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11,560</w:t>
            </w:r>
          </w:p>
        </w:tc>
        <w:tc>
          <w:tcPr>
            <w:tcW w:w="26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2,211</w:t>
            </w:r>
          </w:p>
        </w:tc>
        <w:tc>
          <w:tcPr>
            <w:tcW w:w="26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color w:val="auto"/>
              </w:rPr>
              <w:t>$</w:t>
            </w:r>
          </w:p>
        </w:tc>
        <w:tc>
          <w:tcPr>
            <w:tcW w:w="1620" w:type="dxa"/>
            <w:vAlign w:val="bottom"/>
            <w:tcBorders>
              <w:bottom w:val="single" w:sz="8" w:color="auto"/>
            </w:tcBorders>
            <w:gridSpan w:val="2"/>
          </w:tcPr>
          <w:p>
            <w:pPr>
              <w:ind w:left="920"/>
              <w:spacing w:after="0"/>
              <w:rPr>
                <w:sz w:val="20"/>
                <w:szCs w:val="20"/>
                <w:color w:val="auto"/>
              </w:rPr>
            </w:pPr>
            <w:r>
              <w:rPr>
                <w:rFonts w:ascii="Arial" w:cs="Arial" w:eastAsia="Arial" w:hAnsi="Arial"/>
                <w:sz w:val="17"/>
                <w:szCs w:val="17"/>
                <w:color w:val="auto"/>
              </w:rPr>
              <w:t>— $</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13,771</w:t>
            </w:r>
          </w:p>
        </w:tc>
        <w:tc>
          <w:tcPr>
            <w:tcW w:w="0" w:type="dxa"/>
            <w:vAlign w:val="bottom"/>
          </w:tcPr>
          <w:p>
            <w:pPr>
              <w:spacing w:after="0"/>
              <w:rPr>
                <w:sz w:val="1"/>
                <w:szCs w:val="1"/>
                <w:color w:val="auto"/>
              </w:rPr>
            </w:pPr>
          </w:p>
        </w:tc>
      </w:tr>
      <w:tr>
        <w:trPr>
          <w:trHeight w:val="213"/>
        </w:trPr>
        <w:tc>
          <w:tcPr>
            <w:tcW w:w="400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Chemical</w:t>
            </w:r>
          </w:p>
        </w:tc>
        <w:tc>
          <w:tcPr>
            <w:tcW w:w="1700" w:type="dxa"/>
            <w:vAlign w:val="bottom"/>
            <w:tcBorders>
              <w:bottom w:val="single" w:sz="8" w:color="auto"/>
            </w:tcBorders>
          </w:tcPr>
          <w:p>
            <w:pPr>
              <w:jc w:val="right"/>
              <w:ind w:right="156"/>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3,412</w:t>
            </w:r>
          </w:p>
        </w:tc>
        <w:tc>
          <w:tcPr>
            <w:tcW w:w="26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179</w:t>
            </w:r>
          </w:p>
        </w:tc>
        <w:tc>
          <w:tcPr>
            <w:tcW w:w="26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color w:val="auto"/>
              </w:rPr>
              <w:t>$</w:t>
            </w:r>
          </w:p>
        </w:tc>
        <w:tc>
          <w:tcPr>
            <w:tcW w:w="1620" w:type="dxa"/>
            <w:vAlign w:val="bottom"/>
            <w:tcBorders>
              <w:bottom w:val="single" w:sz="8" w:color="auto"/>
            </w:tcBorders>
            <w:gridSpan w:val="2"/>
          </w:tcPr>
          <w:p>
            <w:pPr>
              <w:ind w:left="920"/>
              <w:spacing w:after="0"/>
              <w:rPr>
                <w:sz w:val="20"/>
                <w:szCs w:val="20"/>
                <w:color w:val="auto"/>
              </w:rPr>
            </w:pPr>
            <w:r>
              <w:rPr>
                <w:rFonts w:ascii="Arial" w:cs="Arial" w:eastAsia="Arial" w:hAnsi="Arial"/>
                <w:sz w:val="17"/>
                <w:szCs w:val="17"/>
                <w:color w:val="auto"/>
              </w:rPr>
              <w:t>— $</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3,591</w:t>
            </w:r>
          </w:p>
        </w:tc>
        <w:tc>
          <w:tcPr>
            <w:tcW w:w="0" w:type="dxa"/>
            <w:vAlign w:val="bottom"/>
          </w:tcPr>
          <w:p>
            <w:pPr>
              <w:spacing w:after="0"/>
              <w:rPr>
                <w:sz w:val="1"/>
                <w:szCs w:val="1"/>
                <w:color w:val="auto"/>
              </w:rPr>
            </w:pPr>
          </w:p>
        </w:tc>
      </w:tr>
      <w:tr>
        <w:trPr>
          <w:trHeight w:val="207"/>
        </w:trPr>
        <w:tc>
          <w:tcPr>
            <w:tcW w:w="400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Midstream and marketing</w:t>
            </w:r>
          </w:p>
        </w:tc>
        <w:tc>
          <w:tcPr>
            <w:tcW w:w="1700" w:type="dxa"/>
            <w:vAlign w:val="bottom"/>
            <w:tcBorders>
              <w:bottom w:val="single" w:sz="8" w:color="auto"/>
            </w:tcBorders>
          </w:tcPr>
          <w:p>
            <w:pPr>
              <w:jc w:val="right"/>
              <w:ind w:right="156"/>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1,551</w:t>
            </w:r>
          </w:p>
        </w:tc>
        <w:tc>
          <w:tcPr>
            <w:tcW w:w="26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346</w:t>
            </w:r>
          </w:p>
        </w:tc>
        <w:tc>
          <w:tcPr>
            <w:tcW w:w="26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tcPr>
          <w:p>
            <w:pPr>
              <w:ind w:left="920"/>
              <w:spacing w:after="0"/>
              <w:rPr>
                <w:sz w:val="20"/>
                <w:szCs w:val="20"/>
                <w:color w:val="auto"/>
              </w:rPr>
            </w:pPr>
            <w:r>
              <w:rPr>
                <w:rFonts w:ascii="Arial" w:cs="Arial" w:eastAsia="Arial" w:hAnsi="Arial"/>
                <w:sz w:val="17"/>
                <w:szCs w:val="17"/>
                <w:color w:val="auto"/>
              </w:rPr>
              <w:t>—</w:t>
            </w:r>
          </w:p>
        </w:tc>
        <w:tc>
          <w:tcPr>
            <w:tcW w:w="460" w:type="dxa"/>
            <w:vAlign w:val="bottom"/>
            <w:tcBorders>
              <w:bottom w:val="single" w:sz="8" w:color="auto"/>
            </w:tcBorders>
          </w:tcPr>
          <w:p>
            <w:pPr>
              <w:jc w:val="right"/>
              <w:ind w:right="256"/>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1,897</w:t>
            </w:r>
          </w:p>
        </w:tc>
        <w:tc>
          <w:tcPr>
            <w:tcW w:w="0" w:type="dxa"/>
            <w:vAlign w:val="bottom"/>
          </w:tcPr>
          <w:p>
            <w:pPr>
              <w:spacing w:after="0"/>
              <w:rPr>
                <w:sz w:val="1"/>
                <w:szCs w:val="1"/>
                <w:color w:val="auto"/>
              </w:rPr>
            </w:pPr>
          </w:p>
        </w:tc>
      </w:tr>
      <w:tr>
        <w:trPr>
          <w:trHeight w:val="220"/>
        </w:trPr>
        <w:tc>
          <w:tcPr>
            <w:tcW w:w="400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Eliminations</w:t>
            </w:r>
          </w:p>
        </w:tc>
        <w:tc>
          <w:tcPr>
            <w:tcW w:w="1700" w:type="dxa"/>
            <w:vAlign w:val="bottom"/>
            <w:tcBorders>
              <w:bottom w:val="single" w:sz="8" w:color="auto"/>
            </w:tcBorders>
          </w:tcPr>
          <w:p>
            <w:pPr>
              <w:jc w:val="right"/>
              <w:ind w:right="156"/>
              <w:spacing w:after="0"/>
              <w:rPr>
                <w:sz w:val="20"/>
                <w:szCs w:val="20"/>
                <w:color w:val="auto"/>
              </w:rPr>
            </w:pPr>
            <w:r>
              <w:rPr>
                <w:rFonts w:ascii="Arial" w:cs="Arial" w:eastAsia="Arial" w:hAnsi="Arial"/>
                <w:sz w:val="17"/>
                <w:szCs w:val="17"/>
                <w:color w:val="auto"/>
              </w:rPr>
              <w:t>$</w:t>
            </w:r>
          </w:p>
        </w:tc>
        <w:tc>
          <w:tcPr>
            <w:tcW w:w="1580" w:type="dxa"/>
            <w:vAlign w:val="bottom"/>
            <w:tcBorders>
              <w:bottom w:val="single" w:sz="8" w:color="auto"/>
            </w:tcBorders>
            <w:gridSpan w:val="2"/>
          </w:tcPr>
          <w:p>
            <w:pPr>
              <w:jc w:val="right"/>
              <w:ind w:right="56"/>
              <w:spacing w:after="0"/>
              <w:rPr>
                <w:sz w:val="20"/>
                <w:szCs w:val="20"/>
                <w:color w:val="auto"/>
              </w:rPr>
            </w:pPr>
            <w:r>
              <w:rPr>
                <w:rFonts w:ascii="Arial" w:cs="Arial" w:eastAsia="Arial" w:hAnsi="Arial"/>
                <w:sz w:val="17"/>
                <w:szCs w:val="17"/>
                <w:color w:val="auto"/>
              </w:rPr>
              <w:t>— $</w:t>
            </w:r>
          </w:p>
        </w:tc>
        <w:tc>
          <w:tcPr>
            <w:tcW w:w="1420" w:type="dxa"/>
            <w:vAlign w:val="bottom"/>
            <w:tcBorders>
              <w:bottom w:val="single" w:sz="8" w:color="auto"/>
            </w:tcBorders>
            <w:gridSpan w:val="2"/>
          </w:tcPr>
          <w:p>
            <w:pPr>
              <w:jc w:val="right"/>
              <w:ind w:right="56"/>
              <w:spacing w:after="0"/>
              <w:rPr>
                <w:sz w:val="20"/>
                <w:szCs w:val="20"/>
                <w:color w:val="auto"/>
              </w:rPr>
            </w:pPr>
            <w:r>
              <w:rPr>
                <w:rFonts w:ascii="Arial" w:cs="Arial" w:eastAsia="Arial" w:hAnsi="Arial"/>
                <w:sz w:val="17"/>
                <w:szCs w:val="17"/>
                <w:color w:val="auto"/>
              </w:rPr>
              <w:t>— $</w:t>
            </w:r>
          </w:p>
        </w:tc>
        <w:tc>
          <w:tcPr>
            <w:tcW w:w="1160" w:type="dxa"/>
            <w:vAlign w:val="bottom"/>
            <w:tcBorders>
              <w:bottom w:val="single" w:sz="8" w:color="auto"/>
            </w:tcBorders>
          </w:tcPr>
          <w:p>
            <w:pPr>
              <w:ind w:left="740"/>
              <w:spacing w:after="0"/>
              <w:rPr>
                <w:sz w:val="20"/>
                <w:szCs w:val="20"/>
                <w:color w:val="auto"/>
              </w:rPr>
            </w:pPr>
            <w:r>
              <w:rPr>
                <w:rFonts w:ascii="Arial" w:cs="Arial" w:eastAsia="Arial" w:hAnsi="Arial"/>
                <w:sz w:val="17"/>
                <w:szCs w:val="17"/>
                <w:color w:val="auto"/>
              </w:rPr>
              <w:t>(695)</w:t>
            </w:r>
          </w:p>
        </w:tc>
        <w:tc>
          <w:tcPr>
            <w:tcW w:w="460" w:type="dxa"/>
            <w:vAlign w:val="bottom"/>
            <w:tcBorders>
              <w:bottom w:val="single" w:sz="8" w:color="auto"/>
            </w:tcBorders>
          </w:tcPr>
          <w:p>
            <w:pPr>
              <w:jc w:val="right"/>
              <w:ind w:right="256"/>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(695)</w:t>
            </w:r>
          </w:p>
        </w:tc>
        <w:tc>
          <w:tcPr>
            <w:tcW w:w="0" w:type="dxa"/>
            <w:vAlign w:val="bottom"/>
          </w:tcPr>
          <w:p>
            <w:pPr>
              <w:spacing w:after="0"/>
              <w:rPr>
                <w:sz w:val="1"/>
                <w:szCs w:val="1"/>
                <w:color w:val="auto"/>
              </w:rPr>
            </w:pPr>
          </w:p>
        </w:tc>
      </w:tr>
      <w:tr>
        <w:trPr>
          <w:trHeight w:val="220"/>
        </w:trPr>
        <w:tc>
          <w:tcPr>
            <w:tcW w:w="400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Consolidated</w:t>
            </w:r>
          </w:p>
        </w:tc>
        <w:tc>
          <w:tcPr>
            <w:tcW w:w="1700" w:type="dxa"/>
            <w:vAlign w:val="bottom"/>
            <w:tcBorders>
              <w:bottom w:val="single" w:sz="8" w:color="auto"/>
            </w:tcBorders>
          </w:tcPr>
          <w:p>
            <w:pPr>
              <w:jc w:val="right"/>
              <w:ind w:right="156"/>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16,523</w:t>
            </w:r>
          </w:p>
        </w:tc>
        <w:tc>
          <w:tcPr>
            <w:tcW w:w="26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2,736</w:t>
            </w:r>
          </w:p>
        </w:tc>
        <w:tc>
          <w:tcPr>
            <w:tcW w:w="26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tcPr>
          <w:p>
            <w:pPr>
              <w:ind w:left="740"/>
              <w:spacing w:after="0"/>
              <w:rPr>
                <w:sz w:val="20"/>
                <w:szCs w:val="20"/>
                <w:color w:val="auto"/>
              </w:rPr>
            </w:pPr>
            <w:r>
              <w:rPr>
                <w:rFonts w:ascii="Arial" w:cs="Arial" w:eastAsia="Arial" w:hAnsi="Arial"/>
                <w:sz w:val="17"/>
                <w:szCs w:val="17"/>
                <w:color w:val="auto"/>
              </w:rPr>
              <w:t>(695)</w:t>
            </w:r>
          </w:p>
        </w:tc>
        <w:tc>
          <w:tcPr>
            <w:tcW w:w="460" w:type="dxa"/>
            <w:vAlign w:val="bottom"/>
            <w:tcBorders>
              <w:bottom w:val="single" w:sz="8" w:color="auto"/>
            </w:tcBorders>
          </w:tcPr>
          <w:p>
            <w:pPr>
              <w:jc w:val="right"/>
              <w:ind w:right="256"/>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18,564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85"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00539B"/>
        </w:rPr>
        <w:t>NOTE 3 - INVENTORIES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-180975</wp:posOffset>
            </wp:positionV>
            <wp:extent cx="713422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4225" cy="17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30480</wp:posOffset>
            </wp:positionV>
            <wp:extent cx="713422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pacing w:after="0" w:line="370" w:lineRule="exact"/>
        <w:rPr>
          <w:sz w:val="20"/>
          <w:szCs w:val="20"/>
          <w:color w:val="auto"/>
        </w:rPr>
      </w:pPr>
    </w:p>
    <w:p>
      <w:pPr>
        <w:jc w:val="both"/>
        <w:ind w:firstLine="240"/>
        <w:spacing w:after="0" w:line="269" w:lineRule="auto"/>
        <w:rPr>
          <w:sz w:val="20"/>
          <w:szCs w:val="20"/>
          <w:color w:val="auto"/>
        </w:rPr>
      </w:pPr>
      <w:r>
        <w:rPr>
          <w:rFonts w:ascii="Arial" w:cs="Arial" w:eastAsia="Arial" w:hAnsi="Arial"/>
          <w:sz w:val="17"/>
          <w:szCs w:val="17"/>
          <w:color w:val="auto"/>
        </w:rPr>
        <w:t>Finished goods primarily represent oil, which is carried at the lower of weighted-average cost or net realizable value, and caustic soda and chlorine, which are valued under the LIFO method. As of June 30, 2023 and December 31, 2022, inventories consisted of the following:</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5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7"/>
                <w:szCs w:val="17"/>
                <w:i w:val="1"/>
                <w:iCs w:val="1"/>
                <w:color w:val="auto"/>
              </w:rPr>
              <w:t>millions</w:t>
            </w:r>
          </w:p>
        </w:tc>
        <w:tc>
          <w:tcPr>
            <w:tcW w:w="2540" w:type="dxa"/>
            <w:vAlign w:val="bottom"/>
            <w:tcBorders>
              <w:top w:val="single" w:sz="8" w:color="auto"/>
              <w:bottom w:val="single" w:sz="8" w:color="auto"/>
            </w:tcBorders>
          </w:tcPr>
          <w:p>
            <w:pPr>
              <w:spacing w:after="0"/>
              <w:rPr>
                <w:sz w:val="20"/>
                <w:szCs w:val="20"/>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June 30, 2023</w:t>
            </w:r>
          </w:p>
        </w:tc>
        <w:tc>
          <w:tcPr>
            <w:tcW w:w="340" w:type="dxa"/>
            <w:vAlign w:val="bottom"/>
            <w:tcBorders>
              <w:top w:val="single" w:sz="8" w:color="auto"/>
              <w:bottom w:val="single" w:sz="8" w:color="auto"/>
            </w:tcBorders>
          </w:tcPr>
          <w:p>
            <w:pPr>
              <w:spacing w:after="0"/>
              <w:rPr>
                <w:sz w:val="20"/>
                <w:szCs w:val="20"/>
                <w:color w:val="auto"/>
              </w:rPr>
            </w:pPr>
          </w:p>
        </w:tc>
        <w:tc>
          <w:tcPr>
            <w:tcW w:w="1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December 31, 2022</w:t>
            </w:r>
          </w:p>
        </w:tc>
      </w:tr>
      <w:tr>
        <w:trPr>
          <w:trHeight w:val="247"/>
        </w:trPr>
        <w:tc>
          <w:tcPr>
            <w:tcW w:w="5100" w:type="dxa"/>
            <w:vAlign w:val="bottom"/>
          </w:tcPr>
          <w:p>
            <w:pPr>
              <w:ind w:left="20"/>
              <w:spacing w:after="0"/>
              <w:rPr>
                <w:sz w:val="20"/>
                <w:szCs w:val="20"/>
                <w:color w:val="auto"/>
              </w:rPr>
            </w:pPr>
            <w:r>
              <w:rPr>
                <w:rFonts w:ascii="Arial" w:cs="Arial" w:eastAsia="Arial" w:hAnsi="Arial"/>
                <w:sz w:val="17"/>
                <w:szCs w:val="17"/>
                <w:color w:val="auto"/>
              </w:rPr>
              <w:t>Raw materials</w:t>
            </w:r>
          </w:p>
        </w:tc>
        <w:tc>
          <w:tcPr>
            <w:tcW w:w="2540" w:type="dxa"/>
            <w:vAlign w:val="bottom"/>
          </w:tcPr>
          <w:p>
            <w:pPr>
              <w:jc w:val="right"/>
              <w:ind w:right="336"/>
              <w:spacing w:after="0"/>
              <w:rPr>
                <w:sz w:val="20"/>
                <w:szCs w:val="20"/>
                <w:color w:val="auto"/>
              </w:rPr>
            </w:pPr>
            <w:r>
              <w:rPr>
                <w:rFonts w:ascii="Arial" w:cs="Arial" w:eastAsia="Arial" w:hAnsi="Arial"/>
                <w:sz w:val="17"/>
                <w:szCs w:val="17"/>
                <w:b w:val="1"/>
                <w:bCs w:val="1"/>
                <w:color w:val="00539B"/>
              </w:rPr>
              <w:t>$</w:t>
            </w:r>
          </w:p>
        </w:tc>
        <w:tc>
          <w:tcPr>
            <w:tcW w:w="1540" w:type="dxa"/>
            <w:vAlign w:val="bottom"/>
          </w:tcPr>
          <w:p>
            <w:pPr>
              <w:jc w:val="right"/>
              <w:spacing w:after="0"/>
              <w:rPr>
                <w:sz w:val="20"/>
                <w:szCs w:val="20"/>
                <w:color w:val="auto"/>
              </w:rPr>
            </w:pPr>
            <w:r>
              <w:rPr>
                <w:rFonts w:ascii="Arial" w:cs="Arial" w:eastAsia="Arial" w:hAnsi="Arial"/>
                <w:sz w:val="17"/>
                <w:szCs w:val="17"/>
                <w:b w:val="1"/>
                <w:bCs w:val="1"/>
                <w:color w:val="00539B"/>
              </w:rPr>
              <w:t>120</w:t>
            </w:r>
          </w:p>
        </w:tc>
        <w:tc>
          <w:tcPr>
            <w:tcW w:w="340" w:type="dxa"/>
            <w:vAlign w:val="bottom"/>
          </w:tcPr>
          <w:p>
            <w:pPr>
              <w:jc w:val="right"/>
              <w:ind w:right="156"/>
              <w:spacing w:after="0"/>
              <w:rPr>
                <w:sz w:val="20"/>
                <w:szCs w:val="20"/>
                <w:color w:val="auto"/>
              </w:rPr>
            </w:pPr>
            <w:r>
              <w:rPr>
                <w:rFonts w:ascii="Arial" w:cs="Arial" w:eastAsia="Arial" w:hAnsi="Arial"/>
                <w:sz w:val="17"/>
                <w:szCs w:val="17"/>
                <w:color w:val="auto"/>
                <w:w w:val="84"/>
              </w:rPr>
              <w:t>$</w:t>
            </w:r>
          </w:p>
        </w:tc>
        <w:tc>
          <w:tcPr>
            <w:tcW w:w="1720" w:type="dxa"/>
            <w:vAlign w:val="bottom"/>
          </w:tcPr>
          <w:p>
            <w:pPr>
              <w:jc w:val="right"/>
              <w:spacing w:after="0"/>
              <w:rPr>
                <w:sz w:val="20"/>
                <w:szCs w:val="20"/>
                <w:color w:val="auto"/>
              </w:rPr>
            </w:pPr>
            <w:r>
              <w:rPr>
                <w:rFonts w:ascii="Arial" w:cs="Arial" w:eastAsia="Arial" w:hAnsi="Arial"/>
                <w:sz w:val="17"/>
                <w:szCs w:val="17"/>
                <w:color w:val="auto"/>
              </w:rPr>
              <w:t>120</w:t>
            </w:r>
          </w:p>
        </w:tc>
      </w:tr>
      <w:tr>
        <w:trPr>
          <w:trHeight w:val="227"/>
        </w:trPr>
        <w:tc>
          <w:tcPr>
            <w:tcW w:w="5100" w:type="dxa"/>
            <w:vAlign w:val="bottom"/>
          </w:tcPr>
          <w:p>
            <w:pPr>
              <w:ind w:left="20"/>
              <w:spacing w:after="0"/>
              <w:rPr>
                <w:sz w:val="20"/>
                <w:szCs w:val="20"/>
                <w:color w:val="auto"/>
              </w:rPr>
            </w:pPr>
            <w:r>
              <w:rPr>
                <w:rFonts w:ascii="Arial" w:cs="Arial" w:eastAsia="Arial" w:hAnsi="Arial"/>
                <w:sz w:val="17"/>
                <w:szCs w:val="17"/>
                <w:color w:val="auto"/>
              </w:rPr>
              <w:t>Materials and supplies</w:t>
            </w:r>
          </w:p>
        </w:tc>
        <w:tc>
          <w:tcPr>
            <w:tcW w:w="25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7"/>
                <w:szCs w:val="17"/>
                <w:b w:val="1"/>
                <w:bCs w:val="1"/>
                <w:color w:val="00539B"/>
              </w:rPr>
              <w:t>850</w:t>
            </w:r>
          </w:p>
        </w:tc>
        <w:tc>
          <w:tcPr>
            <w:tcW w:w="3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7"/>
                <w:szCs w:val="17"/>
                <w:color w:val="auto"/>
              </w:rPr>
              <w:t>913</w:t>
            </w:r>
          </w:p>
        </w:tc>
      </w:tr>
      <w:tr>
        <w:trPr>
          <w:trHeight w:val="226"/>
        </w:trPr>
        <w:tc>
          <w:tcPr>
            <w:tcW w:w="51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Commodity inventory and finished goods</w:t>
            </w:r>
          </w:p>
        </w:tc>
        <w:tc>
          <w:tcPr>
            <w:tcW w:w="25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1,172</w:t>
            </w:r>
          </w:p>
        </w:tc>
        <w:tc>
          <w:tcPr>
            <w:tcW w:w="3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1,147</w:t>
            </w:r>
          </w:p>
        </w:tc>
      </w:tr>
      <w:tr>
        <w:trPr>
          <w:trHeight w:val="207"/>
        </w:trPr>
        <w:tc>
          <w:tcPr>
            <w:tcW w:w="510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7"/>
                <w:szCs w:val="17"/>
                <w:b w:val="1"/>
                <w:bCs w:val="1"/>
                <w:color w:val="00539B"/>
              </w:rPr>
              <w:t>2,142</w:t>
            </w:r>
          </w:p>
        </w:tc>
        <w:tc>
          <w:tcPr>
            <w:tcW w:w="34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7"/>
                <w:szCs w:val="17"/>
                <w:color w:val="auto"/>
              </w:rPr>
              <w:t>2,180</w:t>
            </w:r>
          </w:p>
        </w:tc>
      </w:tr>
      <w:tr>
        <w:trPr>
          <w:trHeight w:val="237"/>
        </w:trPr>
        <w:tc>
          <w:tcPr>
            <w:tcW w:w="51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Revaluation to LIFO</w:t>
            </w:r>
          </w:p>
        </w:tc>
        <w:tc>
          <w:tcPr>
            <w:tcW w:w="25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(121)</w:t>
            </w:r>
          </w:p>
        </w:tc>
        <w:tc>
          <w:tcPr>
            <w:tcW w:w="34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(121)</w:t>
            </w:r>
          </w:p>
        </w:tc>
      </w:tr>
      <w:tr>
        <w:trPr>
          <w:trHeight w:val="209"/>
        </w:trPr>
        <w:tc>
          <w:tcPr>
            <w:tcW w:w="510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Total</w:t>
            </w:r>
          </w:p>
        </w:tc>
        <w:tc>
          <w:tcPr>
            <w:tcW w:w="2540" w:type="dxa"/>
            <w:vAlign w:val="bottom"/>
            <w:tcBorders>
              <w:bottom w:val="single" w:sz="8" w:color="auto"/>
            </w:tcBorders>
          </w:tcPr>
          <w:p>
            <w:pPr>
              <w:jc w:val="right"/>
              <w:ind w:right="336"/>
              <w:spacing w:after="0"/>
              <w:rPr>
                <w:sz w:val="20"/>
                <w:szCs w:val="20"/>
                <w:color w:val="auto"/>
              </w:rPr>
            </w:pPr>
            <w:r>
              <w:rPr>
                <w:rFonts w:ascii="Arial" w:cs="Arial" w:eastAsia="Arial" w:hAnsi="Arial"/>
                <w:sz w:val="17"/>
                <w:szCs w:val="17"/>
                <w:b w:val="1"/>
                <w:bCs w:val="1"/>
                <w:color w:val="00539B"/>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2,021</w:t>
            </w:r>
          </w:p>
        </w:tc>
        <w:tc>
          <w:tcPr>
            <w:tcW w:w="340" w:type="dxa"/>
            <w:vAlign w:val="bottom"/>
            <w:tcBorders>
              <w:bottom w:val="single" w:sz="8" w:color="auto"/>
            </w:tcBorders>
          </w:tcPr>
          <w:p>
            <w:pPr>
              <w:jc w:val="right"/>
              <w:ind w:right="156"/>
              <w:spacing w:after="0"/>
              <w:rPr>
                <w:sz w:val="20"/>
                <w:szCs w:val="20"/>
                <w:color w:val="auto"/>
              </w:rPr>
            </w:pPr>
            <w:r>
              <w:rPr>
                <w:rFonts w:ascii="Arial" w:cs="Arial" w:eastAsia="Arial" w:hAnsi="Arial"/>
                <w:sz w:val="17"/>
                <w:szCs w:val="17"/>
                <w:color w:val="auto"/>
                <w:w w:val="84"/>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2,059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715962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347" w:right="339" w:bottom="1440" w:gutter="0" w:footer="0" w:header="0"/>
        </w:sectPr>
      </w:pPr>
    </w:p>
    <w:bookmarkStart w:id="13" w:name="page14"/>
    <w:bookmarkEnd w:id="13"/>
    <w:p>
      <w:pPr>
        <w:ind w:left="20"/>
        <w:spacing w:after="0"/>
        <w:rPr>
          <w:sz w:val="20"/>
          <w:szCs w:val="20"/>
          <w:color w:val="auto"/>
        </w:rPr>
      </w:pPr>
      <w:r>
        <w:rPr>
          <w:rFonts w:ascii="Arial" w:cs="Arial" w:eastAsia="Arial" w:hAnsi="Arial"/>
          <w:sz w:val="25"/>
          <w:szCs w:val="25"/>
          <w:b w:val="1"/>
          <w:bCs w:val="1"/>
          <w:color w:val="00539B"/>
        </w:rPr>
        <w:t>NOTE 4 -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-180975</wp:posOffset>
            </wp:positionV>
            <wp:extent cx="713422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4225" cy="17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30480</wp:posOffset>
            </wp:positionV>
            <wp:extent cx="713422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pacing w:after="0" w:line="357" w:lineRule="exact"/>
        <w:rPr>
          <w:sz w:val="20"/>
          <w:szCs w:val="20"/>
          <w:color w:val="auto"/>
        </w:rPr>
      </w:pPr>
    </w:p>
    <w:p>
      <w:pPr>
        <w:ind w:left="240"/>
        <w:spacing w:after="0"/>
        <w:rPr>
          <w:sz w:val="20"/>
          <w:szCs w:val="20"/>
          <w:color w:val="auto"/>
        </w:rPr>
      </w:pPr>
      <w:r>
        <w:rPr>
          <w:rFonts w:ascii="Arial" w:cs="Arial" w:eastAsia="Arial" w:hAnsi="Arial"/>
          <w:sz w:val="17"/>
          <w:szCs w:val="17"/>
          <w:color w:val="auto"/>
        </w:rPr>
        <w:t>As of June 30, 2023 and December 31, 2022, Occidental’s debt consisted of the following:</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0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7"/>
                <w:szCs w:val="17"/>
                <w:i w:val="1"/>
                <w:iCs w:val="1"/>
                <w:color w:val="auto"/>
              </w:rPr>
              <w:t>millions</w:t>
            </w:r>
          </w:p>
        </w:tc>
        <w:tc>
          <w:tcPr>
            <w:tcW w:w="580" w:type="dxa"/>
            <w:vAlign w:val="bottom"/>
            <w:tcBorders>
              <w:top w:val="single" w:sz="8" w:color="auto"/>
              <w:bottom w:val="single" w:sz="8" w:color="auto"/>
            </w:tcBorders>
          </w:tcPr>
          <w:p>
            <w:pPr>
              <w:spacing w:after="0"/>
              <w:rPr>
                <w:sz w:val="19"/>
                <w:szCs w:val="19"/>
                <w:color w:val="auto"/>
              </w:rPr>
            </w:pPr>
          </w:p>
        </w:tc>
        <w:tc>
          <w:tcPr>
            <w:tcW w:w="1860" w:type="dxa"/>
            <w:vAlign w:val="bottom"/>
            <w:tcBorders>
              <w:top w:val="single" w:sz="8" w:color="auto"/>
              <w:bottom w:val="single" w:sz="8" w:color="auto"/>
            </w:tcBorders>
          </w:tcPr>
          <w:p>
            <w:pPr>
              <w:jc w:val="right"/>
              <w:ind w:right="276"/>
              <w:spacing w:after="0"/>
              <w:rPr>
                <w:sz w:val="20"/>
                <w:szCs w:val="20"/>
                <w:color w:val="auto"/>
              </w:rPr>
            </w:pPr>
            <w:r>
              <w:rPr>
                <w:rFonts w:ascii="Arial" w:cs="Arial" w:eastAsia="Arial" w:hAnsi="Arial"/>
                <w:sz w:val="17"/>
                <w:szCs w:val="17"/>
                <w:b w:val="1"/>
                <w:bCs w:val="1"/>
                <w:color w:val="00539B"/>
              </w:rPr>
              <w:t>June 30, 2023</w:t>
            </w:r>
          </w:p>
        </w:tc>
        <w:tc>
          <w:tcPr>
            <w:tcW w:w="1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December 31, 2022</w:t>
            </w:r>
          </w:p>
        </w:tc>
        <w:tc>
          <w:tcPr>
            <w:tcW w:w="0" w:type="dxa"/>
            <w:vAlign w:val="bottom"/>
          </w:tcPr>
          <w:p>
            <w:pPr>
              <w:spacing w:after="0"/>
              <w:rPr>
                <w:sz w:val="1"/>
                <w:szCs w:val="1"/>
                <w:color w:val="auto"/>
              </w:rPr>
            </w:pPr>
          </w:p>
        </w:tc>
      </w:tr>
      <w:tr>
        <w:trPr>
          <w:trHeight w:val="207"/>
        </w:trPr>
        <w:tc>
          <w:tcPr>
            <w:tcW w:w="7060" w:type="dxa"/>
            <w:vAlign w:val="bottom"/>
          </w:tcPr>
          <w:p>
            <w:pPr>
              <w:ind w:left="220"/>
              <w:spacing w:after="0"/>
              <w:rPr>
                <w:sz w:val="20"/>
                <w:szCs w:val="20"/>
                <w:color w:val="auto"/>
              </w:rPr>
            </w:pPr>
            <w:r>
              <w:rPr>
                <w:rFonts w:ascii="Arial" w:cs="Arial" w:eastAsia="Arial" w:hAnsi="Arial"/>
                <w:sz w:val="17"/>
                <w:szCs w:val="17"/>
                <w:color w:val="auto"/>
              </w:rPr>
              <w:t>8.750% medium-term notes due 2023</w:t>
            </w:r>
          </w:p>
        </w:tc>
        <w:tc>
          <w:tcPr>
            <w:tcW w:w="580" w:type="dxa"/>
            <w:vAlign w:val="bottom"/>
          </w:tcPr>
          <w:p>
            <w:pPr>
              <w:jc w:val="right"/>
              <w:ind w:right="336"/>
              <w:spacing w:after="0"/>
              <w:rPr>
                <w:sz w:val="20"/>
                <w:szCs w:val="20"/>
                <w:color w:val="auto"/>
              </w:rPr>
            </w:pPr>
            <w:r>
              <w:rPr>
                <w:rFonts w:ascii="Arial" w:cs="Arial" w:eastAsia="Arial" w:hAnsi="Arial"/>
                <w:sz w:val="17"/>
                <w:szCs w:val="17"/>
                <w:b w:val="1"/>
                <w:bCs w:val="1"/>
                <w:color w:val="00539B"/>
              </w:rPr>
              <w:t>$</w:t>
            </w:r>
          </w:p>
        </w:tc>
        <w:tc>
          <w:tcPr>
            <w:tcW w:w="1860" w:type="dxa"/>
            <w:vAlign w:val="bottom"/>
          </w:tcPr>
          <w:p>
            <w:pPr>
              <w:jc w:val="right"/>
              <w:ind w:right="136"/>
              <w:spacing w:after="0"/>
              <w:rPr>
                <w:sz w:val="20"/>
                <w:szCs w:val="20"/>
                <w:color w:val="auto"/>
              </w:rPr>
            </w:pPr>
            <w:r>
              <w:rPr>
                <w:rFonts w:ascii="Arial" w:cs="Arial" w:eastAsia="Arial" w:hAnsi="Arial"/>
                <w:sz w:val="17"/>
                <w:szCs w:val="17"/>
                <w:b w:val="1"/>
                <w:bCs w:val="1"/>
                <w:color w:val="00539B"/>
              </w:rPr>
              <w:t xml:space="preserve">— </w:t>
            </w:r>
            <w:r>
              <w:rPr>
                <w:rFonts w:ascii="Arial" w:cs="Arial" w:eastAsia="Arial" w:hAnsi="Arial"/>
                <w:sz w:val="17"/>
                <w:szCs w:val="17"/>
                <w:color w:val="000000"/>
              </w:rPr>
              <w:t>$</w:t>
            </w:r>
          </w:p>
        </w:tc>
        <w:tc>
          <w:tcPr>
            <w:tcW w:w="1740" w:type="dxa"/>
            <w:vAlign w:val="bottom"/>
          </w:tcPr>
          <w:p>
            <w:pPr>
              <w:jc w:val="right"/>
              <w:spacing w:after="0"/>
              <w:rPr>
                <w:sz w:val="20"/>
                <w:szCs w:val="20"/>
                <w:color w:val="auto"/>
              </w:rPr>
            </w:pPr>
            <w:r>
              <w:rPr>
                <w:rFonts w:ascii="Arial" w:cs="Arial" w:eastAsia="Arial" w:hAnsi="Arial"/>
                <w:sz w:val="17"/>
                <w:szCs w:val="17"/>
                <w:color w:val="auto"/>
              </w:rPr>
              <w:t>22</w:t>
            </w:r>
          </w:p>
        </w:tc>
        <w:tc>
          <w:tcPr>
            <w:tcW w:w="0" w:type="dxa"/>
            <w:vAlign w:val="bottom"/>
          </w:tcPr>
          <w:p>
            <w:pPr>
              <w:spacing w:after="0"/>
              <w:rPr>
                <w:sz w:val="1"/>
                <w:szCs w:val="1"/>
                <w:color w:val="auto"/>
              </w:rPr>
            </w:pPr>
          </w:p>
        </w:tc>
      </w:tr>
      <w:tr>
        <w:trPr>
          <w:trHeight w:val="213"/>
        </w:trPr>
        <w:tc>
          <w:tcPr>
            <w:tcW w:w="7060" w:type="dxa"/>
            <w:vAlign w:val="bottom"/>
          </w:tcPr>
          <w:p>
            <w:pPr>
              <w:ind w:left="220"/>
              <w:spacing w:after="0"/>
              <w:rPr>
                <w:sz w:val="20"/>
                <w:szCs w:val="20"/>
                <w:color w:val="auto"/>
              </w:rPr>
            </w:pPr>
            <w:r>
              <w:rPr>
                <w:rFonts w:ascii="Arial" w:cs="Arial" w:eastAsia="Arial" w:hAnsi="Arial"/>
                <w:sz w:val="17"/>
                <w:szCs w:val="17"/>
                <w:color w:val="auto"/>
              </w:rPr>
              <w:t>2.900% senior notes due 2024</w:t>
            </w:r>
          </w:p>
        </w:tc>
        <w:tc>
          <w:tcPr>
            <w:tcW w:w="580" w:type="dxa"/>
            <w:vAlign w:val="bottom"/>
          </w:tcPr>
          <w:p>
            <w:pPr>
              <w:spacing w:after="0"/>
              <w:rPr>
                <w:sz w:val="18"/>
                <w:szCs w:val="18"/>
                <w:color w:val="auto"/>
              </w:rPr>
            </w:pPr>
          </w:p>
        </w:tc>
        <w:tc>
          <w:tcPr>
            <w:tcW w:w="1860" w:type="dxa"/>
            <w:vAlign w:val="bottom"/>
          </w:tcPr>
          <w:p>
            <w:pPr>
              <w:jc w:val="right"/>
              <w:ind w:right="336"/>
              <w:spacing w:after="0"/>
              <w:rPr>
                <w:sz w:val="20"/>
                <w:szCs w:val="20"/>
                <w:color w:val="auto"/>
              </w:rPr>
            </w:pPr>
            <w:r>
              <w:rPr>
                <w:rFonts w:ascii="Arial" w:cs="Arial" w:eastAsia="Arial" w:hAnsi="Arial"/>
                <w:sz w:val="17"/>
                <w:szCs w:val="17"/>
                <w:b w:val="1"/>
                <w:bCs w:val="1"/>
                <w:color w:val="00539B"/>
              </w:rPr>
              <w:t>654</w:t>
            </w:r>
          </w:p>
        </w:tc>
        <w:tc>
          <w:tcPr>
            <w:tcW w:w="1740" w:type="dxa"/>
            <w:vAlign w:val="bottom"/>
          </w:tcPr>
          <w:p>
            <w:pPr>
              <w:jc w:val="right"/>
              <w:spacing w:after="0"/>
              <w:rPr>
                <w:sz w:val="20"/>
                <w:szCs w:val="20"/>
                <w:color w:val="auto"/>
              </w:rPr>
            </w:pPr>
            <w:r>
              <w:rPr>
                <w:rFonts w:ascii="Arial" w:cs="Arial" w:eastAsia="Arial" w:hAnsi="Arial"/>
                <w:sz w:val="17"/>
                <w:szCs w:val="17"/>
                <w:color w:val="auto"/>
              </w:rPr>
              <w:t>654</w:t>
            </w:r>
          </w:p>
        </w:tc>
        <w:tc>
          <w:tcPr>
            <w:tcW w:w="0" w:type="dxa"/>
            <w:vAlign w:val="bottom"/>
          </w:tcPr>
          <w:p>
            <w:pPr>
              <w:spacing w:after="0"/>
              <w:rPr>
                <w:sz w:val="1"/>
                <w:szCs w:val="1"/>
                <w:color w:val="auto"/>
              </w:rPr>
            </w:pPr>
          </w:p>
        </w:tc>
      </w:tr>
      <w:tr>
        <w:trPr>
          <w:trHeight w:val="227"/>
        </w:trPr>
        <w:tc>
          <w:tcPr>
            <w:tcW w:w="7060" w:type="dxa"/>
            <w:vAlign w:val="bottom"/>
          </w:tcPr>
          <w:p>
            <w:pPr>
              <w:ind w:left="220"/>
              <w:spacing w:after="0"/>
              <w:rPr>
                <w:sz w:val="20"/>
                <w:szCs w:val="20"/>
                <w:color w:val="auto"/>
              </w:rPr>
            </w:pPr>
            <w:r>
              <w:rPr>
                <w:rFonts w:ascii="Arial" w:cs="Arial" w:eastAsia="Arial" w:hAnsi="Arial"/>
                <w:sz w:val="17"/>
                <w:szCs w:val="17"/>
                <w:color w:val="auto"/>
              </w:rPr>
              <w:t>6.950% senior notes due 2024</w:t>
            </w:r>
          </w:p>
        </w:tc>
        <w:tc>
          <w:tcPr>
            <w:tcW w:w="580" w:type="dxa"/>
            <w:vAlign w:val="bottom"/>
          </w:tcPr>
          <w:p>
            <w:pPr>
              <w:spacing w:after="0"/>
              <w:rPr>
                <w:sz w:val="19"/>
                <w:szCs w:val="19"/>
                <w:color w:val="auto"/>
              </w:rPr>
            </w:pPr>
          </w:p>
        </w:tc>
        <w:tc>
          <w:tcPr>
            <w:tcW w:w="1860" w:type="dxa"/>
            <w:vAlign w:val="bottom"/>
          </w:tcPr>
          <w:p>
            <w:pPr>
              <w:jc w:val="right"/>
              <w:ind w:right="336"/>
              <w:spacing w:after="0"/>
              <w:rPr>
                <w:sz w:val="20"/>
                <w:szCs w:val="20"/>
                <w:color w:val="auto"/>
              </w:rPr>
            </w:pPr>
            <w:r>
              <w:rPr>
                <w:rFonts w:ascii="Arial" w:cs="Arial" w:eastAsia="Arial" w:hAnsi="Arial"/>
                <w:sz w:val="17"/>
                <w:szCs w:val="17"/>
                <w:b w:val="1"/>
                <w:bCs w:val="1"/>
                <w:color w:val="00539B"/>
              </w:rPr>
              <w:t>291</w:t>
            </w:r>
          </w:p>
        </w:tc>
        <w:tc>
          <w:tcPr>
            <w:tcW w:w="1740" w:type="dxa"/>
            <w:vAlign w:val="bottom"/>
          </w:tcPr>
          <w:p>
            <w:pPr>
              <w:jc w:val="right"/>
              <w:spacing w:after="0"/>
              <w:rPr>
                <w:sz w:val="20"/>
                <w:szCs w:val="20"/>
                <w:color w:val="auto"/>
              </w:rPr>
            </w:pPr>
            <w:r>
              <w:rPr>
                <w:rFonts w:ascii="Arial" w:cs="Arial" w:eastAsia="Arial" w:hAnsi="Arial"/>
                <w:sz w:val="17"/>
                <w:szCs w:val="17"/>
                <w:color w:val="auto"/>
              </w:rPr>
              <w:t>291</w:t>
            </w:r>
          </w:p>
        </w:tc>
        <w:tc>
          <w:tcPr>
            <w:tcW w:w="0" w:type="dxa"/>
            <w:vAlign w:val="bottom"/>
          </w:tcPr>
          <w:p>
            <w:pPr>
              <w:spacing w:after="0"/>
              <w:rPr>
                <w:sz w:val="1"/>
                <w:szCs w:val="1"/>
                <w:color w:val="auto"/>
              </w:rPr>
            </w:pPr>
          </w:p>
        </w:tc>
      </w:tr>
      <w:tr>
        <w:trPr>
          <w:trHeight w:val="227"/>
        </w:trPr>
        <w:tc>
          <w:tcPr>
            <w:tcW w:w="7060" w:type="dxa"/>
            <w:vAlign w:val="bottom"/>
          </w:tcPr>
          <w:p>
            <w:pPr>
              <w:ind w:left="220"/>
              <w:spacing w:after="0"/>
              <w:rPr>
                <w:sz w:val="20"/>
                <w:szCs w:val="20"/>
                <w:color w:val="auto"/>
              </w:rPr>
            </w:pPr>
            <w:r>
              <w:rPr>
                <w:rFonts w:ascii="Arial" w:cs="Arial" w:eastAsia="Arial" w:hAnsi="Arial"/>
                <w:sz w:val="17"/>
                <w:szCs w:val="17"/>
                <w:color w:val="auto"/>
              </w:rPr>
              <w:t>3.450% senior notes due 2024</w:t>
            </w:r>
          </w:p>
        </w:tc>
        <w:tc>
          <w:tcPr>
            <w:tcW w:w="580" w:type="dxa"/>
            <w:vAlign w:val="bottom"/>
          </w:tcPr>
          <w:p>
            <w:pPr>
              <w:spacing w:after="0"/>
              <w:rPr>
                <w:sz w:val="19"/>
                <w:szCs w:val="19"/>
                <w:color w:val="auto"/>
              </w:rPr>
            </w:pPr>
          </w:p>
        </w:tc>
        <w:tc>
          <w:tcPr>
            <w:tcW w:w="1860" w:type="dxa"/>
            <w:vAlign w:val="bottom"/>
          </w:tcPr>
          <w:p>
            <w:pPr>
              <w:jc w:val="right"/>
              <w:ind w:right="336"/>
              <w:spacing w:after="0"/>
              <w:rPr>
                <w:sz w:val="20"/>
                <w:szCs w:val="20"/>
                <w:color w:val="auto"/>
              </w:rPr>
            </w:pPr>
            <w:r>
              <w:rPr>
                <w:rFonts w:ascii="Arial" w:cs="Arial" w:eastAsia="Arial" w:hAnsi="Arial"/>
                <w:sz w:val="17"/>
                <w:szCs w:val="17"/>
                <w:b w:val="1"/>
                <w:bCs w:val="1"/>
                <w:color w:val="00539B"/>
              </w:rPr>
              <w:t>111</w:t>
            </w:r>
          </w:p>
        </w:tc>
        <w:tc>
          <w:tcPr>
            <w:tcW w:w="1740" w:type="dxa"/>
            <w:vAlign w:val="bottom"/>
          </w:tcPr>
          <w:p>
            <w:pPr>
              <w:jc w:val="right"/>
              <w:spacing w:after="0"/>
              <w:rPr>
                <w:sz w:val="20"/>
                <w:szCs w:val="20"/>
                <w:color w:val="auto"/>
              </w:rPr>
            </w:pPr>
            <w:r>
              <w:rPr>
                <w:rFonts w:ascii="Arial" w:cs="Arial" w:eastAsia="Arial" w:hAnsi="Arial"/>
                <w:sz w:val="17"/>
                <w:szCs w:val="17"/>
                <w:color w:val="auto"/>
              </w:rPr>
              <w:t>111</w:t>
            </w:r>
          </w:p>
        </w:tc>
        <w:tc>
          <w:tcPr>
            <w:tcW w:w="0" w:type="dxa"/>
            <w:vAlign w:val="bottom"/>
          </w:tcPr>
          <w:p>
            <w:pPr>
              <w:spacing w:after="0"/>
              <w:rPr>
                <w:sz w:val="1"/>
                <w:szCs w:val="1"/>
                <w:color w:val="auto"/>
              </w:rPr>
            </w:pPr>
          </w:p>
        </w:tc>
      </w:tr>
      <w:tr>
        <w:trPr>
          <w:trHeight w:val="213"/>
        </w:trPr>
        <w:tc>
          <w:tcPr>
            <w:tcW w:w="7060" w:type="dxa"/>
            <w:vAlign w:val="bottom"/>
          </w:tcPr>
          <w:p>
            <w:pPr>
              <w:ind w:left="220"/>
              <w:spacing w:after="0"/>
              <w:rPr>
                <w:sz w:val="20"/>
                <w:szCs w:val="20"/>
                <w:color w:val="auto"/>
              </w:rPr>
            </w:pPr>
            <w:r>
              <w:rPr>
                <w:rFonts w:ascii="Arial" w:cs="Arial" w:eastAsia="Arial" w:hAnsi="Arial"/>
                <w:sz w:val="17"/>
                <w:szCs w:val="17"/>
                <w:color w:val="auto"/>
              </w:rPr>
              <w:t>5.875% senior notes due 2025</w:t>
            </w:r>
          </w:p>
        </w:tc>
        <w:tc>
          <w:tcPr>
            <w:tcW w:w="580" w:type="dxa"/>
            <w:vAlign w:val="bottom"/>
          </w:tcPr>
          <w:p>
            <w:pPr>
              <w:spacing w:after="0"/>
              <w:rPr>
                <w:sz w:val="18"/>
                <w:szCs w:val="18"/>
                <w:color w:val="auto"/>
              </w:rPr>
            </w:pPr>
          </w:p>
        </w:tc>
        <w:tc>
          <w:tcPr>
            <w:tcW w:w="1860" w:type="dxa"/>
            <w:vAlign w:val="bottom"/>
          </w:tcPr>
          <w:p>
            <w:pPr>
              <w:jc w:val="right"/>
              <w:ind w:right="336"/>
              <w:spacing w:after="0"/>
              <w:rPr>
                <w:sz w:val="20"/>
                <w:szCs w:val="20"/>
                <w:color w:val="auto"/>
              </w:rPr>
            </w:pPr>
            <w:r>
              <w:rPr>
                <w:rFonts w:ascii="Arial" w:cs="Arial" w:eastAsia="Arial" w:hAnsi="Arial"/>
                <w:sz w:val="17"/>
                <w:szCs w:val="17"/>
                <w:b w:val="1"/>
                <w:bCs w:val="1"/>
                <w:color w:val="00539B"/>
              </w:rPr>
              <w:t>606</w:t>
            </w:r>
          </w:p>
        </w:tc>
        <w:tc>
          <w:tcPr>
            <w:tcW w:w="1740" w:type="dxa"/>
            <w:vAlign w:val="bottom"/>
          </w:tcPr>
          <w:p>
            <w:pPr>
              <w:jc w:val="right"/>
              <w:spacing w:after="0"/>
              <w:rPr>
                <w:sz w:val="20"/>
                <w:szCs w:val="20"/>
                <w:color w:val="auto"/>
              </w:rPr>
            </w:pPr>
            <w:r>
              <w:rPr>
                <w:rFonts w:ascii="Arial" w:cs="Arial" w:eastAsia="Arial" w:hAnsi="Arial"/>
                <w:sz w:val="17"/>
                <w:szCs w:val="17"/>
                <w:color w:val="auto"/>
              </w:rPr>
              <w:t>606</w:t>
            </w:r>
          </w:p>
        </w:tc>
        <w:tc>
          <w:tcPr>
            <w:tcW w:w="0" w:type="dxa"/>
            <w:vAlign w:val="bottom"/>
          </w:tcPr>
          <w:p>
            <w:pPr>
              <w:spacing w:after="0"/>
              <w:rPr>
                <w:sz w:val="1"/>
                <w:szCs w:val="1"/>
                <w:color w:val="auto"/>
              </w:rPr>
            </w:pPr>
          </w:p>
        </w:tc>
      </w:tr>
      <w:tr>
        <w:trPr>
          <w:trHeight w:val="227"/>
        </w:trPr>
        <w:tc>
          <w:tcPr>
            <w:tcW w:w="7060" w:type="dxa"/>
            <w:vAlign w:val="bottom"/>
          </w:tcPr>
          <w:p>
            <w:pPr>
              <w:ind w:left="220"/>
              <w:spacing w:after="0"/>
              <w:rPr>
                <w:sz w:val="20"/>
                <w:szCs w:val="20"/>
                <w:color w:val="auto"/>
              </w:rPr>
            </w:pPr>
            <w:r>
              <w:rPr>
                <w:rFonts w:ascii="Arial" w:cs="Arial" w:eastAsia="Arial" w:hAnsi="Arial"/>
                <w:sz w:val="17"/>
                <w:szCs w:val="17"/>
                <w:color w:val="auto"/>
              </w:rPr>
              <w:t>3.500% senior notes due 2025</w:t>
            </w:r>
          </w:p>
        </w:tc>
        <w:tc>
          <w:tcPr>
            <w:tcW w:w="580" w:type="dxa"/>
            <w:vAlign w:val="bottom"/>
          </w:tcPr>
          <w:p>
            <w:pPr>
              <w:spacing w:after="0"/>
              <w:rPr>
                <w:sz w:val="19"/>
                <w:szCs w:val="19"/>
                <w:color w:val="auto"/>
              </w:rPr>
            </w:pPr>
          </w:p>
        </w:tc>
        <w:tc>
          <w:tcPr>
            <w:tcW w:w="1860" w:type="dxa"/>
            <w:vAlign w:val="bottom"/>
          </w:tcPr>
          <w:p>
            <w:pPr>
              <w:jc w:val="right"/>
              <w:ind w:right="336"/>
              <w:spacing w:after="0"/>
              <w:rPr>
                <w:sz w:val="20"/>
                <w:szCs w:val="20"/>
                <w:color w:val="auto"/>
              </w:rPr>
            </w:pPr>
            <w:r>
              <w:rPr>
                <w:rFonts w:ascii="Arial" w:cs="Arial" w:eastAsia="Arial" w:hAnsi="Arial"/>
                <w:sz w:val="17"/>
                <w:szCs w:val="17"/>
                <w:b w:val="1"/>
                <w:bCs w:val="1"/>
                <w:color w:val="00539B"/>
              </w:rPr>
              <w:t>137</w:t>
            </w:r>
          </w:p>
        </w:tc>
        <w:tc>
          <w:tcPr>
            <w:tcW w:w="1740" w:type="dxa"/>
            <w:vAlign w:val="bottom"/>
          </w:tcPr>
          <w:p>
            <w:pPr>
              <w:jc w:val="right"/>
              <w:spacing w:after="0"/>
              <w:rPr>
                <w:sz w:val="20"/>
                <w:szCs w:val="20"/>
                <w:color w:val="auto"/>
              </w:rPr>
            </w:pPr>
            <w:r>
              <w:rPr>
                <w:rFonts w:ascii="Arial" w:cs="Arial" w:eastAsia="Arial" w:hAnsi="Arial"/>
                <w:sz w:val="17"/>
                <w:szCs w:val="17"/>
                <w:color w:val="auto"/>
              </w:rPr>
              <w:t>137</w:t>
            </w:r>
          </w:p>
        </w:tc>
        <w:tc>
          <w:tcPr>
            <w:tcW w:w="0" w:type="dxa"/>
            <w:vAlign w:val="bottom"/>
          </w:tcPr>
          <w:p>
            <w:pPr>
              <w:spacing w:after="0"/>
              <w:rPr>
                <w:sz w:val="1"/>
                <w:szCs w:val="1"/>
                <w:color w:val="auto"/>
              </w:rPr>
            </w:pPr>
          </w:p>
        </w:tc>
      </w:tr>
      <w:tr>
        <w:trPr>
          <w:trHeight w:val="227"/>
        </w:trPr>
        <w:tc>
          <w:tcPr>
            <w:tcW w:w="7060" w:type="dxa"/>
            <w:vAlign w:val="bottom"/>
          </w:tcPr>
          <w:p>
            <w:pPr>
              <w:ind w:left="220"/>
              <w:spacing w:after="0"/>
              <w:rPr>
                <w:sz w:val="20"/>
                <w:szCs w:val="20"/>
                <w:color w:val="auto"/>
              </w:rPr>
            </w:pPr>
            <w:r>
              <w:rPr>
                <w:rFonts w:ascii="Arial" w:cs="Arial" w:eastAsia="Arial" w:hAnsi="Arial"/>
                <w:sz w:val="17"/>
                <w:szCs w:val="17"/>
                <w:color w:val="auto"/>
              </w:rPr>
              <w:t>5.500% senior notes due 2025</w:t>
            </w:r>
          </w:p>
        </w:tc>
        <w:tc>
          <w:tcPr>
            <w:tcW w:w="580" w:type="dxa"/>
            <w:vAlign w:val="bottom"/>
          </w:tcPr>
          <w:p>
            <w:pPr>
              <w:spacing w:after="0"/>
              <w:rPr>
                <w:sz w:val="19"/>
                <w:szCs w:val="19"/>
                <w:color w:val="auto"/>
              </w:rPr>
            </w:pPr>
          </w:p>
        </w:tc>
        <w:tc>
          <w:tcPr>
            <w:tcW w:w="1860" w:type="dxa"/>
            <w:vAlign w:val="bottom"/>
          </w:tcPr>
          <w:p>
            <w:pPr>
              <w:jc w:val="right"/>
              <w:ind w:right="336"/>
              <w:spacing w:after="0"/>
              <w:rPr>
                <w:sz w:val="20"/>
                <w:szCs w:val="20"/>
                <w:color w:val="auto"/>
              </w:rPr>
            </w:pPr>
            <w:r>
              <w:rPr>
                <w:rFonts w:ascii="Arial" w:cs="Arial" w:eastAsia="Arial" w:hAnsi="Arial"/>
                <w:sz w:val="17"/>
                <w:szCs w:val="17"/>
                <w:b w:val="1"/>
                <w:bCs w:val="1"/>
                <w:color w:val="00539B"/>
              </w:rPr>
              <w:t>465</w:t>
            </w:r>
          </w:p>
        </w:tc>
        <w:tc>
          <w:tcPr>
            <w:tcW w:w="1740" w:type="dxa"/>
            <w:vAlign w:val="bottom"/>
          </w:tcPr>
          <w:p>
            <w:pPr>
              <w:jc w:val="right"/>
              <w:spacing w:after="0"/>
              <w:rPr>
                <w:sz w:val="20"/>
                <w:szCs w:val="20"/>
                <w:color w:val="auto"/>
              </w:rPr>
            </w:pPr>
            <w:r>
              <w:rPr>
                <w:rFonts w:ascii="Arial" w:cs="Arial" w:eastAsia="Arial" w:hAnsi="Arial"/>
                <w:sz w:val="17"/>
                <w:szCs w:val="17"/>
                <w:color w:val="auto"/>
              </w:rPr>
              <w:t>465</w:t>
            </w:r>
          </w:p>
        </w:tc>
        <w:tc>
          <w:tcPr>
            <w:tcW w:w="0" w:type="dxa"/>
            <w:vAlign w:val="bottom"/>
          </w:tcPr>
          <w:p>
            <w:pPr>
              <w:spacing w:after="0"/>
              <w:rPr>
                <w:sz w:val="1"/>
                <w:szCs w:val="1"/>
                <w:color w:val="auto"/>
              </w:rPr>
            </w:pPr>
          </w:p>
        </w:tc>
      </w:tr>
      <w:tr>
        <w:trPr>
          <w:trHeight w:val="213"/>
        </w:trPr>
        <w:tc>
          <w:tcPr>
            <w:tcW w:w="7060" w:type="dxa"/>
            <w:vAlign w:val="bottom"/>
          </w:tcPr>
          <w:p>
            <w:pPr>
              <w:ind w:left="220"/>
              <w:spacing w:after="0"/>
              <w:rPr>
                <w:sz w:val="20"/>
                <w:szCs w:val="20"/>
                <w:color w:val="auto"/>
              </w:rPr>
            </w:pPr>
            <w:r>
              <w:rPr>
                <w:rFonts w:ascii="Arial" w:cs="Arial" w:eastAsia="Arial" w:hAnsi="Arial"/>
                <w:sz w:val="17"/>
                <w:szCs w:val="17"/>
                <w:color w:val="auto"/>
              </w:rPr>
              <w:t>5.550% senior notes due 2026</w:t>
            </w:r>
          </w:p>
        </w:tc>
        <w:tc>
          <w:tcPr>
            <w:tcW w:w="580" w:type="dxa"/>
            <w:vAlign w:val="bottom"/>
          </w:tcPr>
          <w:p>
            <w:pPr>
              <w:spacing w:after="0"/>
              <w:rPr>
                <w:sz w:val="18"/>
                <w:szCs w:val="18"/>
                <w:color w:val="auto"/>
              </w:rPr>
            </w:pPr>
          </w:p>
        </w:tc>
        <w:tc>
          <w:tcPr>
            <w:tcW w:w="1860" w:type="dxa"/>
            <w:vAlign w:val="bottom"/>
          </w:tcPr>
          <w:p>
            <w:pPr>
              <w:jc w:val="right"/>
              <w:ind w:right="336"/>
              <w:spacing w:after="0"/>
              <w:rPr>
                <w:sz w:val="20"/>
                <w:szCs w:val="20"/>
                <w:color w:val="auto"/>
              </w:rPr>
            </w:pPr>
            <w:r>
              <w:rPr>
                <w:rFonts w:ascii="Arial" w:cs="Arial" w:eastAsia="Arial" w:hAnsi="Arial"/>
                <w:sz w:val="17"/>
                <w:szCs w:val="17"/>
                <w:b w:val="1"/>
                <w:bCs w:val="1"/>
                <w:color w:val="00539B"/>
              </w:rPr>
              <w:t>870</w:t>
            </w:r>
          </w:p>
        </w:tc>
        <w:tc>
          <w:tcPr>
            <w:tcW w:w="1740" w:type="dxa"/>
            <w:vAlign w:val="bottom"/>
          </w:tcPr>
          <w:p>
            <w:pPr>
              <w:jc w:val="right"/>
              <w:spacing w:after="0"/>
              <w:rPr>
                <w:sz w:val="20"/>
                <w:szCs w:val="20"/>
                <w:color w:val="auto"/>
              </w:rPr>
            </w:pPr>
            <w:r>
              <w:rPr>
                <w:rFonts w:ascii="Arial" w:cs="Arial" w:eastAsia="Arial" w:hAnsi="Arial"/>
                <w:sz w:val="17"/>
                <w:szCs w:val="17"/>
                <w:color w:val="auto"/>
              </w:rPr>
              <w:t>870</w:t>
            </w:r>
          </w:p>
        </w:tc>
        <w:tc>
          <w:tcPr>
            <w:tcW w:w="0" w:type="dxa"/>
            <w:vAlign w:val="bottom"/>
          </w:tcPr>
          <w:p>
            <w:pPr>
              <w:spacing w:after="0"/>
              <w:rPr>
                <w:sz w:val="1"/>
                <w:szCs w:val="1"/>
                <w:color w:val="auto"/>
              </w:rPr>
            </w:pPr>
          </w:p>
        </w:tc>
      </w:tr>
      <w:tr>
        <w:trPr>
          <w:trHeight w:val="227"/>
        </w:trPr>
        <w:tc>
          <w:tcPr>
            <w:tcW w:w="7060" w:type="dxa"/>
            <w:vAlign w:val="bottom"/>
          </w:tcPr>
          <w:p>
            <w:pPr>
              <w:ind w:left="220"/>
              <w:spacing w:after="0"/>
              <w:rPr>
                <w:sz w:val="20"/>
                <w:szCs w:val="20"/>
                <w:color w:val="auto"/>
              </w:rPr>
            </w:pPr>
            <w:r>
              <w:rPr>
                <w:rFonts w:ascii="Arial" w:cs="Arial" w:eastAsia="Arial" w:hAnsi="Arial"/>
                <w:sz w:val="17"/>
                <w:szCs w:val="17"/>
                <w:color w:val="auto"/>
              </w:rPr>
              <w:t>3.200% senior notes due 2026</w:t>
            </w:r>
          </w:p>
        </w:tc>
        <w:tc>
          <w:tcPr>
            <w:tcW w:w="580" w:type="dxa"/>
            <w:vAlign w:val="bottom"/>
          </w:tcPr>
          <w:p>
            <w:pPr>
              <w:spacing w:after="0"/>
              <w:rPr>
                <w:sz w:val="19"/>
                <w:szCs w:val="19"/>
                <w:color w:val="auto"/>
              </w:rPr>
            </w:pPr>
          </w:p>
        </w:tc>
        <w:tc>
          <w:tcPr>
            <w:tcW w:w="1860" w:type="dxa"/>
            <w:vAlign w:val="bottom"/>
          </w:tcPr>
          <w:p>
            <w:pPr>
              <w:jc w:val="right"/>
              <w:ind w:right="336"/>
              <w:spacing w:after="0"/>
              <w:rPr>
                <w:sz w:val="20"/>
                <w:szCs w:val="20"/>
                <w:color w:val="auto"/>
              </w:rPr>
            </w:pPr>
            <w:r>
              <w:rPr>
                <w:rFonts w:ascii="Arial" w:cs="Arial" w:eastAsia="Arial" w:hAnsi="Arial"/>
                <w:sz w:val="17"/>
                <w:szCs w:val="17"/>
                <w:b w:val="1"/>
                <w:bCs w:val="1"/>
                <w:color w:val="00539B"/>
              </w:rPr>
              <w:t>182</w:t>
            </w:r>
          </w:p>
        </w:tc>
        <w:tc>
          <w:tcPr>
            <w:tcW w:w="1740" w:type="dxa"/>
            <w:vAlign w:val="bottom"/>
          </w:tcPr>
          <w:p>
            <w:pPr>
              <w:jc w:val="right"/>
              <w:spacing w:after="0"/>
              <w:rPr>
                <w:sz w:val="20"/>
                <w:szCs w:val="20"/>
                <w:color w:val="auto"/>
              </w:rPr>
            </w:pPr>
            <w:r>
              <w:rPr>
                <w:rFonts w:ascii="Arial" w:cs="Arial" w:eastAsia="Arial" w:hAnsi="Arial"/>
                <w:sz w:val="17"/>
                <w:szCs w:val="17"/>
                <w:color w:val="auto"/>
              </w:rPr>
              <w:t>182</w:t>
            </w:r>
          </w:p>
        </w:tc>
        <w:tc>
          <w:tcPr>
            <w:tcW w:w="0" w:type="dxa"/>
            <w:vAlign w:val="bottom"/>
          </w:tcPr>
          <w:p>
            <w:pPr>
              <w:spacing w:after="0"/>
              <w:rPr>
                <w:sz w:val="1"/>
                <w:szCs w:val="1"/>
                <w:color w:val="auto"/>
              </w:rPr>
            </w:pPr>
          </w:p>
        </w:tc>
      </w:tr>
      <w:tr>
        <w:trPr>
          <w:trHeight w:val="227"/>
        </w:trPr>
        <w:tc>
          <w:tcPr>
            <w:tcW w:w="7060" w:type="dxa"/>
            <w:vAlign w:val="bottom"/>
          </w:tcPr>
          <w:p>
            <w:pPr>
              <w:ind w:left="220"/>
              <w:spacing w:after="0"/>
              <w:rPr>
                <w:sz w:val="20"/>
                <w:szCs w:val="20"/>
                <w:color w:val="auto"/>
              </w:rPr>
            </w:pPr>
            <w:r>
              <w:rPr>
                <w:rFonts w:ascii="Arial" w:cs="Arial" w:eastAsia="Arial" w:hAnsi="Arial"/>
                <w:sz w:val="17"/>
                <w:szCs w:val="17"/>
                <w:color w:val="auto"/>
              </w:rPr>
              <w:t>3.400% senior notes due 2026</w:t>
            </w:r>
          </w:p>
        </w:tc>
        <w:tc>
          <w:tcPr>
            <w:tcW w:w="580" w:type="dxa"/>
            <w:vAlign w:val="bottom"/>
          </w:tcPr>
          <w:p>
            <w:pPr>
              <w:spacing w:after="0"/>
              <w:rPr>
                <w:sz w:val="19"/>
                <w:szCs w:val="19"/>
                <w:color w:val="auto"/>
              </w:rPr>
            </w:pPr>
          </w:p>
        </w:tc>
        <w:tc>
          <w:tcPr>
            <w:tcW w:w="1860" w:type="dxa"/>
            <w:vAlign w:val="bottom"/>
          </w:tcPr>
          <w:p>
            <w:pPr>
              <w:jc w:val="right"/>
              <w:ind w:right="336"/>
              <w:spacing w:after="0"/>
              <w:rPr>
                <w:sz w:val="20"/>
                <w:szCs w:val="20"/>
                <w:color w:val="auto"/>
              </w:rPr>
            </w:pPr>
            <w:r>
              <w:rPr>
                <w:rFonts w:ascii="Arial" w:cs="Arial" w:eastAsia="Arial" w:hAnsi="Arial"/>
                <w:sz w:val="17"/>
                <w:szCs w:val="17"/>
                <w:b w:val="1"/>
                <w:bCs w:val="1"/>
                <w:color w:val="00539B"/>
              </w:rPr>
              <w:t>284</w:t>
            </w:r>
          </w:p>
        </w:tc>
        <w:tc>
          <w:tcPr>
            <w:tcW w:w="1740" w:type="dxa"/>
            <w:vAlign w:val="bottom"/>
          </w:tcPr>
          <w:p>
            <w:pPr>
              <w:jc w:val="right"/>
              <w:spacing w:after="0"/>
              <w:rPr>
                <w:sz w:val="20"/>
                <w:szCs w:val="20"/>
                <w:color w:val="auto"/>
              </w:rPr>
            </w:pPr>
            <w:r>
              <w:rPr>
                <w:rFonts w:ascii="Arial" w:cs="Arial" w:eastAsia="Arial" w:hAnsi="Arial"/>
                <w:sz w:val="17"/>
                <w:szCs w:val="17"/>
                <w:color w:val="auto"/>
              </w:rPr>
              <w:t>284</w:t>
            </w:r>
          </w:p>
        </w:tc>
        <w:tc>
          <w:tcPr>
            <w:tcW w:w="0" w:type="dxa"/>
            <w:vAlign w:val="bottom"/>
          </w:tcPr>
          <w:p>
            <w:pPr>
              <w:spacing w:after="0"/>
              <w:rPr>
                <w:sz w:val="1"/>
                <w:szCs w:val="1"/>
                <w:color w:val="auto"/>
              </w:rPr>
            </w:pPr>
          </w:p>
        </w:tc>
      </w:tr>
      <w:tr>
        <w:trPr>
          <w:trHeight w:val="213"/>
        </w:trPr>
        <w:tc>
          <w:tcPr>
            <w:tcW w:w="7060" w:type="dxa"/>
            <w:vAlign w:val="bottom"/>
          </w:tcPr>
          <w:p>
            <w:pPr>
              <w:ind w:left="220"/>
              <w:spacing w:after="0"/>
              <w:rPr>
                <w:sz w:val="20"/>
                <w:szCs w:val="20"/>
                <w:color w:val="auto"/>
              </w:rPr>
            </w:pPr>
            <w:r>
              <w:rPr>
                <w:rFonts w:ascii="Arial" w:cs="Arial" w:eastAsia="Arial" w:hAnsi="Arial"/>
                <w:sz w:val="17"/>
                <w:szCs w:val="17"/>
                <w:color w:val="auto"/>
              </w:rPr>
              <w:t>7.500% debentures due 2026</w:t>
            </w:r>
          </w:p>
        </w:tc>
        <w:tc>
          <w:tcPr>
            <w:tcW w:w="580" w:type="dxa"/>
            <w:vAlign w:val="bottom"/>
          </w:tcPr>
          <w:p>
            <w:pPr>
              <w:spacing w:after="0"/>
              <w:rPr>
                <w:sz w:val="18"/>
                <w:szCs w:val="18"/>
                <w:color w:val="auto"/>
              </w:rPr>
            </w:pPr>
          </w:p>
        </w:tc>
        <w:tc>
          <w:tcPr>
            <w:tcW w:w="1860" w:type="dxa"/>
            <w:vAlign w:val="bottom"/>
          </w:tcPr>
          <w:p>
            <w:pPr>
              <w:jc w:val="right"/>
              <w:ind w:right="336"/>
              <w:spacing w:after="0"/>
              <w:rPr>
                <w:sz w:val="20"/>
                <w:szCs w:val="20"/>
                <w:color w:val="auto"/>
              </w:rPr>
            </w:pPr>
            <w:r>
              <w:rPr>
                <w:rFonts w:ascii="Arial" w:cs="Arial" w:eastAsia="Arial" w:hAnsi="Arial"/>
                <w:sz w:val="17"/>
                <w:szCs w:val="17"/>
                <w:b w:val="1"/>
                <w:bCs w:val="1"/>
                <w:color w:val="00539B"/>
              </w:rPr>
              <w:t>112</w:t>
            </w:r>
          </w:p>
        </w:tc>
        <w:tc>
          <w:tcPr>
            <w:tcW w:w="1740" w:type="dxa"/>
            <w:vAlign w:val="bottom"/>
          </w:tcPr>
          <w:p>
            <w:pPr>
              <w:jc w:val="right"/>
              <w:spacing w:after="0"/>
              <w:rPr>
                <w:sz w:val="20"/>
                <w:szCs w:val="20"/>
                <w:color w:val="auto"/>
              </w:rPr>
            </w:pPr>
            <w:r>
              <w:rPr>
                <w:rFonts w:ascii="Arial" w:cs="Arial" w:eastAsia="Arial" w:hAnsi="Arial"/>
                <w:sz w:val="17"/>
                <w:szCs w:val="17"/>
                <w:color w:val="auto"/>
              </w:rPr>
              <w:t>112</w:t>
            </w:r>
          </w:p>
        </w:tc>
        <w:tc>
          <w:tcPr>
            <w:tcW w:w="0" w:type="dxa"/>
            <w:vAlign w:val="bottom"/>
          </w:tcPr>
          <w:p>
            <w:pPr>
              <w:spacing w:after="0"/>
              <w:rPr>
                <w:sz w:val="1"/>
                <w:szCs w:val="1"/>
                <w:color w:val="auto"/>
              </w:rPr>
            </w:pPr>
          </w:p>
        </w:tc>
      </w:tr>
      <w:tr>
        <w:trPr>
          <w:trHeight w:val="227"/>
        </w:trPr>
        <w:tc>
          <w:tcPr>
            <w:tcW w:w="7060" w:type="dxa"/>
            <w:vAlign w:val="bottom"/>
          </w:tcPr>
          <w:p>
            <w:pPr>
              <w:ind w:left="220"/>
              <w:spacing w:after="0"/>
              <w:rPr>
                <w:sz w:val="20"/>
                <w:szCs w:val="20"/>
                <w:color w:val="auto"/>
              </w:rPr>
            </w:pPr>
            <w:r>
              <w:rPr>
                <w:rFonts w:ascii="Arial" w:cs="Arial" w:eastAsia="Arial" w:hAnsi="Arial"/>
                <w:sz w:val="17"/>
                <w:szCs w:val="17"/>
                <w:color w:val="auto"/>
              </w:rPr>
              <w:t>8.500% senior notes due 2027</w:t>
            </w:r>
          </w:p>
        </w:tc>
        <w:tc>
          <w:tcPr>
            <w:tcW w:w="580" w:type="dxa"/>
            <w:vAlign w:val="bottom"/>
          </w:tcPr>
          <w:p>
            <w:pPr>
              <w:spacing w:after="0"/>
              <w:rPr>
                <w:sz w:val="19"/>
                <w:szCs w:val="19"/>
                <w:color w:val="auto"/>
              </w:rPr>
            </w:pPr>
          </w:p>
        </w:tc>
        <w:tc>
          <w:tcPr>
            <w:tcW w:w="1860" w:type="dxa"/>
            <w:vAlign w:val="bottom"/>
          </w:tcPr>
          <w:p>
            <w:pPr>
              <w:jc w:val="right"/>
              <w:ind w:right="336"/>
              <w:spacing w:after="0"/>
              <w:rPr>
                <w:sz w:val="20"/>
                <w:szCs w:val="20"/>
                <w:color w:val="auto"/>
              </w:rPr>
            </w:pPr>
            <w:r>
              <w:rPr>
                <w:rFonts w:ascii="Arial" w:cs="Arial" w:eastAsia="Arial" w:hAnsi="Arial"/>
                <w:sz w:val="17"/>
                <w:szCs w:val="17"/>
                <w:b w:val="1"/>
                <w:bCs w:val="1"/>
                <w:color w:val="00539B"/>
              </w:rPr>
              <w:t>489</w:t>
            </w:r>
          </w:p>
        </w:tc>
        <w:tc>
          <w:tcPr>
            <w:tcW w:w="1740" w:type="dxa"/>
            <w:vAlign w:val="bottom"/>
          </w:tcPr>
          <w:p>
            <w:pPr>
              <w:jc w:val="right"/>
              <w:spacing w:after="0"/>
              <w:rPr>
                <w:sz w:val="20"/>
                <w:szCs w:val="20"/>
                <w:color w:val="auto"/>
              </w:rPr>
            </w:pPr>
            <w:r>
              <w:rPr>
                <w:rFonts w:ascii="Arial" w:cs="Arial" w:eastAsia="Arial" w:hAnsi="Arial"/>
                <w:sz w:val="17"/>
                <w:szCs w:val="17"/>
                <w:color w:val="auto"/>
              </w:rPr>
              <w:t>489</w:t>
            </w:r>
          </w:p>
        </w:tc>
        <w:tc>
          <w:tcPr>
            <w:tcW w:w="0" w:type="dxa"/>
            <w:vAlign w:val="bottom"/>
          </w:tcPr>
          <w:p>
            <w:pPr>
              <w:spacing w:after="0"/>
              <w:rPr>
                <w:sz w:val="1"/>
                <w:szCs w:val="1"/>
                <w:color w:val="auto"/>
              </w:rPr>
            </w:pPr>
          </w:p>
        </w:tc>
      </w:tr>
      <w:tr>
        <w:trPr>
          <w:trHeight w:val="227"/>
        </w:trPr>
        <w:tc>
          <w:tcPr>
            <w:tcW w:w="7060" w:type="dxa"/>
            <w:vAlign w:val="bottom"/>
          </w:tcPr>
          <w:p>
            <w:pPr>
              <w:ind w:left="220"/>
              <w:spacing w:after="0"/>
              <w:rPr>
                <w:sz w:val="20"/>
                <w:szCs w:val="20"/>
                <w:color w:val="auto"/>
              </w:rPr>
            </w:pPr>
            <w:r>
              <w:rPr>
                <w:rFonts w:ascii="Arial" w:cs="Arial" w:eastAsia="Arial" w:hAnsi="Arial"/>
                <w:sz w:val="17"/>
                <w:szCs w:val="17"/>
                <w:color w:val="auto"/>
              </w:rPr>
              <w:t>3.000% senior notes due 2027</w:t>
            </w:r>
          </w:p>
        </w:tc>
        <w:tc>
          <w:tcPr>
            <w:tcW w:w="580" w:type="dxa"/>
            <w:vAlign w:val="bottom"/>
          </w:tcPr>
          <w:p>
            <w:pPr>
              <w:spacing w:after="0"/>
              <w:rPr>
                <w:sz w:val="19"/>
                <w:szCs w:val="19"/>
                <w:color w:val="auto"/>
              </w:rPr>
            </w:pPr>
          </w:p>
        </w:tc>
        <w:tc>
          <w:tcPr>
            <w:tcW w:w="1860" w:type="dxa"/>
            <w:vAlign w:val="bottom"/>
          </w:tcPr>
          <w:p>
            <w:pPr>
              <w:jc w:val="right"/>
              <w:ind w:right="336"/>
              <w:spacing w:after="0"/>
              <w:rPr>
                <w:sz w:val="20"/>
                <w:szCs w:val="20"/>
                <w:color w:val="auto"/>
              </w:rPr>
            </w:pPr>
            <w:r>
              <w:rPr>
                <w:rFonts w:ascii="Arial" w:cs="Arial" w:eastAsia="Arial" w:hAnsi="Arial"/>
                <w:sz w:val="17"/>
                <w:szCs w:val="17"/>
                <w:b w:val="1"/>
                <w:bCs w:val="1"/>
                <w:color w:val="00539B"/>
              </w:rPr>
              <w:t>216</w:t>
            </w:r>
          </w:p>
        </w:tc>
        <w:tc>
          <w:tcPr>
            <w:tcW w:w="1740" w:type="dxa"/>
            <w:vAlign w:val="bottom"/>
          </w:tcPr>
          <w:p>
            <w:pPr>
              <w:jc w:val="right"/>
              <w:spacing w:after="0"/>
              <w:rPr>
                <w:sz w:val="20"/>
                <w:szCs w:val="20"/>
                <w:color w:val="auto"/>
              </w:rPr>
            </w:pPr>
            <w:r>
              <w:rPr>
                <w:rFonts w:ascii="Arial" w:cs="Arial" w:eastAsia="Arial" w:hAnsi="Arial"/>
                <w:sz w:val="17"/>
                <w:szCs w:val="17"/>
                <w:color w:val="auto"/>
              </w:rPr>
              <w:t>216</w:t>
            </w:r>
          </w:p>
        </w:tc>
        <w:tc>
          <w:tcPr>
            <w:tcW w:w="0" w:type="dxa"/>
            <w:vAlign w:val="bottom"/>
          </w:tcPr>
          <w:p>
            <w:pPr>
              <w:spacing w:after="0"/>
              <w:rPr>
                <w:sz w:val="1"/>
                <w:szCs w:val="1"/>
                <w:color w:val="auto"/>
              </w:rPr>
            </w:pPr>
          </w:p>
        </w:tc>
      </w:tr>
      <w:tr>
        <w:trPr>
          <w:trHeight w:val="213"/>
        </w:trPr>
        <w:tc>
          <w:tcPr>
            <w:tcW w:w="7060" w:type="dxa"/>
            <w:vAlign w:val="bottom"/>
          </w:tcPr>
          <w:p>
            <w:pPr>
              <w:ind w:left="220"/>
              <w:spacing w:after="0"/>
              <w:rPr>
                <w:sz w:val="20"/>
                <w:szCs w:val="20"/>
                <w:color w:val="auto"/>
              </w:rPr>
            </w:pPr>
            <w:r>
              <w:rPr>
                <w:rFonts w:ascii="Arial" w:cs="Arial" w:eastAsia="Arial" w:hAnsi="Arial"/>
                <w:sz w:val="17"/>
                <w:szCs w:val="17"/>
                <w:color w:val="auto"/>
              </w:rPr>
              <w:t>7.125% debentures due 2027</w:t>
            </w:r>
          </w:p>
        </w:tc>
        <w:tc>
          <w:tcPr>
            <w:tcW w:w="580" w:type="dxa"/>
            <w:vAlign w:val="bottom"/>
          </w:tcPr>
          <w:p>
            <w:pPr>
              <w:spacing w:after="0"/>
              <w:rPr>
                <w:sz w:val="18"/>
                <w:szCs w:val="18"/>
                <w:color w:val="auto"/>
              </w:rPr>
            </w:pPr>
          </w:p>
        </w:tc>
        <w:tc>
          <w:tcPr>
            <w:tcW w:w="1860" w:type="dxa"/>
            <w:vAlign w:val="bottom"/>
          </w:tcPr>
          <w:p>
            <w:pPr>
              <w:jc w:val="right"/>
              <w:ind w:right="336"/>
              <w:spacing w:after="0"/>
              <w:rPr>
                <w:sz w:val="20"/>
                <w:szCs w:val="20"/>
                <w:color w:val="auto"/>
              </w:rPr>
            </w:pPr>
            <w:r>
              <w:rPr>
                <w:rFonts w:ascii="Arial" w:cs="Arial" w:eastAsia="Arial" w:hAnsi="Arial"/>
                <w:sz w:val="17"/>
                <w:szCs w:val="17"/>
                <w:b w:val="1"/>
                <w:bCs w:val="1"/>
                <w:color w:val="00539B"/>
              </w:rPr>
              <w:t>150</w:t>
            </w:r>
          </w:p>
        </w:tc>
        <w:tc>
          <w:tcPr>
            <w:tcW w:w="1740" w:type="dxa"/>
            <w:vAlign w:val="bottom"/>
          </w:tcPr>
          <w:p>
            <w:pPr>
              <w:jc w:val="right"/>
              <w:spacing w:after="0"/>
              <w:rPr>
                <w:sz w:val="20"/>
                <w:szCs w:val="20"/>
                <w:color w:val="auto"/>
              </w:rPr>
            </w:pPr>
            <w:r>
              <w:rPr>
                <w:rFonts w:ascii="Arial" w:cs="Arial" w:eastAsia="Arial" w:hAnsi="Arial"/>
                <w:sz w:val="17"/>
                <w:szCs w:val="17"/>
                <w:color w:val="auto"/>
              </w:rPr>
              <w:t>150</w:t>
            </w:r>
          </w:p>
        </w:tc>
        <w:tc>
          <w:tcPr>
            <w:tcW w:w="0" w:type="dxa"/>
            <w:vAlign w:val="bottom"/>
          </w:tcPr>
          <w:p>
            <w:pPr>
              <w:spacing w:after="0"/>
              <w:rPr>
                <w:sz w:val="1"/>
                <w:szCs w:val="1"/>
                <w:color w:val="auto"/>
              </w:rPr>
            </w:pPr>
          </w:p>
        </w:tc>
      </w:tr>
      <w:tr>
        <w:trPr>
          <w:trHeight w:val="227"/>
        </w:trPr>
        <w:tc>
          <w:tcPr>
            <w:tcW w:w="7060" w:type="dxa"/>
            <w:vAlign w:val="bottom"/>
          </w:tcPr>
          <w:p>
            <w:pPr>
              <w:ind w:left="220"/>
              <w:spacing w:after="0"/>
              <w:rPr>
                <w:sz w:val="20"/>
                <w:szCs w:val="20"/>
                <w:color w:val="auto"/>
              </w:rPr>
            </w:pPr>
            <w:r>
              <w:rPr>
                <w:rFonts w:ascii="Arial" w:cs="Arial" w:eastAsia="Arial" w:hAnsi="Arial"/>
                <w:sz w:val="17"/>
                <w:szCs w:val="17"/>
                <w:color w:val="auto"/>
              </w:rPr>
              <w:t>7.000% debentures due 2027</w:t>
            </w:r>
          </w:p>
        </w:tc>
        <w:tc>
          <w:tcPr>
            <w:tcW w:w="580" w:type="dxa"/>
            <w:vAlign w:val="bottom"/>
          </w:tcPr>
          <w:p>
            <w:pPr>
              <w:spacing w:after="0"/>
              <w:rPr>
                <w:sz w:val="19"/>
                <w:szCs w:val="19"/>
                <w:color w:val="auto"/>
              </w:rPr>
            </w:pPr>
          </w:p>
        </w:tc>
        <w:tc>
          <w:tcPr>
            <w:tcW w:w="1860" w:type="dxa"/>
            <w:vAlign w:val="bottom"/>
          </w:tcPr>
          <w:p>
            <w:pPr>
              <w:jc w:val="right"/>
              <w:ind w:right="336"/>
              <w:spacing w:after="0"/>
              <w:rPr>
                <w:sz w:val="20"/>
                <w:szCs w:val="20"/>
                <w:color w:val="auto"/>
              </w:rPr>
            </w:pPr>
            <w:r>
              <w:rPr>
                <w:rFonts w:ascii="Arial" w:cs="Arial" w:eastAsia="Arial" w:hAnsi="Arial"/>
                <w:sz w:val="17"/>
                <w:szCs w:val="17"/>
                <w:b w:val="1"/>
                <w:bCs w:val="1"/>
                <w:color w:val="00539B"/>
              </w:rPr>
              <w:t>48</w:t>
            </w:r>
          </w:p>
        </w:tc>
        <w:tc>
          <w:tcPr>
            <w:tcW w:w="1740" w:type="dxa"/>
            <w:vAlign w:val="bottom"/>
          </w:tcPr>
          <w:p>
            <w:pPr>
              <w:jc w:val="right"/>
              <w:spacing w:after="0"/>
              <w:rPr>
                <w:sz w:val="20"/>
                <w:szCs w:val="20"/>
                <w:color w:val="auto"/>
              </w:rPr>
            </w:pPr>
            <w:r>
              <w:rPr>
                <w:rFonts w:ascii="Arial" w:cs="Arial" w:eastAsia="Arial" w:hAnsi="Arial"/>
                <w:sz w:val="17"/>
                <w:szCs w:val="17"/>
                <w:color w:val="auto"/>
              </w:rPr>
              <w:t>48</w:t>
            </w:r>
          </w:p>
        </w:tc>
        <w:tc>
          <w:tcPr>
            <w:tcW w:w="0" w:type="dxa"/>
            <w:vAlign w:val="bottom"/>
          </w:tcPr>
          <w:p>
            <w:pPr>
              <w:spacing w:after="0"/>
              <w:rPr>
                <w:sz w:val="1"/>
                <w:szCs w:val="1"/>
                <w:color w:val="auto"/>
              </w:rPr>
            </w:pPr>
          </w:p>
        </w:tc>
      </w:tr>
      <w:tr>
        <w:trPr>
          <w:trHeight w:val="227"/>
        </w:trPr>
        <w:tc>
          <w:tcPr>
            <w:tcW w:w="7060" w:type="dxa"/>
            <w:vAlign w:val="bottom"/>
          </w:tcPr>
          <w:p>
            <w:pPr>
              <w:ind w:left="220"/>
              <w:spacing w:after="0"/>
              <w:rPr>
                <w:sz w:val="20"/>
                <w:szCs w:val="20"/>
                <w:color w:val="auto"/>
              </w:rPr>
            </w:pPr>
            <w:r>
              <w:rPr>
                <w:rFonts w:ascii="Arial" w:cs="Arial" w:eastAsia="Arial" w:hAnsi="Arial"/>
                <w:sz w:val="17"/>
                <w:szCs w:val="17"/>
                <w:color w:val="auto"/>
              </w:rPr>
              <w:t>6.625% debentures due 2028</w:t>
            </w:r>
          </w:p>
        </w:tc>
        <w:tc>
          <w:tcPr>
            <w:tcW w:w="580" w:type="dxa"/>
            <w:vAlign w:val="bottom"/>
          </w:tcPr>
          <w:p>
            <w:pPr>
              <w:spacing w:after="0"/>
              <w:rPr>
                <w:sz w:val="19"/>
                <w:szCs w:val="19"/>
                <w:color w:val="auto"/>
              </w:rPr>
            </w:pPr>
          </w:p>
        </w:tc>
        <w:tc>
          <w:tcPr>
            <w:tcW w:w="1860" w:type="dxa"/>
            <w:vAlign w:val="bottom"/>
          </w:tcPr>
          <w:p>
            <w:pPr>
              <w:jc w:val="right"/>
              <w:ind w:right="336"/>
              <w:spacing w:after="0"/>
              <w:rPr>
                <w:sz w:val="20"/>
                <w:szCs w:val="20"/>
                <w:color w:val="auto"/>
              </w:rPr>
            </w:pPr>
            <w:r>
              <w:rPr>
                <w:rFonts w:ascii="Arial" w:cs="Arial" w:eastAsia="Arial" w:hAnsi="Arial"/>
                <w:sz w:val="17"/>
                <w:szCs w:val="17"/>
                <w:b w:val="1"/>
                <w:bCs w:val="1"/>
                <w:color w:val="00539B"/>
              </w:rPr>
              <w:t>14</w:t>
            </w:r>
          </w:p>
        </w:tc>
        <w:tc>
          <w:tcPr>
            <w:tcW w:w="1740" w:type="dxa"/>
            <w:vAlign w:val="bottom"/>
          </w:tcPr>
          <w:p>
            <w:pPr>
              <w:jc w:val="right"/>
              <w:spacing w:after="0"/>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r>
        <w:trPr>
          <w:trHeight w:val="213"/>
        </w:trPr>
        <w:tc>
          <w:tcPr>
            <w:tcW w:w="7060" w:type="dxa"/>
            <w:vAlign w:val="bottom"/>
          </w:tcPr>
          <w:p>
            <w:pPr>
              <w:ind w:left="220"/>
              <w:spacing w:after="0"/>
              <w:rPr>
                <w:sz w:val="20"/>
                <w:szCs w:val="20"/>
                <w:color w:val="auto"/>
              </w:rPr>
            </w:pPr>
            <w:r>
              <w:rPr>
                <w:rFonts w:ascii="Arial" w:cs="Arial" w:eastAsia="Arial" w:hAnsi="Arial"/>
                <w:sz w:val="17"/>
                <w:szCs w:val="17"/>
                <w:color w:val="auto"/>
              </w:rPr>
              <w:t>7.150% debentures due 2028</w:t>
            </w:r>
          </w:p>
        </w:tc>
        <w:tc>
          <w:tcPr>
            <w:tcW w:w="580" w:type="dxa"/>
            <w:vAlign w:val="bottom"/>
          </w:tcPr>
          <w:p>
            <w:pPr>
              <w:spacing w:after="0"/>
              <w:rPr>
                <w:sz w:val="18"/>
                <w:szCs w:val="18"/>
                <w:color w:val="auto"/>
              </w:rPr>
            </w:pPr>
          </w:p>
        </w:tc>
        <w:tc>
          <w:tcPr>
            <w:tcW w:w="1860" w:type="dxa"/>
            <w:vAlign w:val="bottom"/>
          </w:tcPr>
          <w:p>
            <w:pPr>
              <w:jc w:val="right"/>
              <w:ind w:right="336"/>
              <w:spacing w:after="0"/>
              <w:rPr>
                <w:sz w:val="20"/>
                <w:szCs w:val="20"/>
                <w:color w:val="auto"/>
              </w:rPr>
            </w:pPr>
            <w:r>
              <w:rPr>
                <w:rFonts w:ascii="Arial" w:cs="Arial" w:eastAsia="Arial" w:hAnsi="Arial"/>
                <w:sz w:val="17"/>
                <w:szCs w:val="17"/>
                <w:b w:val="1"/>
                <w:bCs w:val="1"/>
                <w:color w:val="00539B"/>
              </w:rPr>
              <w:t>232</w:t>
            </w:r>
          </w:p>
        </w:tc>
        <w:tc>
          <w:tcPr>
            <w:tcW w:w="1740" w:type="dxa"/>
            <w:vAlign w:val="bottom"/>
          </w:tcPr>
          <w:p>
            <w:pPr>
              <w:jc w:val="right"/>
              <w:spacing w:after="0"/>
              <w:rPr>
                <w:sz w:val="20"/>
                <w:szCs w:val="20"/>
                <w:color w:val="auto"/>
              </w:rPr>
            </w:pPr>
            <w:r>
              <w:rPr>
                <w:rFonts w:ascii="Arial" w:cs="Arial" w:eastAsia="Arial" w:hAnsi="Arial"/>
                <w:sz w:val="17"/>
                <w:szCs w:val="17"/>
                <w:color w:val="auto"/>
              </w:rPr>
              <w:t>232</w:t>
            </w:r>
          </w:p>
        </w:tc>
        <w:tc>
          <w:tcPr>
            <w:tcW w:w="0" w:type="dxa"/>
            <w:vAlign w:val="bottom"/>
          </w:tcPr>
          <w:p>
            <w:pPr>
              <w:spacing w:after="0"/>
              <w:rPr>
                <w:sz w:val="1"/>
                <w:szCs w:val="1"/>
                <w:color w:val="auto"/>
              </w:rPr>
            </w:pPr>
          </w:p>
        </w:tc>
      </w:tr>
      <w:tr>
        <w:trPr>
          <w:trHeight w:val="227"/>
        </w:trPr>
        <w:tc>
          <w:tcPr>
            <w:tcW w:w="7060" w:type="dxa"/>
            <w:vAlign w:val="bottom"/>
          </w:tcPr>
          <w:p>
            <w:pPr>
              <w:ind w:left="220"/>
              <w:spacing w:after="0"/>
              <w:rPr>
                <w:sz w:val="20"/>
                <w:szCs w:val="20"/>
                <w:color w:val="auto"/>
              </w:rPr>
            </w:pPr>
            <w:r>
              <w:rPr>
                <w:rFonts w:ascii="Arial" w:cs="Arial" w:eastAsia="Arial" w:hAnsi="Arial"/>
                <w:sz w:val="17"/>
                <w:szCs w:val="17"/>
                <w:color w:val="auto"/>
              </w:rPr>
              <w:t>7.200% senior debentures due 2028</w:t>
            </w:r>
          </w:p>
        </w:tc>
        <w:tc>
          <w:tcPr>
            <w:tcW w:w="580" w:type="dxa"/>
            <w:vAlign w:val="bottom"/>
          </w:tcPr>
          <w:p>
            <w:pPr>
              <w:spacing w:after="0"/>
              <w:rPr>
                <w:sz w:val="19"/>
                <w:szCs w:val="19"/>
                <w:color w:val="auto"/>
              </w:rPr>
            </w:pPr>
          </w:p>
        </w:tc>
        <w:tc>
          <w:tcPr>
            <w:tcW w:w="1860" w:type="dxa"/>
            <w:vAlign w:val="bottom"/>
          </w:tcPr>
          <w:p>
            <w:pPr>
              <w:jc w:val="right"/>
              <w:ind w:right="336"/>
              <w:spacing w:after="0"/>
              <w:rPr>
                <w:sz w:val="20"/>
                <w:szCs w:val="20"/>
                <w:color w:val="auto"/>
              </w:rPr>
            </w:pPr>
            <w:r>
              <w:rPr>
                <w:rFonts w:ascii="Arial" w:cs="Arial" w:eastAsia="Arial" w:hAnsi="Arial"/>
                <w:sz w:val="17"/>
                <w:szCs w:val="17"/>
                <w:b w:val="1"/>
                <w:bCs w:val="1"/>
                <w:color w:val="00539B"/>
              </w:rPr>
              <w:t>82</w:t>
            </w:r>
          </w:p>
        </w:tc>
        <w:tc>
          <w:tcPr>
            <w:tcW w:w="1740" w:type="dxa"/>
            <w:vAlign w:val="bottom"/>
          </w:tcPr>
          <w:p>
            <w:pPr>
              <w:jc w:val="right"/>
              <w:spacing w:after="0"/>
              <w:rPr>
                <w:sz w:val="20"/>
                <w:szCs w:val="20"/>
                <w:color w:val="auto"/>
              </w:rPr>
            </w:pPr>
            <w:r>
              <w:rPr>
                <w:rFonts w:ascii="Arial" w:cs="Arial" w:eastAsia="Arial" w:hAnsi="Arial"/>
                <w:sz w:val="17"/>
                <w:szCs w:val="17"/>
                <w:color w:val="auto"/>
              </w:rPr>
              <w:t>82</w:t>
            </w:r>
          </w:p>
        </w:tc>
        <w:tc>
          <w:tcPr>
            <w:tcW w:w="0" w:type="dxa"/>
            <w:vAlign w:val="bottom"/>
          </w:tcPr>
          <w:p>
            <w:pPr>
              <w:spacing w:after="0"/>
              <w:rPr>
                <w:sz w:val="1"/>
                <w:szCs w:val="1"/>
                <w:color w:val="auto"/>
              </w:rPr>
            </w:pPr>
          </w:p>
        </w:tc>
      </w:tr>
      <w:tr>
        <w:trPr>
          <w:trHeight w:val="227"/>
        </w:trPr>
        <w:tc>
          <w:tcPr>
            <w:tcW w:w="7060" w:type="dxa"/>
            <w:vAlign w:val="bottom"/>
          </w:tcPr>
          <w:p>
            <w:pPr>
              <w:ind w:left="220"/>
              <w:spacing w:after="0"/>
              <w:rPr>
                <w:sz w:val="20"/>
                <w:szCs w:val="20"/>
                <w:color w:val="auto"/>
              </w:rPr>
            </w:pPr>
            <w:r>
              <w:rPr>
                <w:rFonts w:ascii="Arial" w:cs="Arial" w:eastAsia="Arial" w:hAnsi="Arial"/>
                <w:sz w:val="17"/>
                <w:szCs w:val="17"/>
                <w:color w:val="auto"/>
              </w:rPr>
              <w:t>6.375% senior notes due 2028</w:t>
            </w:r>
          </w:p>
        </w:tc>
        <w:tc>
          <w:tcPr>
            <w:tcW w:w="580" w:type="dxa"/>
            <w:vAlign w:val="bottom"/>
          </w:tcPr>
          <w:p>
            <w:pPr>
              <w:spacing w:after="0"/>
              <w:rPr>
                <w:sz w:val="19"/>
                <w:szCs w:val="19"/>
                <w:color w:val="auto"/>
              </w:rPr>
            </w:pPr>
          </w:p>
        </w:tc>
        <w:tc>
          <w:tcPr>
            <w:tcW w:w="1860" w:type="dxa"/>
            <w:vAlign w:val="bottom"/>
          </w:tcPr>
          <w:p>
            <w:pPr>
              <w:jc w:val="right"/>
              <w:ind w:right="336"/>
              <w:spacing w:after="0"/>
              <w:rPr>
                <w:sz w:val="20"/>
                <w:szCs w:val="20"/>
                <w:color w:val="auto"/>
              </w:rPr>
            </w:pPr>
            <w:r>
              <w:rPr>
                <w:rFonts w:ascii="Arial" w:cs="Arial" w:eastAsia="Arial" w:hAnsi="Arial"/>
                <w:sz w:val="17"/>
                <w:szCs w:val="17"/>
                <w:b w:val="1"/>
                <w:bCs w:val="1"/>
                <w:color w:val="00539B"/>
              </w:rPr>
              <w:t>578</w:t>
            </w:r>
          </w:p>
        </w:tc>
        <w:tc>
          <w:tcPr>
            <w:tcW w:w="1740" w:type="dxa"/>
            <w:vAlign w:val="bottom"/>
          </w:tcPr>
          <w:p>
            <w:pPr>
              <w:jc w:val="right"/>
              <w:spacing w:after="0"/>
              <w:rPr>
                <w:sz w:val="20"/>
                <w:szCs w:val="20"/>
                <w:color w:val="auto"/>
              </w:rPr>
            </w:pPr>
            <w:r>
              <w:rPr>
                <w:rFonts w:ascii="Arial" w:cs="Arial" w:eastAsia="Arial" w:hAnsi="Arial"/>
                <w:sz w:val="17"/>
                <w:szCs w:val="17"/>
                <w:color w:val="auto"/>
              </w:rPr>
              <w:t>578</w:t>
            </w:r>
          </w:p>
        </w:tc>
        <w:tc>
          <w:tcPr>
            <w:tcW w:w="0" w:type="dxa"/>
            <w:vAlign w:val="bottom"/>
          </w:tcPr>
          <w:p>
            <w:pPr>
              <w:spacing w:after="0"/>
              <w:rPr>
                <w:sz w:val="1"/>
                <w:szCs w:val="1"/>
                <w:color w:val="auto"/>
              </w:rPr>
            </w:pPr>
          </w:p>
        </w:tc>
      </w:tr>
      <w:tr>
        <w:trPr>
          <w:trHeight w:val="213"/>
        </w:trPr>
        <w:tc>
          <w:tcPr>
            <w:tcW w:w="7060" w:type="dxa"/>
            <w:vAlign w:val="bottom"/>
          </w:tcPr>
          <w:p>
            <w:pPr>
              <w:ind w:left="220"/>
              <w:spacing w:after="0"/>
              <w:rPr>
                <w:sz w:val="20"/>
                <w:szCs w:val="20"/>
                <w:color w:val="auto"/>
              </w:rPr>
            </w:pPr>
            <w:r>
              <w:rPr>
                <w:rFonts w:ascii="Arial" w:cs="Arial" w:eastAsia="Arial" w:hAnsi="Arial"/>
                <w:sz w:val="17"/>
                <w:szCs w:val="17"/>
                <w:color w:val="auto"/>
              </w:rPr>
              <w:t>7.200% debentures due 2029</w:t>
            </w:r>
          </w:p>
        </w:tc>
        <w:tc>
          <w:tcPr>
            <w:tcW w:w="580" w:type="dxa"/>
            <w:vAlign w:val="bottom"/>
          </w:tcPr>
          <w:p>
            <w:pPr>
              <w:spacing w:after="0"/>
              <w:rPr>
                <w:sz w:val="18"/>
                <w:szCs w:val="18"/>
                <w:color w:val="auto"/>
              </w:rPr>
            </w:pPr>
          </w:p>
        </w:tc>
        <w:tc>
          <w:tcPr>
            <w:tcW w:w="1860" w:type="dxa"/>
            <w:vAlign w:val="bottom"/>
          </w:tcPr>
          <w:p>
            <w:pPr>
              <w:jc w:val="right"/>
              <w:ind w:right="336"/>
              <w:spacing w:after="0"/>
              <w:rPr>
                <w:sz w:val="20"/>
                <w:szCs w:val="20"/>
                <w:color w:val="auto"/>
              </w:rPr>
            </w:pPr>
            <w:r>
              <w:rPr>
                <w:rFonts w:ascii="Arial" w:cs="Arial" w:eastAsia="Arial" w:hAnsi="Arial"/>
                <w:sz w:val="17"/>
                <w:szCs w:val="17"/>
                <w:b w:val="1"/>
                <w:bCs w:val="1"/>
                <w:color w:val="00539B"/>
              </w:rPr>
              <w:t>135</w:t>
            </w:r>
          </w:p>
        </w:tc>
        <w:tc>
          <w:tcPr>
            <w:tcW w:w="1740" w:type="dxa"/>
            <w:vAlign w:val="bottom"/>
          </w:tcPr>
          <w:p>
            <w:pPr>
              <w:jc w:val="right"/>
              <w:spacing w:after="0"/>
              <w:rPr>
                <w:sz w:val="20"/>
                <w:szCs w:val="20"/>
                <w:color w:val="auto"/>
              </w:rPr>
            </w:pPr>
            <w:r>
              <w:rPr>
                <w:rFonts w:ascii="Arial" w:cs="Arial" w:eastAsia="Arial" w:hAnsi="Arial"/>
                <w:sz w:val="17"/>
                <w:szCs w:val="17"/>
                <w:color w:val="auto"/>
              </w:rPr>
              <w:t>135</w:t>
            </w:r>
          </w:p>
        </w:tc>
        <w:tc>
          <w:tcPr>
            <w:tcW w:w="0" w:type="dxa"/>
            <w:vAlign w:val="bottom"/>
          </w:tcPr>
          <w:p>
            <w:pPr>
              <w:spacing w:after="0"/>
              <w:rPr>
                <w:sz w:val="1"/>
                <w:szCs w:val="1"/>
                <w:color w:val="auto"/>
              </w:rPr>
            </w:pPr>
          </w:p>
        </w:tc>
      </w:tr>
      <w:tr>
        <w:trPr>
          <w:trHeight w:val="227"/>
        </w:trPr>
        <w:tc>
          <w:tcPr>
            <w:tcW w:w="7060" w:type="dxa"/>
            <w:vAlign w:val="bottom"/>
          </w:tcPr>
          <w:p>
            <w:pPr>
              <w:ind w:left="220"/>
              <w:spacing w:after="0"/>
              <w:rPr>
                <w:sz w:val="20"/>
                <w:szCs w:val="20"/>
                <w:color w:val="auto"/>
              </w:rPr>
            </w:pPr>
            <w:r>
              <w:rPr>
                <w:rFonts w:ascii="Arial" w:cs="Arial" w:eastAsia="Arial" w:hAnsi="Arial"/>
                <w:sz w:val="17"/>
                <w:szCs w:val="17"/>
                <w:color w:val="auto"/>
              </w:rPr>
              <w:t>7.950% debentures due 2029</w:t>
            </w:r>
          </w:p>
        </w:tc>
        <w:tc>
          <w:tcPr>
            <w:tcW w:w="580" w:type="dxa"/>
            <w:vAlign w:val="bottom"/>
          </w:tcPr>
          <w:p>
            <w:pPr>
              <w:spacing w:after="0"/>
              <w:rPr>
                <w:sz w:val="19"/>
                <w:szCs w:val="19"/>
                <w:color w:val="auto"/>
              </w:rPr>
            </w:pPr>
          </w:p>
        </w:tc>
        <w:tc>
          <w:tcPr>
            <w:tcW w:w="1860" w:type="dxa"/>
            <w:vAlign w:val="bottom"/>
          </w:tcPr>
          <w:p>
            <w:pPr>
              <w:jc w:val="right"/>
              <w:ind w:right="336"/>
              <w:spacing w:after="0"/>
              <w:rPr>
                <w:sz w:val="20"/>
                <w:szCs w:val="20"/>
                <w:color w:val="auto"/>
              </w:rPr>
            </w:pPr>
            <w:r>
              <w:rPr>
                <w:rFonts w:ascii="Arial" w:cs="Arial" w:eastAsia="Arial" w:hAnsi="Arial"/>
                <w:sz w:val="17"/>
                <w:szCs w:val="17"/>
                <w:b w:val="1"/>
                <w:bCs w:val="1"/>
                <w:color w:val="00539B"/>
              </w:rPr>
              <w:t>116</w:t>
            </w:r>
          </w:p>
        </w:tc>
        <w:tc>
          <w:tcPr>
            <w:tcW w:w="1740" w:type="dxa"/>
            <w:vAlign w:val="bottom"/>
          </w:tcPr>
          <w:p>
            <w:pPr>
              <w:jc w:val="right"/>
              <w:spacing w:after="0"/>
              <w:rPr>
                <w:sz w:val="20"/>
                <w:szCs w:val="20"/>
                <w:color w:val="auto"/>
              </w:rPr>
            </w:pPr>
            <w:r>
              <w:rPr>
                <w:rFonts w:ascii="Arial" w:cs="Arial" w:eastAsia="Arial" w:hAnsi="Arial"/>
                <w:sz w:val="17"/>
                <w:szCs w:val="17"/>
                <w:color w:val="auto"/>
              </w:rPr>
              <w:t>116</w:t>
            </w:r>
          </w:p>
        </w:tc>
        <w:tc>
          <w:tcPr>
            <w:tcW w:w="0" w:type="dxa"/>
            <w:vAlign w:val="bottom"/>
          </w:tcPr>
          <w:p>
            <w:pPr>
              <w:spacing w:after="0"/>
              <w:rPr>
                <w:sz w:val="1"/>
                <w:szCs w:val="1"/>
                <w:color w:val="auto"/>
              </w:rPr>
            </w:pPr>
          </w:p>
        </w:tc>
      </w:tr>
      <w:tr>
        <w:trPr>
          <w:trHeight w:val="227"/>
        </w:trPr>
        <w:tc>
          <w:tcPr>
            <w:tcW w:w="7060" w:type="dxa"/>
            <w:vAlign w:val="bottom"/>
          </w:tcPr>
          <w:p>
            <w:pPr>
              <w:ind w:left="220"/>
              <w:spacing w:after="0"/>
              <w:rPr>
                <w:sz w:val="20"/>
                <w:szCs w:val="20"/>
                <w:color w:val="auto"/>
              </w:rPr>
            </w:pPr>
            <w:r>
              <w:rPr>
                <w:rFonts w:ascii="Arial" w:cs="Arial" w:eastAsia="Arial" w:hAnsi="Arial"/>
                <w:sz w:val="17"/>
                <w:szCs w:val="17"/>
                <w:color w:val="auto"/>
              </w:rPr>
              <w:t>8.450% senior notes due 2029</w:t>
            </w:r>
          </w:p>
        </w:tc>
        <w:tc>
          <w:tcPr>
            <w:tcW w:w="580" w:type="dxa"/>
            <w:vAlign w:val="bottom"/>
          </w:tcPr>
          <w:p>
            <w:pPr>
              <w:spacing w:after="0"/>
              <w:rPr>
                <w:sz w:val="19"/>
                <w:szCs w:val="19"/>
                <w:color w:val="auto"/>
              </w:rPr>
            </w:pPr>
          </w:p>
        </w:tc>
        <w:tc>
          <w:tcPr>
            <w:tcW w:w="1860" w:type="dxa"/>
            <w:vAlign w:val="bottom"/>
          </w:tcPr>
          <w:p>
            <w:pPr>
              <w:jc w:val="right"/>
              <w:ind w:right="336"/>
              <w:spacing w:after="0"/>
              <w:rPr>
                <w:sz w:val="20"/>
                <w:szCs w:val="20"/>
                <w:color w:val="auto"/>
              </w:rPr>
            </w:pPr>
            <w:r>
              <w:rPr>
                <w:rFonts w:ascii="Arial" w:cs="Arial" w:eastAsia="Arial" w:hAnsi="Arial"/>
                <w:sz w:val="17"/>
                <w:szCs w:val="17"/>
                <w:b w:val="1"/>
                <w:bCs w:val="1"/>
                <w:color w:val="00539B"/>
              </w:rPr>
              <w:t>116</w:t>
            </w:r>
          </w:p>
        </w:tc>
        <w:tc>
          <w:tcPr>
            <w:tcW w:w="1740" w:type="dxa"/>
            <w:vAlign w:val="bottom"/>
          </w:tcPr>
          <w:p>
            <w:pPr>
              <w:jc w:val="right"/>
              <w:spacing w:after="0"/>
              <w:rPr>
                <w:sz w:val="20"/>
                <w:szCs w:val="20"/>
                <w:color w:val="auto"/>
              </w:rPr>
            </w:pPr>
            <w:r>
              <w:rPr>
                <w:rFonts w:ascii="Arial" w:cs="Arial" w:eastAsia="Arial" w:hAnsi="Arial"/>
                <w:sz w:val="17"/>
                <w:szCs w:val="17"/>
                <w:color w:val="auto"/>
              </w:rPr>
              <w:t>116</w:t>
            </w:r>
          </w:p>
        </w:tc>
        <w:tc>
          <w:tcPr>
            <w:tcW w:w="0" w:type="dxa"/>
            <w:vAlign w:val="bottom"/>
          </w:tcPr>
          <w:p>
            <w:pPr>
              <w:spacing w:after="0"/>
              <w:rPr>
                <w:sz w:val="1"/>
                <w:szCs w:val="1"/>
                <w:color w:val="auto"/>
              </w:rPr>
            </w:pPr>
          </w:p>
        </w:tc>
      </w:tr>
      <w:tr>
        <w:trPr>
          <w:trHeight w:val="221"/>
        </w:trPr>
        <w:tc>
          <w:tcPr>
            <w:tcW w:w="7060" w:type="dxa"/>
            <w:vAlign w:val="bottom"/>
          </w:tcPr>
          <w:p>
            <w:pPr>
              <w:ind w:left="220"/>
              <w:spacing w:after="0"/>
              <w:rPr>
                <w:sz w:val="20"/>
                <w:szCs w:val="20"/>
                <w:color w:val="auto"/>
              </w:rPr>
            </w:pPr>
            <w:r>
              <w:rPr>
                <w:rFonts w:ascii="Arial" w:cs="Arial" w:eastAsia="Arial" w:hAnsi="Arial"/>
                <w:sz w:val="17"/>
                <w:szCs w:val="17"/>
                <w:color w:val="auto"/>
              </w:rPr>
              <w:t>3.500% senior notes due 2029</w:t>
            </w:r>
          </w:p>
        </w:tc>
        <w:tc>
          <w:tcPr>
            <w:tcW w:w="580" w:type="dxa"/>
            <w:vAlign w:val="bottom"/>
          </w:tcPr>
          <w:p>
            <w:pPr>
              <w:spacing w:after="0"/>
              <w:rPr>
                <w:sz w:val="19"/>
                <w:szCs w:val="19"/>
                <w:color w:val="auto"/>
              </w:rPr>
            </w:pPr>
          </w:p>
        </w:tc>
        <w:tc>
          <w:tcPr>
            <w:tcW w:w="1860" w:type="dxa"/>
            <w:vAlign w:val="bottom"/>
          </w:tcPr>
          <w:p>
            <w:pPr>
              <w:jc w:val="right"/>
              <w:ind w:right="336"/>
              <w:spacing w:after="0"/>
              <w:rPr>
                <w:sz w:val="20"/>
                <w:szCs w:val="20"/>
                <w:color w:val="auto"/>
              </w:rPr>
            </w:pPr>
            <w:r>
              <w:rPr>
                <w:rFonts w:ascii="Arial" w:cs="Arial" w:eastAsia="Arial" w:hAnsi="Arial"/>
                <w:sz w:val="17"/>
                <w:szCs w:val="17"/>
                <w:b w:val="1"/>
                <w:bCs w:val="1"/>
                <w:color w:val="00539B"/>
              </w:rPr>
              <w:t>286</w:t>
            </w:r>
          </w:p>
        </w:tc>
        <w:tc>
          <w:tcPr>
            <w:tcW w:w="1740" w:type="dxa"/>
            <w:vAlign w:val="bottom"/>
          </w:tcPr>
          <w:p>
            <w:pPr>
              <w:jc w:val="right"/>
              <w:spacing w:after="0"/>
              <w:rPr>
                <w:sz w:val="20"/>
                <w:szCs w:val="20"/>
                <w:color w:val="auto"/>
              </w:rPr>
            </w:pPr>
            <w:r>
              <w:rPr>
                <w:rFonts w:ascii="Arial" w:cs="Arial" w:eastAsia="Arial" w:hAnsi="Arial"/>
                <w:sz w:val="17"/>
                <w:szCs w:val="17"/>
                <w:color w:val="auto"/>
              </w:rPr>
              <w:t>286</w:t>
            </w:r>
          </w:p>
        </w:tc>
        <w:tc>
          <w:tcPr>
            <w:tcW w:w="0" w:type="dxa"/>
            <w:vAlign w:val="bottom"/>
          </w:tcPr>
          <w:p>
            <w:pPr>
              <w:spacing w:after="0"/>
              <w:rPr>
                <w:sz w:val="1"/>
                <w:szCs w:val="1"/>
                <w:color w:val="auto"/>
              </w:rPr>
            </w:pPr>
          </w:p>
        </w:tc>
      </w:tr>
      <w:tr>
        <w:trPr>
          <w:trHeight w:val="173"/>
        </w:trPr>
        <w:tc>
          <w:tcPr>
            <w:tcW w:w="7060" w:type="dxa"/>
            <w:vAlign w:val="bottom"/>
          </w:tcPr>
          <w:p>
            <w:pPr>
              <w:ind w:left="180"/>
              <w:spacing w:after="0" w:line="173" w:lineRule="exact"/>
              <w:rPr>
                <w:sz w:val="20"/>
                <w:szCs w:val="20"/>
                <w:color w:val="auto"/>
              </w:rPr>
            </w:pPr>
            <w:r>
              <w:rPr>
                <w:rFonts w:ascii="Arial" w:cs="Arial" w:eastAsia="Arial" w:hAnsi="Arial"/>
                <w:sz w:val="17"/>
                <w:szCs w:val="17"/>
                <w:color w:val="auto"/>
              </w:rPr>
              <w:t>Variable rate bonds due 2030 (5.920% and 5.320% as of June 30, 2023 and December 31,</w:t>
            </w:r>
          </w:p>
        </w:tc>
        <w:tc>
          <w:tcPr>
            <w:tcW w:w="580" w:type="dxa"/>
            <w:vAlign w:val="bottom"/>
          </w:tcPr>
          <w:p>
            <w:pPr>
              <w:spacing w:after="0"/>
              <w:rPr>
                <w:sz w:val="15"/>
                <w:szCs w:val="15"/>
                <w:color w:val="auto"/>
              </w:rPr>
            </w:pPr>
          </w:p>
        </w:tc>
        <w:tc>
          <w:tcPr>
            <w:tcW w:w="1860" w:type="dxa"/>
            <w:vAlign w:val="bottom"/>
            <w:vMerge w:val="restart"/>
          </w:tcPr>
          <w:p>
            <w:pPr>
              <w:jc w:val="right"/>
              <w:ind w:right="336"/>
              <w:spacing w:after="0"/>
              <w:rPr>
                <w:sz w:val="20"/>
                <w:szCs w:val="20"/>
                <w:color w:val="auto"/>
              </w:rPr>
            </w:pPr>
            <w:r>
              <w:rPr>
                <w:rFonts w:ascii="Arial" w:cs="Arial" w:eastAsia="Arial" w:hAnsi="Arial"/>
                <w:sz w:val="17"/>
                <w:szCs w:val="17"/>
                <w:b w:val="1"/>
                <w:bCs w:val="1"/>
                <w:color w:val="00539B"/>
              </w:rPr>
              <w:t>68</w:t>
            </w:r>
          </w:p>
        </w:tc>
        <w:tc>
          <w:tcPr>
            <w:tcW w:w="1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7060" w:type="dxa"/>
            <w:vAlign w:val="bottom"/>
          </w:tcPr>
          <w:p>
            <w:pPr>
              <w:ind w:left="500"/>
              <w:spacing w:after="0"/>
              <w:rPr>
                <w:sz w:val="20"/>
                <w:szCs w:val="20"/>
                <w:color w:val="auto"/>
              </w:rPr>
            </w:pPr>
            <w:r>
              <w:rPr>
                <w:rFonts w:ascii="Arial" w:cs="Arial" w:eastAsia="Arial" w:hAnsi="Arial"/>
                <w:sz w:val="17"/>
                <w:szCs w:val="17"/>
                <w:color w:val="auto"/>
              </w:rPr>
              <w:t>2022, respectively)</w:t>
            </w:r>
          </w:p>
        </w:tc>
        <w:tc>
          <w:tcPr>
            <w:tcW w:w="580" w:type="dxa"/>
            <w:vAlign w:val="bottom"/>
          </w:tcPr>
          <w:p>
            <w:pPr>
              <w:spacing w:after="0"/>
              <w:rPr>
                <w:sz w:val="19"/>
                <w:szCs w:val="19"/>
                <w:color w:val="auto"/>
              </w:rPr>
            </w:pPr>
          </w:p>
        </w:tc>
        <w:tc>
          <w:tcPr>
            <w:tcW w:w="1860" w:type="dxa"/>
            <w:vAlign w:val="bottom"/>
            <w:vMerge w:val="continue"/>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7"/>
                <w:szCs w:val="17"/>
                <w:color w:val="auto"/>
              </w:rPr>
              <w:t>68</w:t>
            </w:r>
          </w:p>
        </w:tc>
        <w:tc>
          <w:tcPr>
            <w:tcW w:w="0" w:type="dxa"/>
            <w:vAlign w:val="bottom"/>
          </w:tcPr>
          <w:p>
            <w:pPr>
              <w:spacing w:after="0"/>
              <w:rPr>
                <w:sz w:val="1"/>
                <w:szCs w:val="1"/>
                <w:color w:val="auto"/>
              </w:rPr>
            </w:pPr>
          </w:p>
        </w:tc>
      </w:tr>
      <w:tr>
        <w:trPr>
          <w:trHeight w:val="213"/>
        </w:trPr>
        <w:tc>
          <w:tcPr>
            <w:tcW w:w="7060" w:type="dxa"/>
            <w:vAlign w:val="bottom"/>
          </w:tcPr>
          <w:p>
            <w:pPr>
              <w:ind w:left="220"/>
              <w:spacing w:after="0"/>
              <w:rPr>
                <w:sz w:val="20"/>
                <w:szCs w:val="20"/>
                <w:color w:val="auto"/>
              </w:rPr>
            </w:pPr>
            <w:r>
              <w:rPr>
                <w:rFonts w:ascii="Arial" w:cs="Arial" w:eastAsia="Arial" w:hAnsi="Arial"/>
                <w:sz w:val="17"/>
                <w:szCs w:val="17"/>
                <w:color w:val="auto"/>
              </w:rPr>
              <w:t>8.875% senior notes due 2030</w:t>
            </w:r>
          </w:p>
        </w:tc>
        <w:tc>
          <w:tcPr>
            <w:tcW w:w="580" w:type="dxa"/>
            <w:vAlign w:val="bottom"/>
          </w:tcPr>
          <w:p>
            <w:pPr>
              <w:spacing w:after="0"/>
              <w:rPr>
                <w:sz w:val="18"/>
                <w:szCs w:val="18"/>
                <w:color w:val="auto"/>
              </w:rPr>
            </w:pPr>
          </w:p>
        </w:tc>
        <w:tc>
          <w:tcPr>
            <w:tcW w:w="1860" w:type="dxa"/>
            <w:vAlign w:val="bottom"/>
          </w:tcPr>
          <w:p>
            <w:pPr>
              <w:jc w:val="right"/>
              <w:ind w:right="336"/>
              <w:spacing w:after="0"/>
              <w:rPr>
                <w:sz w:val="20"/>
                <w:szCs w:val="20"/>
                <w:color w:val="auto"/>
              </w:rPr>
            </w:pPr>
            <w:r>
              <w:rPr>
                <w:rFonts w:ascii="Arial" w:cs="Arial" w:eastAsia="Arial" w:hAnsi="Arial"/>
                <w:sz w:val="17"/>
                <w:szCs w:val="17"/>
                <w:b w:val="1"/>
                <w:bCs w:val="1"/>
                <w:color w:val="00539B"/>
              </w:rPr>
              <w:t>1,000</w:t>
            </w:r>
          </w:p>
        </w:tc>
        <w:tc>
          <w:tcPr>
            <w:tcW w:w="1740" w:type="dxa"/>
            <w:vAlign w:val="bottom"/>
          </w:tcPr>
          <w:p>
            <w:pPr>
              <w:jc w:val="right"/>
              <w:spacing w:after="0"/>
              <w:rPr>
                <w:sz w:val="20"/>
                <w:szCs w:val="20"/>
                <w:color w:val="auto"/>
              </w:rPr>
            </w:pPr>
            <w:r>
              <w:rPr>
                <w:rFonts w:ascii="Arial" w:cs="Arial" w:eastAsia="Arial" w:hAnsi="Arial"/>
                <w:sz w:val="17"/>
                <w:szCs w:val="17"/>
                <w:color w:val="auto"/>
              </w:rPr>
              <w:t>1,000</w:t>
            </w:r>
          </w:p>
        </w:tc>
        <w:tc>
          <w:tcPr>
            <w:tcW w:w="0" w:type="dxa"/>
            <w:vAlign w:val="bottom"/>
          </w:tcPr>
          <w:p>
            <w:pPr>
              <w:spacing w:after="0"/>
              <w:rPr>
                <w:sz w:val="1"/>
                <w:szCs w:val="1"/>
                <w:color w:val="auto"/>
              </w:rPr>
            </w:pPr>
          </w:p>
        </w:tc>
      </w:tr>
      <w:tr>
        <w:trPr>
          <w:trHeight w:val="227"/>
        </w:trPr>
        <w:tc>
          <w:tcPr>
            <w:tcW w:w="7060" w:type="dxa"/>
            <w:vAlign w:val="bottom"/>
          </w:tcPr>
          <w:p>
            <w:pPr>
              <w:ind w:left="220"/>
              <w:spacing w:after="0"/>
              <w:rPr>
                <w:sz w:val="20"/>
                <w:szCs w:val="20"/>
                <w:color w:val="auto"/>
              </w:rPr>
            </w:pPr>
            <w:r>
              <w:rPr>
                <w:rFonts w:ascii="Arial" w:cs="Arial" w:eastAsia="Arial" w:hAnsi="Arial"/>
                <w:sz w:val="17"/>
                <w:szCs w:val="17"/>
                <w:color w:val="auto"/>
              </w:rPr>
              <w:t>6.625% senior notes due 2030</w:t>
            </w:r>
          </w:p>
        </w:tc>
        <w:tc>
          <w:tcPr>
            <w:tcW w:w="580" w:type="dxa"/>
            <w:vAlign w:val="bottom"/>
          </w:tcPr>
          <w:p>
            <w:pPr>
              <w:spacing w:after="0"/>
              <w:rPr>
                <w:sz w:val="19"/>
                <w:szCs w:val="19"/>
                <w:color w:val="auto"/>
              </w:rPr>
            </w:pPr>
          </w:p>
        </w:tc>
        <w:tc>
          <w:tcPr>
            <w:tcW w:w="1860" w:type="dxa"/>
            <w:vAlign w:val="bottom"/>
          </w:tcPr>
          <w:p>
            <w:pPr>
              <w:jc w:val="right"/>
              <w:ind w:right="336"/>
              <w:spacing w:after="0"/>
              <w:rPr>
                <w:sz w:val="20"/>
                <w:szCs w:val="20"/>
                <w:color w:val="auto"/>
              </w:rPr>
            </w:pPr>
            <w:r>
              <w:rPr>
                <w:rFonts w:ascii="Arial" w:cs="Arial" w:eastAsia="Arial" w:hAnsi="Arial"/>
                <w:sz w:val="17"/>
                <w:szCs w:val="17"/>
                <w:b w:val="1"/>
                <w:bCs w:val="1"/>
                <w:color w:val="00539B"/>
              </w:rPr>
              <w:t>1,449</w:t>
            </w:r>
          </w:p>
        </w:tc>
        <w:tc>
          <w:tcPr>
            <w:tcW w:w="1740" w:type="dxa"/>
            <w:vAlign w:val="bottom"/>
          </w:tcPr>
          <w:p>
            <w:pPr>
              <w:jc w:val="right"/>
              <w:spacing w:after="0"/>
              <w:rPr>
                <w:sz w:val="20"/>
                <w:szCs w:val="20"/>
                <w:color w:val="auto"/>
              </w:rPr>
            </w:pPr>
            <w:r>
              <w:rPr>
                <w:rFonts w:ascii="Arial" w:cs="Arial" w:eastAsia="Arial" w:hAnsi="Arial"/>
                <w:sz w:val="17"/>
                <w:szCs w:val="17"/>
                <w:color w:val="auto"/>
              </w:rPr>
              <w:t>1,449</w:t>
            </w:r>
          </w:p>
        </w:tc>
        <w:tc>
          <w:tcPr>
            <w:tcW w:w="0" w:type="dxa"/>
            <w:vAlign w:val="bottom"/>
          </w:tcPr>
          <w:p>
            <w:pPr>
              <w:spacing w:after="0"/>
              <w:rPr>
                <w:sz w:val="1"/>
                <w:szCs w:val="1"/>
                <w:color w:val="auto"/>
              </w:rPr>
            </w:pPr>
          </w:p>
        </w:tc>
      </w:tr>
      <w:tr>
        <w:trPr>
          <w:trHeight w:val="227"/>
        </w:trPr>
        <w:tc>
          <w:tcPr>
            <w:tcW w:w="7060" w:type="dxa"/>
            <w:vAlign w:val="bottom"/>
          </w:tcPr>
          <w:p>
            <w:pPr>
              <w:ind w:left="220"/>
              <w:spacing w:after="0"/>
              <w:rPr>
                <w:sz w:val="20"/>
                <w:szCs w:val="20"/>
                <w:color w:val="auto"/>
              </w:rPr>
            </w:pPr>
            <w:r>
              <w:rPr>
                <w:rFonts w:ascii="Arial" w:cs="Arial" w:eastAsia="Arial" w:hAnsi="Arial"/>
                <w:sz w:val="17"/>
                <w:szCs w:val="17"/>
                <w:color w:val="auto"/>
              </w:rPr>
              <w:t>6.125% senior notes due 2031</w:t>
            </w:r>
          </w:p>
        </w:tc>
        <w:tc>
          <w:tcPr>
            <w:tcW w:w="580" w:type="dxa"/>
            <w:vAlign w:val="bottom"/>
          </w:tcPr>
          <w:p>
            <w:pPr>
              <w:spacing w:after="0"/>
              <w:rPr>
                <w:sz w:val="19"/>
                <w:szCs w:val="19"/>
                <w:color w:val="auto"/>
              </w:rPr>
            </w:pPr>
          </w:p>
        </w:tc>
        <w:tc>
          <w:tcPr>
            <w:tcW w:w="1860" w:type="dxa"/>
            <w:vAlign w:val="bottom"/>
          </w:tcPr>
          <w:p>
            <w:pPr>
              <w:jc w:val="right"/>
              <w:ind w:right="336"/>
              <w:spacing w:after="0"/>
              <w:rPr>
                <w:sz w:val="20"/>
                <w:szCs w:val="20"/>
                <w:color w:val="auto"/>
              </w:rPr>
            </w:pPr>
            <w:r>
              <w:rPr>
                <w:rFonts w:ascii="Arial" w:cs="Arial" w:eastAsia="Arial" w:hAnsi="Arial"/>
                <w:sz w:val="17"/>
                <w:szCs w:val="17"/>
                <w:b w:val="1"/>
                <w:bCs w:val="1"/>
                <w:color w:val="00539B"/>
              </w:rPr>
              <w:t>1,143</w:t>
            </w:r>
          </w:p>
        </w:tc>
        <w:tc>
          <w:tcPr>
            <w:tcW w:w="1740" w:type="dxa"/>
            <w:vAlign w:val="bottom"/>
          </w:tcPr>
          <w:p>
            <w:pPr>
              <w:jc w:val="right"/>
              <w:spacing w:after="0"/>
              <w:rPr>
                <w:sz w:val="20"/>
                <w:szCs w:val="20"/>
                <w:color w:val="auto"/>
              </w:rPr>
            </w:pPr>
            <w:r>
              <w:rPr>
                <w:rFonts w:ascii="Arial" w:cs="Arial" w:eastAsia="Arial" w:hAnsi="Arial"/>
                <w:sz w:val="17"/>
                <w:szCs w:val="17"/>
                <w:color w:val="auto"/>
              </w:rPr>
              <w:t>1,143</w:t>
            </w:r>
          </w:p>
        </w:tc>
        <w:tc>
          <w:tcPr>
            <w:tcW w:w="0" w:type="dxa"/>
            <w:vAlign w:val="bottom"/>
          </w:tcPr>
          <w:p>
            <w:pPr>
              <w:spacing w:after="0"/>
              <w:rPr>
                <w:sz w:val="1"/>
                <w:szCs w:val="1"/>
                <w:color w:val="auto"/>
              </w:rPr>
            </w:pPr>
          </w:p>
        </w:tc>
      </w:tr>
      <w:tr>
        <w:trPr>
          <w:trHeight w:val="213"/>
        </w:trPr>
        <w:tc>
          <w:tcPr>
            <w:tcW w:w="7060" w:type="dxa"/>
            <w:vAlign w:val="bottom"/>
          </w:tcPr>
          <w:p>
            <w:pPr>
              <w:ind w:left="220"/>
              <w:spacing w:after="0"/>
              <w:rPr>
                <w:sz w:val="20"/>
                <w:szCs w:val="20"/>
                <w:color w:val="auto"/>
              </w:rPr>
            </w:pPr>
            <w:r>
              <w:rPr>
                <w:rFonts w:ascii="Arial" w:cs="Arial" w:eastAsia="Arial" w:hAnsi="Arial"/>
                <w:sz w:val="17"/>
                <w:szCs w:val="17"/>
                <w:color w:val="auto"/>
              </w:rPr>
              <w:t>7.500% senior notes due 2031</w:t>
            </w:r>
          </w:p>
        </w:tc>
        <w:tc>
          <w:tcPr>
            <w:tcW w:w="580" w:type="dxa"/>
            <w:vAlign w:val="bottom"/>
          </w:tcPr>
          <w:p>
            <w:pPr>
              <w:spacing w:after="0"/>
              <w:rPr>
                <w:sz w:val="18"/>
                <w:szCs w:val="18"/>
                <w:color w:val="auto"/>
              </w:rPr>
            </w:pPr>
          </w:p>
        </w:tc>
        <w:tc>
          <w:tcPr>
            <w:tcW w:w="1860" w:type="dxa"/>
            <w:vAlign w:val="bottom"/>
          </w:tcPr>
          <w:p>
            <w:pPr>
              <w:jc w:val="right"/>
              <w:ind w:right="336"/>
              <w:spacing w:after="0"/>
              <w:rPr>
                <w:sz w:val="20"/>
                <w:szCs w:val="20"/>
                <w:color w:val="auto"/>
              </w:rPr>
            </w:pPr>
            <w:r>
              <w:rPr>
                <w:rFonts w:ascii="Arial" w:cs="Arial" w:eastAsia="Arial" w:hAnsi="Arial"/>
                <w:sz w:val="17"/>
                <w:szCs w:val="17"/>
                <w:b w:val="1"/>
                <w:bCs w:val="1"/>
                <w:color w:val="00539B"/>
              </w:rPr>
              <w:t>900</w:t>
            </w:r>
          </w:p>
        </w:tc>
        <w:tc>
          <w:tcPr>
            <w:tcW w:w="1740" w:type="dxa"/>
            <w:vAlign w:val="bottom"/>
          </w:tcPr>
          <w:p>
            <w:pPr>
              <w:jc w:val="right"/>
              <w:spacing w:after="0"/>
              <w:rPr>
                <w:sz w:val="20"/>
                <w:szCs w:val="20"/>
                <w:color w:val="auto"/>
              </w:rPr>
            </w:pPr>
            <w:r>
              <w:rPr>
                <w:rFonts w:ascii="Arial" w:cs="Arial" w:eastAsia="Arial" w:hAnsi="Arial"/>
                <w:sz w:val="17"/>
                <w:szCs w:val="17"/>
                <w:color w:val="auto"/>
              </w:rPr>
              <w:t>900</w:t>
            </w:r>
          </w:p>
        </w:tc>
        <w:tc>
          <w:tcPr>
            <w:tcW w:w="0" w:type="dxa"/>
            <w:vAlign w:val="bottom"/>
          </w:tcPr>
          <w:p>
            <w:pPr>
              <w:spacing w:after="0"/>
              <w:rPr>
                <w:sz w:val="1"/>
                <w:szCs w:val="1"/>
                <w:color w:val="auto"/>
              </w:rPr>
            </w:pPr>
          </w:p>
        </w:tc>
      </w:tr>
      <w:tr>
        <w:trPr>
          <w:trHeight w:val="227"/>
        </w:trPr>
        <w:tc>
          <w:tcPr>
            <w:tcW w:w="7060" w:type="dxa"/>
            <w:vAlign w:val="bottom"/>
          </w:tcPr>
          <w:p>
            <w:pPr>
              <w:ind w:left="220"/>
              <w:spacing w:after="0"/>
              <w:rPr>
                <w:sz w:val="20"/>
                <w:szCs w:val="20"/>
                <w:color w:val="auto"/>
              </w:rPr>
            </w:pPr>
            <w:r>
              <w:rPr>
                <w:rFonts w:ascii="Arial" w:cs="Arial" w:eastAsia="Arial" w:hAnsi="Arial"/>
                <w:sz w:val="17"/>
                <w:szCs w:val="17"/>
                <w:color w:val="auto"/>
              </w:rPr>
              <w:t>7.875% senior notes due 2031</w:t>
            </w:r>
          </w:p>
        </w:tc>
        <w:tc>
          <w:tcPr>
            <w:tcW w:w="580" w:type="dxa"/>
            <w:vAlign w:val="bottom"/>
          </w:tcPr>
          <w:p>
            <w:pPr>
              <w:spacing w:after="0"/>
              <w:rPr>
                <w:sz w:val="19"/>
                <w:szCs w:val="19"/>
                <w:color w:val="auto"/>
              </w:rPr>
            </w:pPr>
          </w:p>
        </w:tc>
        <w:tc>
          <w:tcPr>
            <w:tcW w:w="1860" w:type="dxa"/>
            <w:vAlign w:val="bottom"/>
          </w:tcPr>
          <w:p>
            <w:pPr>
              <w:jc w:val="right"/>
              <w:ind w:right="336"/>
              <w:spacing w:after="0"/>
              <w:rPr>
                <w:sz w:val="20"/>
                <w:szCs w:val="20"/>
                <w:color w:val="auto"/>
              </w:rPr>
            </w:pPr>
            <w:r>
              <w:rPr>
                <w:rFonts w:ascii="Arial" w:cs="Arial" w:eastAsia="Arial" w:hAnsi="Arial"/>
                <w:sz w:val="17"/>
                <w:szCs w:val="17"/>
                <w:b w:val="1"/>
                <w:bCs w:val="1"/>
                <w:color w:val="00539B"/>
              </w:rPr>
              <w:t>500</w:t>
            </w:r>
          </w:p>
        </w:tc>
        <w:tc>
          <w:tcPr>
            <w:tcW w:w="1740" w:type="dxa"/>
            <w:vAlign w:val="bottom"/>
          </w:tcPr>
          <w:p>
            <w:pPr>
              <w:jc w:val="right"/>
              <w:spacing w:after="0"/>
              <w:rPr>
                <w:sz w:val="20"/>
                <w:szCs w:val="20"/>
                <w:color w:val="auto"/>
              </w:rPr>
            </w:pPr>
            <w:r>
              <w:rPr>
                <w:rFonts w:ascii="Arial" w:cs="Arial" w:eastAsia="Arial" w:hAnsi="Arial"/>
                <w:sz w:val="17"/>
                <w:szCs w:val="17"/>
                <w:color w:val="auto"/>
              </w:rPr>
              <w:t>500</w:t>
            </w:r>
          </w:p>
        </w:tc>
        <w:tc>
          <w:tcPr>
            <w:tcW w:w="0" w:type="dxa"/>
            <w:vAlign w:val="bottom"/>
          </w:tcPr>
          <w:p>
            <w:pPr>
              <w:spacing w:after="0"/>
              <w:rPr>
                <w:sz w:val="1"/>
                <w:szCs w:val="1"/>
                <w:color w:val="auto"/>
              </w:rPr>
            </w:pPr>
          </w:p>
        </w:tc>
      </w:tr>
      <w:tr>
        <w:trPr>
          <w:trHeight w:val="227"/>
        </w:trPr>
        <w:tc>
          <w:tcPr>
            <w:tcW w:w="7060" w:type="dxa"/>
            <w:vAlign w:val="bottom"/>
          </w:tcPr>
          <w:p>
            <w:pPr>
              <w:ind w:left="220"/>
              <w:spacing w:after="0"/>
              <w:rPr>
                <w:sz w:val="20"/>
                <w:szCs w:val="20"/>
                <w:color w:val="auto"/>
              </w:rPr>
            </w:pPr>
            <w:r>
              <w:rPr>
                <w:rFonts w:ascii="Arial" w:cs="Arial" w:eastAsia="Arial" w:hAnsi="Arial"/>
                <w:sz w:val="17"/>
                <w:szCs w:val="17"/>
                <w:color w:val="auto"/>
              </w:rPr>
              <w:t>6.450% senior notes due 2036</w:t>
            </w:r>
          </w:p>
        </w:tc>
        <w:tc>
          <w:tcPr>
            <w:tcW w:w="580" w:type="dxa"/>
            <w:vAlign w:val="bottom"/>
          </w:tcPr>
          <w:p>
            <w:pPr>
              <w:spacing w:after="0"/>
              <w:rPr>
                <w:sz w:val="19"/>
                <w:szCs w:val="19"/>
                <w:color w:val="auto"/>
              </w:rPr>
            </w:pPr>
          </w:p>
        </w:tc>
        <w:tc>
          <w:tcPr>
            <w:tcW w:w="1860" w:type="dxa"/>
            <w:vAlign w:val="bottom"/>
          </w:tcPr>
          <w:p>
            <w:pPr>
              <w:jc w:val="right"/>
              <w:ind w:right="336"/>
              <w:spacing w:after="0"/>
              <w:rPr>
                <w:sz w:val="20"/>
                <w:szCs w:val="20"/>
                <w:color w:val="auto"/>
              </w:rPr>
            </w:pPr>
            <w:r>
              <w:rPr>
                <w:rFonts w:ascii="Arial" w:cs="Arial" w:eastAsia="Arial" w:hAnsi="Arial"/>
                <w:sz w:val="17"/>
                <w:szCs w:val="17"/>
                <w:b w:val="1"/>
                <w:bCs w:val="1"/>
                <w:color w:val="00539B"/>
              </w:rPr>
              <w:t>1,727</w:t>
            </w:r>
          </w:p>
        </w:tc>
        <w:tc>
          <w:tcPr>
            <w:tcW w:w="1740" w:type="dxa"/>
            <w:vAlign w:val="bottom"/>
          </w:tcPr>
          <w:p>
            <w:pPr>
              <w:jc w:val="right"/>
              <w:spacing w:after="0"/>
              <w:rPr>
                <w:sz w:val="20"/>
                <w:szCs w:val="20"/>
                <w:color w:val="auto"/>
              </w:rPr>
            </w:pPr>
            <w:r>
              <w:rPr>
                <w:rFonts w:ascii="Arial" w:cs="Arial" w:eastAsia="Arial" w:hAnsi="Arial"/>
                <w:sz w:val="17"/>
                <w:szCs w:val="17"/>
                <w:color w:val="auto"/>
              </w:rPr>
              <w:t>1,727</w:t>
            </w:r>
          </w:p>
        </w:tc>
        <w:tc>
          <w:tcPr>
            <w:tcW w:w="0" w:type="dxa"/>
            <w:vAlign w:val="bottom"/>
          </w:tcPr>
          <w:p>
            <w:pPr>
              <w:spacing w:after="0"/>
              <w:rPr>
                <w:sz w:val="1"/>
                <w:szCs w:val="1"/>
                <w:color w:val="auto"/>
              </w:rPr>
            </w:pPr>
          </w:p>
        </w:tc>
      </w:tr>
      <w:tr>
        <w:trPr>
          <w:trHeight w:val="213"/>
        </w:trPr>
        <w:tc>
          <w:tcPr>
            <w:tcW w:w="7060" w:type="dxa"/>
            <w:vAlign w:val="bottom"/>
          </w:tcPr>
          <w:p>
            <w:pPr>
              <w:ind w:left="220"/>
              <w:spacing w:after="0"/>
              <w:rPr>
                <w:sz w:val="20"/>
                <w:szCs w:val="20"/>
                <w:color w:val="auto"/>
              </w:rPr>
            </w:pPr>
            <w:r>
              <w:rPr>
                <w:rFonts w:ascii="Arial" w:cs="Arial" w:eastAsia="Arial" w:hAnsi="Arial"/>
                <w:sz w:val="17"/>
                <w:szCs w:val="17"/>
                <w:color w:val="auto"/>
              </w:rPr>
              <w:t>Zero Coupon senior notes due 2036</w:t>
            </w:r>
          </w:p>
        </w:tc>
        <w:tc>
          <w:tcPr>
            <w:tcW w:w="580" w:type="dxa"/>
            <w:vAlign w:val="bottom"/>
          </w:tcPr>
          <w:p>
            <w:pPr>
              <w:spacing w:after="0"/>
              <w:rPr>
                <w:sz w:val="18"/>
                <w:szCs w:val="18"/>
                <w:color w:val="auto"/>
              </w:rPr>
            </w:pPr>
          </w:p>
        </w:tc>
        <w:tc>
          <w:tcPr>
            <w:tcW w:w="1860" w:type="dxa"/>
            <w:vAlign w:val="bottom"/>
          </w:tcPr>
          <w:p>
            <w:pPr>
              <w:jc w:val="right"/>
              <w:ind w:right="336"/>
              <w:spacing w:after="0"/>
              <w:rPr>
                <w:sz w:val="20"/>
                <w:szCs w:val="20"/>
                <w:color w:val="auto"/>
              </w:rPr>
            </w:pPr>
            <w:r>
              <w:rPr>
                <w:rFonts w:ascii="Arial" w:cs="Arial" w:eastAsia="Arial" w:hAnsi="Arial"/>
                <w:sz w:val="17"/>
                <w:szCs w:val="17"/>
                <w:b w:val="1"/>
                <w:bCs w:val="1"/>
                <w:color w:val="00539B"/>
              </w:rPr>
              <w:t>673</w:t>
            </w:r>
          </w:p>
        </w:tc>
        <w:tc>
          <w:tcPr>
            <w:tcW w:w="1740" w:type="dxa"/>
            <w:vAlign w:val="bottom"/>
          </w:tcPr>
          <w:p>
            <w:pPr>
              <w:jc w:val="right"/>
              <w:spacing w:after="0"/>
              <w:rPr>
                <w:sz w:val="20"/>
                <w:szCs w:val="20"/>
                <w:color w:val="auto"/>
              </w:rPr>
            </w:pPr>
            <w:r>
              <w:rPr>
                <w:rFonts w:ascii="Arial" w:cs="Arial" w:eastAsia="Arial" w:hAnsi="Arial"/>
                <w:sz w:val="17"/>
                <w:szCs w:val="17"/>
                <w:color w:val="auto"/>
              </w:rPr>
              <w:t>673</w:t>
            </w:r>
          </w:p>
        </w:tc>
        <w:tc>
          <w:tcPr>
            <w:tcW w:w="0" w:type="dxa"/>
            <w:vAlign w:val="bottom"/>
          </w:tcPr>
          <w:p>
            <w:pPr>
              <w:spacing w:after="0"/>
              <w:rPr>
                <w:sz w:val="1"/>
                <w:szCs w:val="1"/>
                <w:color w:val="auto"/>
              </w:rPr>
            </w:pPr>
          </w:p>
        </w:tc>
      </w:tr>
      <w:tr>
        <w:trPr>
          <w:trHeight w:val="227"/>
        </w:trPr>
        <w:tc>
          <w:tcPr>
            <w:tcW w:w="7060" w:type="dxa"/>
            <w:vAlign w:val="bottom"/>
          </w:tcPr>
          <w:p>
            <w:pPr>
              <w:ind w:left="220"/>
              <w:spacing w:after="0"/>
              <w:rPr>
                <w:sz w:val="20"/>
                <w:szCs w:val="20"/>
                <w:color w:val="auto"/>
              </w:rPr>
            </w:pPr>
            <w:r>
              <w:rPr>
                <w:rFonts w:ascii="Arial" w:cs="Arial" w:eastAsia="Arial" w:hAnsi="Arial"/>
                <w:sz w:val="17"/>
                <w:szCs w:val="17"/>
                <w:color w:val="auto"/>
              </w:rPr>
              <w:t>4.300% senior notes due 2039</w:t>
            </w:r>
          </w:p>
        </w:tc>
        <w:tc>
          <w:tcPr>
            <w:tcW w:w="580" w:type="dxa"/>
            <w:vAlign w:val="bottom"/>
          </w:tcPr>
          <w:p>
            <w:pPr>
              <w:spacing w:after="0"/>
              <w:rPr>
                <w:sz w:val="19"/>
                <w:szCs w:val="19"/>
                <w:color w:val="auto"/>
              </w:rPr>
            </w:pPr>
          </w:p>
        </w:tc>
        <w:tc>
          <w:tcPr>
            <w:tcW w:w="1860" w:type="dxa"/>
            <w:vAlign w:val="bottom"/>
          </w:tcPr>
          <w:p>
            <w:pPr>
              <w:jc w:val="right"/>
              <w:ind w:right="336"/>
              <w:spacing w:after="0"/>
              <w:rPr>
                <w:sz w:val="20"/>
                <w:szCs w:val="20"/>
                <w:color w:val="auto"/>
              </w:rPr>
            </w:pPr>
            <w:r>
              <w:rPr>
                <w:rFonts w:ascii="Arial" w:cs="Arial" w:eastAsia="Arial" w:hAnsi="Arial"/>
                <w:sz w:val="17"/>
                <w:szCs w:val="17"/>
                <w:b w:val="1"/>
                <w:bCs w:val="1"/>
                <w:color w:val="00539B"/>
              </w:rPr>
              <w:t>247</w:t>
            </w:r>
          </w:p>
        </w:tc>
        <w:tc>
          <w:tcPr>
            <w:tcW w:w="1740" w:type="dxa"/>
            <w:vAlign w:val="bottom"/>
          </w:tcPr>
          <w:p>
            <w:pPr>
              <w:jc w:val="right"/>
              <w:spacing w:after="0"/>
              <w:rPr>
                <w:sz w:val="20"/>
                <w:szCs w:val="20"/>
                <w:color w:val="auto"/>
              </w:rPr>
            </w:pPr>
            <w:r>
              <w:rPr>
                <w:rFonts w:ascii="Arial" w:cs="Arial" w:eastAsia="Arial" w:hAnsi="Arial"/>
                <w:sz w:val="17"/>
                <w:szCs w:val="17"/>
                <w:color w:val="auto"/>
              </w:rPr>
              <w:t>247</w:t>
            </w:r>
          </w:p>
        </w:tc>
        <w:tc>
          <w:tcPr>
            <w:tcW w:w="0" w:type="dxa"/>
            <w:vAlign w:val="bottom"/>
          </w:tcPr>
          <w:p>
            <w:pPr>
              <w:spacing w:after="0"/>
              <w:rPr>
                <w:sz w:val="1"/>
                <w:szCs w:val="1"/>
                <w:color w:val="auto"/>
              </w:rPr>
            </w:pPr>
          </w:p>
        </w:tc>
      </w:tr>
      <w:tr>
        <w:trPr>
          <w:trHeight w:val="213"/>
        </w:trPr>
        <w:tc>
          <w:tcPr>
            <w:tcW w:w="7060" w:type="dxa"/>
            <w:vAlign w:val="bottom"/>
          </w:tcPr>
          <w:p>
            <w:pPr>
              <w:ind w:left="220"/>
              <w:spacing w:after="0"/>
              <w:rPr>
                <w:sz w:val="20"/>
                <w:szCs w:val="20"/>
                <w:color w:val="auto"/>
              </w:rPr>
            </w:pPr>
            <w:r>
              <w:rPr>
                <w:rFonts w:ascii="Arial" w:cs="Arial" w:eastAsia="Arial" w:hAnsi="Arial"/>
                <w:sz w:val="17"/>
                <w:szCs w:val="17"/>
                <w:color w:val="auto"/>
              </w:rPr>
              <w:t>7.950% senior notes due 2039</w:t>
            </w:r>
          </w:p>
        </w:tc>
        <w:tc>
          <w:tcPr>
            <w:tcW w:w="580" w:type="dxa"/>
            <w:vAlign w:val="bottom"/>
          </w:tcPr>
          <w:p>
            <w:pPr>
              <w:spacing w:after="0"/>
              <w:rPr>
                <w:sz w:val="18"/>
                <w:szCs w:val="18"/>
                <w:color w:val="auto"/>
              </w:rPr>
            </w:pPr>
          </w:p>
        </w:tc>
        <w:tc>
          <w:tcPr>
            <w:tcW w:w="1860" w:type="dxa"/>
            <w:vAlign w:val="bottom"/>
          </w:tcPr>
          <w:p>
            <w:pPr>
              <w:jc w:val="right"/>
              <w:ind w:right="336"/>
              <w:spacing w:after="0"/>
              <w:rPr>
                <w:sz w:val="20"/>
                <w:szCs w:val="20"/>
                <w:color w:val="auto"/>
              </w:rPr>
            </w:pPr>
            <w:r>
              <w:rPr>
                <w:rFonts w:ascii="Arial" w:cs="Arial" w:eastAsia="Arial" w:hAnsi="Arial"/>
                <w:sz w:val="17"/>
                <w:szCs w:val="17"/>
                <w:b w:val="1"/>
                <w:bCs w:val="1"/>
                <w:color w:val="00539B"/>
              </w:rPr>
              <w:t>325</w:t>
            </w:r>
          </w:p>
        </w:tc>
        <w:tc>
          <w:tcPr>
            <w:tcW w:w="1740" w:type="dxa"/>
            <w:vAlign w:val="bottom"/>
          </w:tcPr>
          <w:p>
            <w:pPr>
              <w:jc w:val="right"/>
              <w:spacing w:after="0"/>
              <w:rPr>
                <w:sz w:val="20"/>
                <w:szCs w:val="20"/>
                <w:color w:val="auto"/>
              </w:rPr>
            </w:pPr>
            <w:r>
              <w:rPr>
                <w:rFonts w:ascii="Arial" w:cs="Arial" w:eastAsia="Arial" w:hAnsi="Arial"/>
                <w:sz w:val="17"/>
                <w:szCs w:val="17"/>
                <w:color w:val="auto"/>
              </w:rPr>
              <w:t>325</w:t>
            </w:r>
          </w:p>
        </w:tc>
        <w:tc>
          <w:tcPr>
            <w:tcW w:w="0" w:type="dxa"/>
            <w:vAlign w:val="bottom"/>
          </w:tcPr>
          <w:p>
            <w:pPr>
              <w:spacing w:after="0"/>
              <w:rPr>
                <w:sz w:val="1"/>
                <w:szCs w:val="1"/>
                <w:color w:val="auto"/>
              </w:rPr>
            </w:pPr>
          </w:p>
        </w:tc>
      </w:tr>
      <w:tr>
        <w:trPr>
          <w:trHeight w:val="227"/>
        </w:trPr>
        <w:tc>
          <w:tcPr>
            <w:tcW w:w="7060" w:type="dxa"/>
            <w:vAlign w:val="bottom"/>
          </w:tcPr>
          <w:p>
            <w:pPr>
              <w:ind w:left="220"/>
              <w:spacing w:after="0"/>
              <w:rPr>
                <w:sz w:val="20"/>
                <w:szCs w:val="20"/>
                <w:color w:val="auto"/>
              </w:rPr>
            </w:pPr>
            <w:r>
              <w:rPr>
                <w:rFonts w:ascii="Arial" w:cs="Arial" w:eastAsia="Arial" w:hAnsi="Arial"/>
                <w:sz w:val="17"/>
                <w:szCs w:val="17"/>
                <w:color w:val="auto"/>
              </w:rPr>
              <w:t>6.200% senior notes due 2040</w:t>
            </w:r>
          </w:p>
        </w:tc>
        <w:tc>
          <w:tcPr>
            <w:tcW w:w="580" w:type="dxa"/>
            <w:vAlign w:val="bottom"/>
          </w:tcPr>
          <w:p>
            <w:pPr>
              <w:spacing w:after="0"/>
              <w:rPr>
                <w:sz w:val="19"/>
                <w:szCs w:val="19"/>
                <w:color w:val="auto"/>
              </w:rPr>
            </w:pPr>
          </w:p>
        </w:tc>
        <w:tc>
          <w:tcPr>
            <w:tcW w:w="1860" w:type="dxa"/>
            <w:vAlign w:val="bottom"/>
          </w:tcPr>
          <w:p>
            <w:pPr>
              <w:jc w:val="right"/>
              <w:ind w:right="336"/>
              <w:spacing w:after="0"/>
              <w:rPr>
                <w:sz w:val="20"/>
                <w:szCs w:val="20"/>
                <w:color w:val="auto"/>
              </w:rPr>
            </w:pPr>
            <w:r>
              <w:rPr>
                <w:rFonts w:ascii="Arial" w:cs="Arial" w:eastAsia="Arial" w:hAnsi="Arial"/>
                <w:sz w:val="17"/>
                <w:szCs w:val="17"/>
                <w:b w:val="1"/>
                <w:bCs w:val="1"/>
                <w:color w:val="00539B"/>
              </w:rPr>
              <w:t>737</w:t>
            </w:r>
          </w:p>
        </w:tc>
        <w:tc>
          <w:tcPr>
            <w:tcW w:w="1740" w:type="dxa"/>
            <w:vAlign w:val="bottom"/>
          </w:tcPr>
          <w:p>
            <w:pPr>
              <w:jc w:val="right"/>
              <w:spacing w:after="0"/>
              <w:rPr>
                <w:sz w:val="20"/>
                <w:szCs w:val="20"/>
                <w:color w:val="auto"/>
              </w:rPr>
            </w:pPr>
            <w:r>
              <w:rPr>
                <w:rFonts w:ascii="Arial" w:cs="Arial" w:eastAsia="Arial" w:hAnsi="Arial"/>
                <w:sz w:val="17"/>
                <w:szCs w:val="17"/>
                <w:color w:val="auto"/>
              </w:rPr>
              <w:t>737</w:t>
            </w:r>
          </w:p>
        </w:tc>
        <w:tc>
          <w:tcPr>
            <w:tcW w:w="0" w:type="dxa"/>
            <w:vAlign w:val="bottom"/>
          </w:tcPr>
          <w:p>
            <w:pPr>
              <w:spacing w:after="0"/>
              <w:rPr>
                <w:sz w:val="1"/>
                <w:szCs w:val="1"/>
                <w:color w:val="auto"/>
              </w:rPr>
            </w:pPr>
          </w:p>
        </w:tc>
      </w:tr>
      <w:tr>
        <w:trPr>
          <w:trHeight w:val="227"/>
        </w:trPr>
        <w:tc>
          <w:tcPr>
            <w:tcW w:w="7060" w:type="dxa"/>
            <w:vAlign w:val="bottom"/>
          </w:tcPr>
          <w:p>
            <w:pPr>
              <w:ind w:left="220"/>
              <w:spacing w:after="0"/>
              <w:rPr>
                <w:sz w:val="20"/>
                <w:szCs w:val="20"/>
                <w:color w:val="auto"/>
              </w:rPr>
            </w:pPr>
            <w:r>
              <w:rPr>
                <w:rFonts w:ascii="Arial" w:cs="Arial" w:eastAsia="Arial" w:hAnsi="Arial"/>
                <w:sz w:val="17"/>
                <w:szCs w:val="17"/>
                <w:color w:val="auto"/>
              </w:rPr>
              <w:t>4.500% senior notes due 2044</w:t>
            </w:r>
          </w:p>
        </w:tc>
        <w:tc>
          <w:tcPr>
            <w:tcW w:w="580" w:type="dxa"/>
            <w:vAlign w:val="bottom"/>
          </w:tcPr>
          <w:p>
            <w:pPr>
              <w:spacing w:after="0"/>
              <w:rPr>
                <w:sz w:val="19"/>
                <w:szCs w:val="19"/>
                <w:color w:val="auto"/>
              </w:rPr>
            </w:pPr>
          </w:p>
        </w:tc>
        <w:tc>
          <w:tcPr>
            <w:tcW w:w="1860" w:type="dxa"/>
            <w:vAlign w:val="bottom"/>
          </w:tcPr>
          <w:p>
            <w:pPr>
              <w:jc w:val="right"/>
              <w:ind w:right="336"/>
              <w:spacing w:after="0"/>
              <w:rPr>
                <w:sz w:val="20"/>
                <w:szCs w:val="20"/>
                <w:color w:val="auto"/>
              </w:rPr>
            </w:pPr>
            <w:r>
              <w:rPr>
                <w:rFonts w:ascii="Arial" w:cs="Arial" w:eastAsia="Arial" w:hAnsi="Arial"/>
                <w:sz w:val="17"/>
                <w:szCs w:val="17"/>
                <w:b w:val="1"/>
                <w:bCs w:val="1"/>
                <w:color w:val="00539B"/>
              </w:rPr>
              <w:t>191</w:t>
            </w:r>
          </w:p>
        </w:tc>
        <w:tc>
          <w:tcPr>
            <w:tcW w:w="1740" w:type="dxa"/>
            <w:vAlign w:val="bottom"/>
          </w:tcPr>
          <w:p>
            <w:pPr>
              <w:jc w:val="right"/>
              <w:spacing w:after="0"/>
              <w:rPr>
                <w:sz w:val="20"/>
                <w:szCs w:val="20"/>
                <w:color w:val="auto"/>
              </w:rPr>
            </w:pPr>
            <w:r>
              <w:rPr>
                <w:rFonts w:ascii="Arial" w:cs="Arial" w:eastAsia="Arial" w:hAnsi="Arial"/>
                <w:sz w:val="17"/>
                <w:szCs w:val="17"/>
                <w:color w:val="auto"/>
              </w:rPr>
              <w:t>191</w:t>
            </w:r>
          </w:p>
        </w:tc>
        <w:tc>
          <w:tcPr>
            <w:tcW w:w="0" w:type="dxa"/>
            <w:vAlign w:val="bottom"/>
          </w:tcPr>
          <w:p>
            <w:pPr>
              <w:spacing w:after="0"/>
              <w:rPr>
                <w:sz w:val="1"/>
                <w:szCs w:val="1"/>
                <w:color w:val="auto"/>
              </w:rPr>
            </w:pPr>
          </w:p>
        </w:tc>
      </w:tr>
      <w:tr>
        <w:trPr>
          <w:trHeight w:val="213"/>
        </w:trPr>
        <w:tc>
          <w:tcPr>
            <w:tcW w:w="7060" w:type="dxa"/>
            <w:vAlign w:val="bottom"/>
          </w:tcPr>
          <w:p>
            <w:pPr>
              <w:ind w:left="220"/>
              <w:spacing w:after="0"/>
              <w:rPr>
                <w:sz w:val="20"/>
                <w:szCs w:val="20"/>
                <w:color w:val="auto"/>
              </w:rPr>
            </w:pPr>
            <w:r>
              <w:rPr>
                <w:rFonts w:ascii="Arial" w:cs="Arial" w:eastAsia="Arial" w:hAnsi="Arial"/>
                <w:sz w:val="17"/>
                <w:szCs w:val="17"/>
                <w:color w:val="auto"/>
              </w:rPr>
              <w:t>4.625% senior notes due 2045</w:t>
            </w:r>
          </w:p>
        </w:tc>
        <w:tc>
          <w:tcPr>
            <w:tcW w:w="580" w:type="dxa"/>
            <w:vAlign w:val="bottom"/>
          </w:tcPr>
          <w:p>
            <w:pPr>
              <w:spacing w:after="0"/>
              <w:rPr>
                <w:sz w:val="18"/>
                <w:szCs w:val="18"/>
                <w:color w:val="auto"/>
              </w:rPr>
            </w:pPr>
          </w:p>
        </w:tc>
        <w:tc>
          <w:tcPr>
            <w:tcW w:w="1860" w:type="dxa"/>
            <w:vAlign w:val="bottom"/>
          </w:tcPr>
          <w:p>
            <w:pPr>
              <w:jc w:val="right"/>
              <w:ind w:right="336"/>
              <w:spacing w:after="0"/>
              <w:rPr>
                <w:sz w:val="20"/>
                <w:szCs w:val="20"/>
                <w:color w:val="auto"/>
              </w:rPr>
            </w:pPr>
            <w:r>
              <w:rPr>
                <w:rFonts w:ascii="Arial" w:cs="Arial" w:eastAsia="Arial" w:hAnsi="Arial"/>
                <w:sz w:val="17"/>
                <w:szCs w:val="17"/>
                <w:b w:val="1"/>
                <w:bCs w:val="1"/>
                <w:color w:val="00539B"/>
              </w:rPr>
              <w:t>296</w:t>
            </w:r>
          </w:p>
        </w:tc>
        <w:tc>
          <w:tcPr>
            <w:tcW w:w="1740" w:type="dxa"/>
            <w:vAlign w:val="bottom"/>
          </w:tcPr>
          <w:p>
            <w:pPr>
              <w:jc w:val="right"/>
              <w:spacing w:after="0"/>
              <w:rPr>
                <w:sz w:val="20"/>
                <w:szCs w:val="20"/>
                <w:color w:val="auto"/>
              </w:rPr>
            </w:pPr>
            <w:r>
              <w:rPr>
                <w:rFonts w:ascii="Arial" w:cs="Arial" w:eastAsia="Arial" w:hAnsi="Arial"/>
                <w:sz w:val="17"/>
                <w:szCs w:val="17"/>
                <w:color w:val="auto"/>
              </w:rPr>
              <w:t>296</w:t>
            </w:r>
          </w:p>
        </w:tc>
        <w:tc>
          <w:tcPr>
            <w:tcW w:w="0" w:type="dxa"/>
            <w:vAlign w:val="bottom"/>
          </w:tcPr>
          <w:p>
            <w:pPr>
              <w:spacing w:after="0"/>
              <w:rPr>
                <w:sz w:val="1"/>
                <w:szCs w:val="1"/>
                <w:color w:val="auto"/>
              </w:rPr>
            </w:pPr>
          </w:p>
        </w:tc>
      </w:tr>
      <w:tr>
        <w:trPr>
          <w:trHeight w:val="227"/>
        </w:trPr>
        <w:tc>
          <w:tcPr>
            <w:tcW w:w="7060" w:type="dxa"/>
            <w:vAlign w:val="bottom"/>
          </w:tcPr>
          <w:p>
            <w:pPr>
              <w:ind w:left="220"/>
              <w:spacing w:after="0"/>
              <w:rPr>
                <w:sz w:val="20"/>
                <w:szCs w:val="20"/>
                <w:color w:val="auto"/>
              </w:rPr>
            </w:pPr>
            <w:r>
              <w:rPr>
                <w:rFonts w:ascii="Arial" w:cs="Arial" w:eastAsia="Arial" w:hAnsi="Arial"/>
                <w:sz w:val="17"/>
                <w:szCs w:val="17"/>
                <w:color w:val="auto"/>
              </w:rPr>
              <w:t>6.600% senior notes due 2046</w:t>
            </w:r>
          </w:p>
        </w:tc>
        <w:tc>
          <w:tcPr>
            <w:tcW w:w="580" w:type="dxa"/>
            <w:vAlign w:val="bottom"/>
          </w:tcPr>
          <w:p>
            <w:pPr>
              <w:spacing w:after="0"/>
              <w:rPr>
                <w:sz w:val="19"/>
                <w:szCs w:val="19"/>
                <w:color w:val="auto"/>
              </w:rPr>
            </w:pPr>
          </w:p>
        </w:tc>
        <w:tc>
          <w:tcPr>
            <w:tcW w:w="1860" w:type="dxa"/>
            <w:vAlign w:val="bottom"/>
          </w:tcPr>
          <w:p>
            <w:pPr>
              <w:jc w:val="right"/>
              <w:ind w:right="336"/>
              <w:spacing w:after="0"/>
              <w:rPr>
                <w:sz w:val="20"/>
                <w:szCs w:val="20"/>
                <w:color w:val="auto"/>
              </w:rPr>
            </w:pPr>
            <w:r>
              <w:rPr>
                <w:rFonts w:ascii="Arial" w:cs="Arial" w:eastAsia="Arial" w:hAnsi="Arial"/>
                <w:sz w:val="17"/>
                <w:szCs w:val="17"/>
                <w:b w:val="1"/>
                <w:bCs w:val="1"/>
                <w:color w:val="00539B"/>
              </w:rPr>
              <w:t>1,117</w:t>
            </w:r>
          </w:p>
        </w:tc>
        <w:tc>
          <w:tcPr>
            <w:tcW w:w="1740" w:type="dxa"/>
            <w:vAlign w:val="bottom"/>
          </w:tcPr>
          <w:p>
            <w:pPr>
              <w:jc w:val="right"/>
              <w:spacing w:after="0"/>
              <w:rPr>
                <w:sz w:val="20"/>
                <w:szCs w:val="20"/>
                <w:color w:val="auto"/>
              </w:rPr>
            </w:pPr>
            <w:r>
              <w:rPr>
                <w:rFonts w:ascii="Arial" w:cs="Arial" w:eastAsia="Arial" w:hAnsi="Arial"/>
                <w:sz w:val="17"/>
                <w:szCs w:val="17"/>
                <w:color w:val="auto"/>
              </w:rPr>
              <w:t>1,117</w:t>
            </w:r>
          </w:p>
        </w:tc>
        <w:tc>
          <w:tcPr>
            <w:tcW w:w="0" w:type="dxa"/>
            <w:vAlign w:val="bottom"/>
          </w:tcPr>
          <w:p>
            <w:pPr>
              <w:spacing w:after="0"/>
              <w:rPr>
                <w:sz w:val="1"/>
                <w:szCs w:val="1"/>
                <w:color w:val="auto"/>
              </w:rPr>
            </w:pPr>
          </w:p>
        </w:tc>
      </w:tr>
      <w:tr>
        <w:trPr>
          <w:trHeight w:val="227"/>
        </w:trPr>
        <w:tc>
          <w:tcPr>
            <w:tcW w:w="7060" w:type="dxa"/>
            <w:vAlign w:val="bottom"/>
          </w:tcPr>
          <w:p>
            <w:pPr>
              <w:ind w:left="220"/>
              <w:spacing w:after="0"/>
              <w:rPr>
                <w:sz w:val="20"/>
                <w:szCs w:val="20"/>
                <w:color w:val="auto"/>
              </w:rPr>
            </w:pPr>
            <w:r>
              <w:rPr>
                <w:rFonts w:ascii="Arial" w:cs="Arial" w:eastAsia="Arial" w:hAnsi="Arial"/>
                <w:sz w:val="17"/>
                <w:szCs w:val="17"/>
                <w:color w:val="auto"/>
              </w:rPr>
              <w:t>4.400% senior notes due 2046</w:t>
            </w:r>
          </w:p>
        </w:tc>
        <w:tc>
          <w:tcPr>
            <w:tcW w:w="580" w:type="dxa"/>
            <w:vAlign w:val="bottom"/>
          </w:tcPr>
          <w:p>
            <w:pPr>
              <w:spacing w:after="0"/>
              <w:rPr>
                <w:sz w:val="19"/>
                <w:szCs w:val="19"/>
                <w:color w:val="auto"/>
              </w:rPr>
            </w:pPr>
          </w:p>
        </w:tc>
        <w:tc>
          <w:tcPr>
            <w:tcW w:w="1860" w:type="dxa"/>
            <w:vAlign w:val="bottom"/>
          </w:tcPr>
          <w:p>
            <w:pPr>
              <w:jc w:val="right"/>
              <w:ind w:right="336"/>
              <w:spacing w:after="0"/>
              <w:rPr>
                <w:sz w:val="20"/>
                <w:szCs w:val="20"/>
                <w:color w:val="auto"/>
              </w:rPr>
            </w:pPr>
            <w:r>
              <w:rPr>
                <w:rFonts w:ascii="Arial" w:cs="Arial" w:eastAsia="Arial" w:hAnsi="Arial"/>
                <w:sz w:val="17"/>
                <w:szCs w:val="17"/>
                <w:b w:val="1"/>
                <w:bCs w:val="1"/>
                <w:color w:val="00539B"/>
              </w:rPr>
              <w:t>424</w:t>
            </w:r>
          </w:p>
        </w:tc>
        <w:tc>
          <w:tcPr>
            <w:tcW w:w="1740" w:type="dxa"/>
            <w:vAlign w:val="bottom"/>
          </w:tcPr>
          <w:p>
            <w:pPr>
              <w:jc w:val="right"/>
              <w:spacing w:after="0"/>
              <w:rPr>
                <w:sz w:val="20"/>
                <w:szCs w:val="20"/>
                <w:color w:val="auto"/>
              </w:rPr>
            </w:pPr>
            <w:r>
              <w:rPr>
                <w:rFonts w:ascii="Arial" w:cs="Arial" w:eastAsia="Arial" w:hAnsi="Arial"/>
                <w:sz w:val="17"/>
                <w:szCs w:val="17"/>
                <w:color w:val="auto"/>
              </w:rPr>
              <w:t>424</w:t>
            </w:r>
          </w:p>
        </w:tc>
        <w:tc>
          <w:tcPr>
            <w:tcW w:w="0" w:type="dxa"/>
            <w:vAlign w:val="bottom"/>
          </w:tcPr>
          <w:p>
            <w:pPr>
              <w:spacing w:after="0"/>
              <w:rPr>
                <w:sz w:val="1"/>
                <w:szCs w:val="1"/>
                <w:color w:val="auto"/>
              </w:rPr>
            </w:pPr>
          </w:p>
        </w:tc>
      </w:tr>
      <w:tr>
        <w:trPr>
          <w:trHeight w:val="215"/>
        </w:trPr>
        <w:tc>
          <w:tcPr>
            <w:tcW w:w="7060" w:type="dxa"/>
            <w:vAlign w:val="bottom"/>
          </w:tcPr>
          <w:p>
            <w:pPr>
              <w:ind w:left="220"/>
              <w:spacing w:after="0"/>
              <w:rPr>
                <w:sz w:val="20"/>
                <w:szCs w:val="20"/>
                <w:color w:val="auto"/>
              </w:rPr>
            </w:pPr>
            <w:r>
              <w:rPr>
                <w:rFonts w:ascii="Arial" w:cs="Arial" w:eastAsia="Arial" w:hAnsi="Arial"/>
                <w:sz w:val="17"/>
                <w:szCs w:val="17"/>
                <w:color w:val="auto"/>
              </w:rPr>
              <w:t>4.100% senior notes due 2047</w:t>
            </w:r>
          </w:p>
        </w:tc>
        <w:tc>
          <w:tcPr>
            <w:tcW w:w="580" w:type="dxa"/>
            <w:vAlign w:val="bottom"/>
          </w:tcPr>
          <w:p>
            <w:pPr>
              <w:spacing w:after="0"/>
              <w:rPr>
                <w:sz w:val="18"/>
                <w:szCs w:val="18"/>
                <w:color w:val="auto"/>
              </w:rPr>
            </w:pPr>
          </w:p>
        </w:tc>
        <w:tc>
          <w:tcPr>
            <w:tcW w:w="1860" w:type="dxa"/>
            <w:vAlign w:val="bottom"/>
          </w:tcPr>
          <w:p>
            <w:pPr>
              <w:jc w:val="right"/>
              <w:ind w:right="336"/>
              <w:spacing w:after="0"/>
              <w:rPr>
                <w:sz w:val="20"/>
                <w:szCs w:val="20"/>
                <w:color w:val="auto"/>
              </w:rPr>
            </w:pPr>
            <w:r>
              <w:rPr>
                <w:rFonts w:ascii="Arial" w:cs="Arial" w:eastAsia="Arial" w:hAnsi="Arial"/>
                <w:sz w:val="17"/>
                <w:szCs w:val="17"/>
                <w:b w:val="1"/>
                <w:bCs w:val="1"/>
                <w:color w:val="00539B"/>
              </w:rPr>
              <w:t>258</w:t>
            </w:r>
          </w:p>
        </w:tc>
        <w:tc>
          <w:tcPr>
            <w:tcW w:w="1740" w:type="dxa"/>
            <w:vAlign w:val="bottom"/>
          </w:tcPr>
          <w:p>
            <w:pPr>
              <w:jc w:val="right"/>
              <w:spacing w:after="0"/>
              <w:rPr>
                <w:sz w:val="20"/>
                <w:szCs w:val="20"/>
                <w:color w:val="auto"/>
              </w:rPr>
            </w:pPr>
            <w:r>
              <w:rPr>
                <w:rFonts w:ascii="Arial" w:cs="Arial" w:eastAsia="Arial" w:hAnsi="Arial"/>
                <w:sz w:val="17"/>
                <w:szCs w:val="17"/>
                <w:color w:val="auto"/>
              </w:rPr>
              <w:t>258</w:t>
            </w:r>
          </w:p>
        </w:tc>
        <w:tc>
          <w:tcPr>
            <w:tcW w:w="0" w:type="dxa"/>
            <w:vAlign w:val="bottom"/>
          </w:tcPr>
          <w:p>
            <w:pPr>
              <w:spacing w:after="0"/>
              <w:rPr>
                <w:sz w:val="1"/>
                <w:szCs w:val="1"/>
                <w:color w:val="auto"/>
              </w:rPr>
            </w:pPr>
          </w:p>
        </w:tc>
      </w:tr>
      <w:tr>
        <w:trPr>
          <w:trHeight w:val="231"/>
        </w:trPr>
        <w:tc>
          <w:tcPr>
            <w:tcW w:w="7060" w:type="dxa"/>
            <w:vAlign w:val="bottom"/>
            <w:tcBorders>
              <w:bottom w:val="single" w:sz="8" w:color="auto"/>
            </w:tcBorders>
          </w:tcPr>
          <w:p>
            <w:pPr>
              <w:ind w:left="220"/>
              <w:spacing w:after="0"/>
              <w:rPr>
                <w:sz w:val="20"/>
                <w:szCs w:val="20"/>
                <w:color w:val="auto"/>
              </w:rPr>
            </w:pPr>
            <w:r>
              <w:rPr>
                <w:rFonts w:ascii="Arial" w:cs="Arial" w:eastAsia="Arial" w:hAnsi="Arial"/>
                <w:sz w:val="17"/>
                <w:szCs w:val="17"/>
                <w:i w:val="1"/>
                <w:iCs w:val="1"/>
                <w:color w:val="auto"/>
              </w:rPr>
              <w:t>(continued on next page)</w:t>
            </w:r>
          </w:p>
        </w:tc>
        <w:tc>
          <w:tcPr>
            <w:tcW w:w="58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715962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25"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40"/>
        </w:trPr>
        <w:tc>
          <w:tcPr>
            <w:tcW w:w="482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7"/>
                <w:szCs w:val="17"/>
                <w:i w:val="1"/>
                <w:iCs w:val="1"/>
                <w:color w:val="auto"/>
              </w:rPr>
              <w:t>millions (continued)</w:t>
            </w:r>
          </w:p>
        </w:tc>
        <w:tc>
          <w:tcPr>
            <w:tcW w:w="3100" w:type="dxa"/>
            <w:vAlign w:val="bottom"/>
            <w:tcBorders>
              <w:top w:val="single" w:sz="8" w:color="auto"/>
              <w:bottom w:val="single" w:sz="8" w:color="auto"/>
            </w:tcBorders>
          </w:tcPr>
          <w:p>
            <w:pPr>
              <w:spacing w:after="0"/>
              <w:rPr>
                <w:sz w:val="20"/>
                <w:szCs w:val="20"/>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2023</w:t>
            </w:r>
          </w:p>
        </w:tc>
        <w:tc>
          <w:tcPr>
            <w:tcW w:w="800" w:type="dxa"/>
            <w:vAlign w:val="bottom"/>
            <w:tcBorders>
              <w:top w:val="single" w:sz="8" w:color="auto"/>
              <w:bottom w:val="single" w:sz="8" w:color="auto"/>
            </w:tcBorders>
          </w:tcPr>
          <w:p>
            <w:pPr>
              <w:spacing w:after="0"/>
              <w:rPr>
                <w:sz w:val="20"/>
                <w:szCs w:val="20"/>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2022</w:t>
            </w:r>
          </w:p>
        </w:tc>
      </w:tr>
      <w:tr>
        <w:trPr>
          <w:trHeight w:val="194"/>
        </w:trPr>
        <w:tc>
          <w:tcPr>
            <w:tcW w:w="4820" w:type="dxa"/>
            <w:vAlign w:val="bottom"/>
          </w:tcPr>
          <w:p>
            <w:pPr>
              <w:ind w:left="220"/>
              <w:spacing w:after="0" w:line="194" w:lineRule="exact"/>
              <w:rPr>
                <w:sz w:val="20"/>
                <w:szCs w:val="20"/>
                <w:color w:val="auto"/>
              </w:rPr>
            </w:pPr>
            <w:r>
              <w:rPr>
                <w:rFonts w:ascii="Arial" w:cs="Arial" w:eastAsia="Arial" w:hAnsi="Arial"/>
                <w:sz w:val="17"/>
                <w:szCs w:val="17"/>
                <w:color w:val="auto"/>
              </w:rPr>
              <w:t>4.200% senior notes due 2048</w:t>
            </w:r>
          </w:p>
        </w:tc>
        <w:tc>
          <w:tcPr>
            <w:tcW w:w="3100" w:type="dxa"/>
            <w:vAlign w:val="bottom"/>
          </w:tcPr>
          <w:p>
            <w:pPr>
              <w:spacing w:after="0"/>
              <w:rPr>
                <w:sz w:val="16"/>
                <w:szCs w:val="16"/>
                <w:color w:val="auto"/>
              </w:rPr>
            </w:pPr>
          </w:p>
        </w:tc>
        <w:tc>
          <w:tcPr>
            <w:tcW w:w="1260" w:type="dxa"/>
            <w:vAlign w:val="bottom"/>
          </w:tcPr>
          <w:p>
            <w:pPr>
              <w:jc w:val="right"/>
              <w:spacing w:after="0" w:line="194" w:lineRule="exact"/>
              <w:rPr>
                <w:sz w:val="20"/>
                <w:szCs w:val="20"/>
                <w:color w:val="auto"/>
              </w:rPr>
            </w:pPr>
            <w:r>
              <w:rPr>
                <w:rFonts w:ascii="Arial" w:cs="Arial" w:eastAsia="Arial" w:hAnsi="Arial"/>
                <w:sz w:val="17"/>
                <w:szCs w:val="17"/>
                <w:b w:val="1"/>
                <w:bCs w:val="1"/>
                <w:color w:val="00539B"/>
              </w:rPr>
              <w:t>304</w:t>
            </w:r>
          </w:p>
        </w:tc>
        <w:tc>
          <w:tcPr>
            <w:tcW w:w="800" w:type="dxa"/>
            <w:vAlign w:val="bottom"/>
          </w:tcPr>
          <w:p>
            <w:pPr>
              <w:spacing w:after="0"/>
              <w:rPr>
                <w:sz w:val="16"/>
                <w:szCs w:val="16"/>
                <w:color w:val="auto"/>
              </w:rPr>
            </w:pPr>
          </w:p>
        </w:tc>
        <w:tc>
          <w:tcPr>
            <w:tcW w:w="1260" w:type="dxa"/>
            <w:vAlign w:val="bottom"/>
          </w:tcPr>
          <w:p>
            <w:pPr>
              <w:jc w:val="right"/>
              <w:spacing w:after="0" w:line="194" w:lineRule="exact"/>
              <w:rPr>
                <w:sz w:val="20"/>
                <w:szCs w:val="20"/>
                <w:color w:val="auto"/>
              </w:rPr>
            </w:pPr>
            <w:r>
              <w:rPr>
                <w:rFonts w:ascii="Arial" w:cs="Arial" w:eastAsia="Arial" w:hAnsi="Arial"/>
                <w:sz w:val="17"/>
                <w:szCs w:val="17"/>
                <w:color w:val="auto"/>
              </w:rPr>
              <w:t>304</w:t>
            </w:r>
          </w:p>
        </w:tc>
      </w:tr>
      <w:tr>
        <w:trPr>
          <w:trHeight w:val="227"/>
        </w:trPr>
        <w:tc>
          <w:tcPr>
            <w:tcW w:w="4820" w:type="dxa"/>
            <w:vAlign w:val="bottom"/>
          </w:tcPr>
          <w:p>
            <w:pPr>
              <w:ind w:left="220"/>
              <w:spacing w:after="0"/>
              <w:rPr>
                <w:sz w:val="20"/>
                <w:szCs w:val="20"/>
                <w:color w:val="auto"/>
              </w:rPr>
            </w:pPr>
            <w:r>
              <w:rPr>
                <w:rFonts w:ascii="Arial" w:cs="Arial" w:eastAsia="Arial" w:hAnsi="Arial"/>
                <w:sz w:val="17"/>
                <w:szCs w:val="17"/>
                <w:color w:val="auto"/>
              </w:rPr>
              <w:t>4.400% senior notes due 2049</w:t>
            </w:r>
          </w:p>
        </w:tc>
        <w:tc>
          <w:tcPr>
            <w:tcW w:w="3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b w:val="1"/>
                <w:bCs w:val="1"/>
                <w:color w:val="00539B"/>
              </w:rPr>
              <w:t>280</w:t>
            </w:r>
          </w:p>
        </w:tc>
        <w:tc>
          <w:tcPr>
            <w:tcW w:w="8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280</w:t>
            </w:r>
          </w:p>
        </w:tc>
      </w:tr>
      <w:tr>
        <w:trPr>
          <w:trHeight w:val="227"/>
        </w:trPr>
        <w:tc>
          <w:tcPr>
            <w:tcW w:w="4820" w:type="dxa"/>
            <w:vAlign w:val="bottom"/>
          </w:tcPr>
          <w:p>
            <w:pPr>
              <w:ind w:left="220"/>
              <w:spacing w:after="0"/>
              <w:rPr>
                <w:sz w:val="20"/>
                <w:szCs w:val="20"/>
                <w:color w:val="auto"/>
              </w:rPr>
            </w:pPr>
            <w:r>
              <w:rPr>
                <w:rFonts w:ascii="Arial" w:cs="Arial" w:eastAsia="Arial" w:hAnsi="Arial"/>
                <w:sz w:val="17"/>
                <w:szCs w:val="17"/>
                <w:color w:val="auto"/>
              </w:rPr>
              <w:t>7.730% debentures due 2096</w:t>
            </w:r>
          </w:p>
        </w:tc>
        <w:tc>
          <w:tcPr>
            <w:tcW w:w="3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b w:val="1"/>
                <w:bCs w:val="1"/>
                <w:color w:val="00539B"/>
              </w:rPr>
              <w:t>58</w:t>
            </w:r>
          </w:p>
        </w:tc>
        <w:tc>
          <w:tcPr>
            <w:tcW w:w="8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58</w:t>
            </w:r>
          </w:p>
        </w:tc>
      </w:tr>
      <w:tr>
        <w:trPr>
          <w:trHeight w:val="213"/>
        </w:trPr>
        <w:tc>
          <w:tcPr>
            <w:tcW w:w="4820" w:type="dxa"/>
            <w:vAlign w:val="bottom"/>
          </w:tcPr>
          <w:p>
            <w:pPr>
              <w:ind w:left="220"/>
              <w:spacing w:after="0"/>
              <w:rPr>
                <w:sz w:val="20"/>
                <w:szCs w:val="20"/>
                <w:color w:val="auto"/>
              </w:rPr>
            </w:pPr>
            <w:r>
              <w:rPr>
                <w:rFonts w:ascii="Arial" w:cs="Arial" w:eastAsia="Arial" w:hAnsi="Arial"/>
                <w:sz w:val="17"/>
                <w:szCs w:val="17"/>
                <w:color w:val="auto"/>
              </w:rPr>
              <w:t>7.500% debentures due 2096</w:t>
            </w:r>
          </w:p>
        </w:tc>
        <w:tc>
          <w:tcPr>
            <w:tcW w:w="3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b w:val="1"/>
                <w:bCs w:val="1"/>
                <w:color w:val="00539B"/>
              </w:rPr>
              <w:t>60</w:t>
            </w:r>
          </w:p>
        </w:tc>
        <w:tc>
          <w:tcPr>
            <w:tcW w:w="8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60</w:t>
            </w:r>
          </w:p>
        </w:tc>
      </w:tr>
      <w:tr>
        <w:trPr>
          <w:trHeight w:val="237"/>
        </w:trPr>
        <w:tc>
          <w:tcPr>
            <w:tcW w:w="482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7.250% debentures due 2096</w:t>
            </w:r>
          </w:p>
        </w:tc>
        <w:tc>
          <w:tcPr>
            <w:tcW w:w="31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5</w:t>
            </w:r>
          </w:p>
        </w:tc>
        <w:tc>
          <w:tcPr>
            <w:tcW w:w="8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w:t>
            </w:r>
          </w:p>
        </w:tc>
      </w:tr>
      <w:tr>
        <w:trPr>
          <w:trHeight w:val="223"/>
        </w:trPr>
        <w:tc>
          <w:tcPr>
            <w:tcW w:w="482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Total borrowings at face value</w:t>
            </w:r>
          </w:p>
        </w:tc>
        <w:tc>
          <w:tcPr>
            <w:tcW w:w="3100" w:type="dxa"/>
            <w:vAlign w:val="bottom"/>
            <w:tcBorders>
              <w:bottom w:val="single" w:sz="8" w:color="auto"/>
            </w:tcBorders>
          </w:tcPr>
          <w:p>
            <w:pPr>
              <w:jc w:val="right"/>
              <w:ind w:right="596"/>
              <w:spacing w:after="0"/>
              <w:rPr>
                <w:sz w:val="20"/>
                <w:szCs w:val="20"/>
                <w:color w:val="auto"/>
              </w:rPr>
            </w:pPr>
            <w:r>
              <w:rPr>
                <w:rFonts w:ascii="Arial" w:cs="Arial" w:eastAsia="Arial" w:hAnsi="Arial"/>
                <w:sz w:val="17"/>
                <w:szCs w:val="17"/>
                <w:b w:val="1"/>
                <w:bCs w:val="1"/>
                <w:color w:val="00539B"/>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17,936</w:t>
            </w:r>
          </w:p>
        </w:tc>
        <w:tc>
          <w:tcPr>
            <w:tcW w:w="800" w:type="dxa"/>
            <w:vAlign w:val="bottom"/>
            <w:tcBorders>
              <w:bottom w:val="single" w:sz="8" w:color="auto"/>
            </w:tcBorders>
          </w:tcPr>
          <w:p>
            <w:pPr>
              <w:jc w:val="right"/>
              <w:ind w:right="596"/>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17,958</w:t>
            </w:r>
          </w:p>
        </w:tc>
      </w:tr>
    </w:tbl>
    <w:p>
      <w:pPr>
        <w:spacing w:after="0" w:line="302" w:lineRule="exact"/>
        <w:rPr>
          <w:sz w:val="20"/>
          <w:szCs w:val="20"/>
          <w:color w:val="auto"/>
        </w:rPr>
      </w:pPr>
    </w:p>
    <w:p>
      <w:pPr>
        <w:ind w:left="240"/>
        <w:spacing w:after="0"/>
        <w:rPr>
          <w:sz w:val="20"/>
          <w:szCs w:val="20"/>
          <w:color w:val="auto"/>
        </w:rPr>
      </w:pPr>
      <w:r>
        <w:rPr>
          <w:rFonts w:ascii="Arial" w:cs="Arial" w:eastAsia="Arial" w:hAnsi="Arial"/>
          <w:sz w:val="17"/>
          <w:szCs w:val="17"/>
          <w:color w:val="auto"/>
        </w:rPr>
        <w:t>The following table summarizes Occidental's outstanding debt, including finance lease liabilities: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52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7"/>
                <w:szCs w:val="17"/>
                <w:i w:val="1"/>
                <w:iCs w:val="1"/>
                <w:color w:val="auto"/>
              </w:rPr>
              <w:t>millions</w:t>
            </w:r>
          </w:p>
        </w:tc>
        <w:tc>
          <w:tcPr>
            <w:tcW w:w="2360" w:type="dxa"/>
            <w:vAlign w:val="bottom"/>
            <w:tcBorders>
              <w:top w:val="single" w:sz="8" w:color="auto"/>
              <w:bottom w:val="single" w:sz="8" w:color="auto"/>
            </w:tcBorders>
          </w:tcPr>
          <w:p>
            <w:pPr>
              <w:spacing w:after="0"/>
              <w:rPr>
                <w:sz w:val="20"/>
                <w:szCs w:val="20"/>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June 30, 2023</w:t>
            </w:r>
          </w:p>
        </w:tc>
        <w:tc>
          <w:tcPr>
            <w:tcW w:w="340" w:type="dxa"/>
            <w:vAlign w:val="bottom"/>
            <w:tcBorders>
              <w:top w:val="single" w:sz="8" w:color="auto"/>
              <w:bottom w:val="single" w:sz="8" w:color="auto"/>
            </w:tcBorders>
          </w:tcPr>
          <w:p>
            <w:pPr>
              <w:spacing w:after="0"/>
              <w:rPr>
                <w:sz w:val="20"/>
                <w:szCs w:val="20"/>
                <w:color w:val="auto"/>
              </w:rPr>
            </w:pPr>
          </w:p>
        </w:tc>
        <w:tc>
          <w:tcPr>
            <w:tcW w:w="1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December 31, 2022</w:t>
            </w:r>
          </w:p>
        </w:tc>
        <w:tc>
          <w:tcPr>
            <w:tcW w:w="0" w:type="dxa"/>
            <w:vAlign w:val="bottom"/>
          </w:tcPr>
          <w:p>
            <w:pPr>
              <w:spacing w:after="0"/>
              <w:rPr>
                <w:sz w:val="1"/>
                <w:szCs w:val="1"/>
                <w:color w:val="auto"/>
              </w:rPr>
            </w:pPr>
          </w:p>
        </w:tc>
      </w:tr>
      <w:tr>
        <w:trPr>
          <w:trHeight w:val="207"/>
        </w:trPr>
        <w:tc>
          <w:tcPr>
            <w:tcW w:w="5280" w:type="dxa"/>
            <w:vAlign w:val="bottom"/>
          </w:tcPr>
          <w:p>
            <w:pPr>
              <w:ind w:left="20"/>
              <w:spacing w:after="0"/>
              <w:rPr>
                <w:sz w:val="20"/>
                <w:szCs w:val="20"/>
                <w:color w:val="auto"/>
              </w:rPr>
            </w:pPr>
            <w:r>
              <w:rPr>
                <w:rFonts w:ascii="Arial" w:cs="Arial" w:eastAsia="Arial" w:hAnsi="Arial"/>
                <w:sz w:val="17"/>
                <w:szCs w:val="17"/>
                <w:b w:val="1"/>
                <w:bCs w:val="1"/>
                <w:color w:val="auto"/>
              </w:rPr>
              <w:t>Total borrowings at face value</w:t>
            </w:r>
          </w:p>
        </w:tc>
        <w:tc>
          <w:tcPr>
            <w:tcW w:w="2360" w:type="dxa"/>
            <w:vAlign w:val="bottom"/>
          </w:tcPr>
          <w:p>
            <w:pPr>
              <w:jc w:val="right"/>
              <w:ind w:right="316"/>
              <w:spacing w:after="0"/>
              <w:rPr>
                <w:sz w:val="20"/>
                <w:szCs w:val="20"/>
                <w:color w:val="auto"/>
              </w:rPr>
            </w:pPr>
            <w:r>
              <w:rPr>
                <w:rFonts w:ascii="Arial" w:cs="Arial" w:eastAsia="Arial" w:hAnsi="Arial"/>
                <w:sz w:val="17"/>
                <w:szCs w:val="17"/>
                <w:b w:val="1"/>
                <w:bCs w:val="1"/>
                <w:color w:val="00539B"/>
              </w:rPr>
              <w:t>$</w:t>
            </w:r>
          </w:p>
        </w:tc>
        <w:tc>
          <w:tcPr>
            <w:tcW w:w="1540" w:type="dxa"/>
            <w:vAlign w:val="bottom"/>
          </w:tcPr>
          <w:p>
            <w:pPr>
              <w:jc w:val="right"/>
              <w:spacing w:after="0"/>
              <w:rPr>
                <w:sz w:val="20"/>
                <w:szCs w:val="20"/>
                <w:color w:val="auto"/>
              </w:rPr>
            </w:pPr>
            <w:r>
              <w:rPr>
                <w:rFonts w:ascii="Arial" w:cs="Arial" w:eastAsia="Arial" w:hAnsi="Arial"/>
                <w:sz w:val="17"/>
                <w:szCs w:val="17"/>
                <w:b w:val="1"/>
                <w:bCs w:val="1"/>
                <w:color w:val="00539B"/>
              </w:rPr>
              <w:t>17,936</w:t>
            </w:r>
          </w:p>
        </w:tc>
        <w:tc>
          <w:tcPr>
            <w:tcW w:w="340" w:type="dxa"/>
            <w:vAlign w:val="bottom"/>
          </w:tcPr>
          <w:p>
            <w:pPr>
              <w:jc w:val="right"/>
              <w:ind w:right="156"/>
              <w:spacing w:after="0"/>
              <w:rPr>
                <w:sz w:val="20"/>
                <w:szCs w:val="20"/>
                <w:color w:val="auto"/>
              </w:rPr>
            </w:pPr>
            <w:r>
              <w:rPr>
                <w:rFonts w:ascii="Arial" w:cs="Arial" w:eastAsia="Arial" w:hAnsi="Arial"/>
                <w:sz w:val="17"/>
                <w:szCs w:val="17"/>
                <w:color w:val="auto"/>
                <w:w w:val="84"/>
              </w:rPr>
              <w:t>$</w:t>
            </w:r>
          </w:p>
        </w:tc>
        <w:tc>
          <w:tcPr>
            <w:tcW w:w="1720" w:type="dxa"/>
            <w:vAlign w:val="bottom"/>
          </w:tcPr>
          <w:p>
            <w:pPr>
              <w:jc w:val="right"/>
              <w:spacing w:after="0"/>
              <w:rPr>
                <w:sz w:val="20"/>
                <w:szCs w:val="20"/>
                <w:color w:val="auto"/>
              </w:rPr>
            </w:pPr>
            <w:r>
              <w:rPr>
                <w:rFonts w:ascii="Arial" w:cs="Arial" w:eastAsia="Arial" w:hAnsi="Arial"/>
                <w:sz w:val="17"/>
                <w:szCs w:val="17"/>
                <w:color w:val="auto"/>
              </w:rPr>
              <w:t>17,958</w:t>
            </w:r>
          </w:p>
        </w:tc>
        <w:tc>
          <w:tcPr>
            <w:tcW w:w="0" w:type="dxa"/>
            <w:vAlign w:val="bottom"/>
          </w:tcPr>
          <w:p>
            <w:pPr>
              <w:spacing w:after="0"/>
              <w:rPr>
                <w:sz w:val="1"/>
                <w:szCs w:val="1"/>
                <w:color w:val="auto"/>
              </w:rPr>
            </w:pPr>
          </w:p>
        </w:tc>
      </w:tr>
      <w:tr>
        <w:trPr>
          <w:trHeight w:val="221"/>
        </w:trPr>
        <w:tc>
          <w:tcPr>
            <w:tcW w:w="5280" w:type="dxa"/>
            <w:vAlign w:val="bottom"/>
          </w:tcPr>
          <w:p>
            <w:pPr>
              <w:ind w:left="20"/>
              <w:spacing w:after="0"/>
              <w:rPr>
                <w:sz w:val="20"/>
                <w:szCs w:val="20"/>
                <w:color w:val="auto"/>
              </w:rPr>
            </w:pPr>
            <w:r>
              <w:rPr>
                <w:rFonts w:ascii="Arial" w:cs="Arial" w:eastAsia="Arial" w:hAnsi="Arial"/>
                <w:sz w:val="17"/>
                <w:szCs w:val="17"/>
                <w:b w:val="1"/>
                <w:bCs w:val="1"/>
                <w:color w:val="auto"/>
              </w:rPr>
              <w:t>Adjustments to book value:</w:t>
            </w:r>
          </w:p>
        </w:tc>
        <w:tc>
          <w:tcPr>
            <w:tcW w:w="2360" w:type="dxa"/>
            <w:vAlign w:val="bottom"/>
          </w:tcPr>
          <w:p>
            <w:pPr>
              <w:spacing w:after="0"/>
              <w:rPr>
                <w:sz w:val="19"/>
                <w:szCs w:val="19"/>
                <w:color w:val="auto"/>
              </w:rPr>
            </w:pPr>
          </w:p>
        </w:tc>
        <w:tc>
          <w:tcPr>
            <w:tcW w:w="1540" w:type="dxa"/>
            <w:vAlign w:val="bottom"/>
            <w:vMerge w:val="restart"/>
          </w:tcPr>
          <w:p>
            <w:pPr>
              <w:jc w:val="right"/>
              <w:spacing w:after="0"/>
              <w:rPr>
                <w:sz w:val="20"/>
                <w:szCs w:val="20"/>
                <w:color w:val="auto"/>
              </w:rPr>
            </w:pPr>
            <w:r>
              <w:rPr>
                <w:rFonts w:ascii="Arial" w:cs="Arial" w:eastAsia="Arial" w:hAnsi="Arial"/>
                <w:sz w:val="17"/>
                <w:szCs w:val="17"/>
                <w:b w:val="1"/>
                <w:bCs w:val="1"/>
                <w:color w:val="00539B"/>
              </w:rPr>
              <w:t>1,213</w:t>
            </w:r>
          </w:p>
        </w:tc>
        <w:tc>
          <w:tcPr>
            <w:tcW w:w="3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280" w:type="dxa"/>
            <w:vAlign w:val="bottom"/>
          </w:tcPr>
          <w:p>
            <w:pPr>
              <w:ind w:left="220"/>
              <w:spacing w:after="0"/>
              <w:rPr>
                <w:sz w:val="20"/>
                <w:szCs w:val="20"/>
                <w:color w:val="auto"/>
              </w:rPr>
            </w:pPr>
            <w:r>
              <w:rPr>
                <w:rFonts w:ascii="Arial" w:cs="Arial" w:eastAsia="Arial" w:hAnsi="Arial"/>
                <w:sz w:val="17"/>
                <w:szCs w:val="17"/>
                <w:color w:val="auto"/>
              </w:rPr>
              <w:t>Unamortized premium, net</w:t>
            </w:r>
          </w:p>
        </w:tc>
        <w:tc>
          <w:tcPr>
            <w:tcW w:w="2360" w:type="dxa"/>
            <w:vAlign w:val="bottom"/>
          </w:tcPr>
          <w:p>
            <w:pPr>
              <w:spacing w:after="0"/>
              <w:rPr>
                <w:sz w:val="19"/>
                <w:szCs w:val="19"/>
                <w:color w:val="auto"/>
              </w:rPr>
            </w:pPr>
          </w:p>
        </w:tc>
        <w:tc>
          <w:tcPr>
            <w:tcW w:w="154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7"/>
                <w:szCs w:val="17"/>
                <w:color w:val="auto"/>
              </w:rPr>
              <w:t>1,261</w:t>
            </w:r>
          </w:p>
        </w:tc>
        <w:tc>
          <w:tcPr>
            <w:tcW w:w="0" w:type="dxa"/>
            <w:vAlign w:val="bottom"/>
          </w:tcPr>
          <w:p>
            <w:pPr>
              <w:spacing w:after="0"/>
              <w:rPr>
                <w:sz w:val="1"/>
                <w:szCs w:val="1"/>
                <w:color w:val="auto"/>
              </w:rPr>
            </w:pPr>
          </w:p>
        </w:tc>
      </w:tr>
      <w:tr>
        <w:trPr>
          <w:trHeight w:val="237"/>
        </w:trPr>
        <w:tc>
          <w:tcPr>
            <w:tcW w:w="528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Debt issuance costs</w:t>
            </w:r>
          </w:p>
        </w:tc>
        <w:tc>
          <w:tcPr>
            <w:tcW w:w="23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(67)</w:t>
            </w:r>
          </w:p>
        </w:tc>
        <w:tc>
          <w:tcPr>
            <w:tcW w:w="34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(73)</w:t>
            </w:r>
          </w:p>
        </w:tc>
        <w:tc>
          <w:tcPr>
            <w:tcW w:w="0" w:type="dxa"/>
            <w:vAlign w:val="bottom"/>
          </w:tcPr>
          <w:p>
            <w:pPr>
              <w:spacing w:after="0"/>
              <w:rPr>
                <w:sz w:val="1"/>
                <w:szCs w:val="1"/>
                <w:color w:val="auto"/>
              </w:rPr>
            </w:pPr>
          </w:p>
        </w:tc>
      </w:tr>
      <w:tr>
        <w:trPr>
          <w:trHeight w:val="196"/>
        </w:trPr>
        <w:tc>
          <w:tcPr>
            <w:tcW w:w="5280" w:type="dxa"/>
            <w:vAlign w:val="bottom"/>
          </w:tcPr>
          <w:p>
            <w:pPr>
              <w:ind w:left="20"/>
              <w:spacing w:after="0"/>
              <w:rPr>
                <w:sz w:val="20"/>
                <w:szCs w:val="20"/>
                <w:color w:val="auto"/>
              </w:rPr>
            </w:pPr>
            <w:r>
              <w:rPr>
                <w:rFonts w:ascii="Arial" w:cs="Arial" w:eastAsia="Arial" w:hAnsi="Arial"/>
                <w:sz w:val="17"/>
                <w:szCs w:val="17"/>
                <w:b w:val="1"/>
                <w:bCs w:val="1"/>
                <w:color w:val="auto"/>
              </w:rPr>
              <w:t>Net book value of debt</w:t>
            </w:r>
          </w:p>
        </w:tc>
        <w:tc>
          <w:tcPr>
            <w:tcW w:w="2360" w:type="dxa"/>
            <w:vAlign w:val="bottom"/>
          </w:tcPr>
          <w:p>
            <w:pPr>
              <w:jc w:val="right"/>
              <w:ind w:right="316"/>
              <w:spacing w:after="0"/>
              <w:rPr>
                <w:sz w:val="20"/>
                <w:szCs w:val="20"/>
                <w:color w:val="auto"/>
              </w:rPr>
            </w:pPr>
            <w:r>
              <w:rPr>
                <w:rFonts w:ascii="Arial" w:cs="Arial" w:eastAsia="Arial" w:hAnsi="Arial"/>
                <w:sz w:val="17"/>
                <w:szCs w:val="17"/>
                <w:b w:val="1"/>
                <w:bCs w:val="1"/>
                <w:color w:val="00539B"/>
              </w:rPr>
              <w:t>$</w:t>
            </w:r>
          </w:p>
        </w:tc>
        <w:tc>
          <w:tcPr>
            <w:tcW w:w="1540" w:type="dxa"/>
            <w:vAlign w:val="bottom"/>
          </w:tcPr>
          <w:p>
            <w:pPr>
              <w:jc w:val="right"/>
              <w:spacing w:after="0"/>
              <w:rPr>
                <w:sz w:val="20"/>
                <w:szCs w:val="20"/>
                <w:color w:val="auto"/>
              </w:rPr>
            </w:pPr>
            <w:r>
              <w:rPr>
                <w:rFonts w:ascii="Arial" w:cs="Arial" w:eastAsia="Arial" w:hAnsi="Arial"/>
                <w:sz w:val="17"/>
                <w:szCs w:val="17"/>
                <w:b w:val="1"/>
                <w:bCs w:val="1"/>
                <w:color w:val="00539B"/>
              </w:rPr>
              <w:t>19,082</w:t>
            </w:r>
          </w:p>
        </w:tc>
        <w:tc>
          <w:tcPr>
            <w:tcW w:w="340" w:type="dxa"/>
            <w:vAlign w:val="bottom"/>
          </w:tcPr>
          <w:p>
            <w:pPr>
              <w:jc w:val="right"/>
              <w:ind w:right="156"/>
              <w:spacing w:after="0"/>
              <w:rPr>
                <w:sz w:val="20"/>
                <w:szCs w:val="20"/>
                <w:color w:val="auto"/>
              </w:rPr>
            </w:pPr>
            <w:r>
              <w:rPr>
                <w:rFonts w:ascii="Arial" w:cs="Arial" w:eastAsia="Arial" w:hAnsi="Arial"/>
                <w:sz w:val="17"/>
                <w:szCs w:val="17"/>
                <w:color w:val="auto"/>
                <w:w w:val="84"/>
              </w:rPr>
              <w:t>$</w:t>
            </w:r>
          </w:p>
        </w:tc>
        <w:tc>
          <w:tcPr>
            <w:tcW w:w="1720" w:type="dxa"/>
            <w:vAlign w:val="bottom"/>
          </w:tcPr>
          <w:p>
            <w:pPr>
              <w:jc w:val="right"/>
              <w:spacing w:after="0"/>
              <w:rPr>
                <w:sz w:val="20"/>
                <w:szCs w:val="20"/>
                <w:color w:val="auto"/>
              </w:rPr>
            </w:pPr>
            <w:r>
              <w:rPr>
                <w:rFonts w:ascii="Arial" w:cs="Arial" w:eastAsia="Arial" w:hAnsi="Arial"/>
                <w:sz w:val="17"/>
                <w:szCs w:val="17"/>
                <w:color w:val="auto"/>
              </w:rPr>
              <w:t>19,146</w:t>
            </w:r>
          </w:p>
        </w:tc>
        <w:tc>
          <w:tcPr>
            <w:tcW w:w="0" w:type="dxa"/>
            <w:vAlign w:val="bottom"/>
          </w:tcPr>
          <w:p>
            <w:pPr>
              <w:spacing w:after="0"/>
              <w:rPr>
                <w:sz w:val="1"/>
                <w:szCs w:val="1"/>
                <w:color w:val="auto"/>
              </w:rPr>
            </w:pPr>
          </w:p>
        </w:tc>
      </w:tr>
      <w:tr>
        <w:trPr>
          <w:trHeight w:val="227"/>
        </w:trPr>
        <w:tc>
          <w:tcPr>
            <w:tcW w:w="5280" w:type="dxa"/>
            <w:vAlign w:val="bottom"/>
          </w:tcPr>
          <w:p>
            <w:pPr>
              <w:ind w:left="220"/>
              <w:spacing w:after="0"/>
              <w:rPr>
                <w:sz w:val="20"/>
                <w:szCs w:val="20"/>
                <w:color w:val="auto"/>
              </w:rPr>
            </w:pPr>
            <w:r>
              <w:rPr>
                <w:rFonts w:ascii="Arial" w:cs="Arial" w:eastAsia="Arial" w:hAnsi="Arial"/>
                <w:sz w:val="17"/>
                <w:szCs w:val="17"/>
                <w:color w:val="auto"/>
              </w:rPr>
              <w:t>Long-term finance leases</w:t>
            </w:r>
          </w:p>
        </w:tc>
        <w:tc>
          <w:tcPr>
            <w:tcW w:w="23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7"/>
                <w:szCs w:val="17"/>
                <w:b w:val="1"/>
                <w:bCs w:val="1"/>
                <w:color w:val="00539B"/>
              </w:rPr>
              <w:t>587</w:t>
            </w:r>
          </w:p>
        </w:tc>
        <w:tc>
          <w:tcPr>
            <w:tcW w:w="3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7"/>
                <w:szCs w:val="17"/>
                <w:color w:val="auto"/>
              </w:rPr>
              <w:t>546</w:t>
            </w:r>
          </w:p>
        </w:tc>
        <w:tc>
          <w:tcPr>
            <w:tcW w:w="0" w:type="dxa"/>
            <w:vAlign w:val="bottom"/>
          </w:tcPr>
          <w:p>
            <w:pPr>
              <w:spacing w:after="0"/>
              <w:rPr>
                <w:sz w:val="1"/>
                <w:szCs w:val="1"/>
                <w:color w:val="auto"/>
              </w:rPr>
            </w:pPr>
          </w:p>
        </w:tc>
      </w:tr>
      <w:tr>
        <w:trPr>
          <w:trHeight w:val="237"/>
        </w:trPr>
        <w:tc>
          <w:tcPr>
            <w:tcW w:w="528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Current finance leases</w:t>
            </w:r>
          </w:p>
        </w:tc>
        <w:tc>
          <w:tcPr>
            <w:tcW w:w="23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158</w:t>
            </w:r>
          </w:p>
        </w:tc>
        <w:tc>
          <w:tcPr>
            <w:tcW w:w="34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143</w:t>
            </w:r>
          </w:p>
        </w:tc>
        <w:tc>
          <w:tcPr>
            <w:tcW w:w="0" w:type="dxa"/>
            <w:vAlign w:val="bottom"/>
          </w:tcPr>
          <w:p>
            <w:pPr>
              <w:spacing w:after="0"/>
              <w:rPr>
                <w:sz w:val="1"/>
                <w:szCs w:val="1"/>
                <w:color w:val="auto"/>
              </w:rPr>
            </w:pPr>
          </w:p>
        </w:tc>
      </w:tr>
      <w:tr>
        <w:trPr>
          <w:trHeight w:val="196"/>
        </w:trPr>
        <w:tc>
          <w:tcPr>
            <w:tcW w:w="5280" w:type="dxa"/>
            <w:vAlign w:val="bottom"/>
          </w:tcPr>
          <w:p>
            <w:pPr>
              <w:ind w:left="20"/>
              <w:spacing w:after="0"/>
              <w:rPr>
                <w:sz w:val="20"/>
                <w:szCs w:val="20"/>
                <w:color w:val="auto"/>
              </w:rPr>
            </w:pPr>
            <w:r>
              <w:rPr>
                <w:rFonts w:ascii="Arial" w:cs="Arial" w:eastAsia="Arial" w:hAnsi="Arial"/>
                <w:sz w:val="17"/>
                <w:szCs w:val="17"/>
                <w:b w:val="1"/>
                <w:bCs w:val="1"/>
                <w:color w:val="auto"/>
              </w:rPr>
              <w:t>Total debt and finance leases</w:t>
            </w:r>
          </w:p>
        </w:tc>
        <w:tc>
          <w:tcPr>
            <w:tcW w:w="2360" w:type="dxa"/>
            <w:vAlign w:val="bottom"/>
          </w:tcPr>
          <w:p>
            <w:pPr>
              <w:jc w:val="right"/>
              <w:ind w:right="316"/>
              <w:spacing w:after="0"/>
              <w:rPr>
                <w:sz w:val="20"/>
                <w:szCs w:val="20"/>
                <w:color w:val="auto"/>
              </w:rPr>
            </w:pPr>
            <w:r>
              <w:rPr>
                <w:rFonts w:ascii="Arial" w:cs="Arial" w:eastAsia="Arial" w:hAnsi="Arial"/>
                <w:sz w:val="17"/>
                <w:szCs w:val="17"/>
                <w:b w:val="1"/>
                <w:bCs w:val="1"/>
                <w:color w:val="00539B"/>
              </w:rPr>
              <w:t>$</w:t>
            </w:r>
          </w:p>
        </w:tc>
        <w:tc>
          <w:tcPr>
            <w:tcW w:w="1540" w:type="dxa"/>
            <w:vAlign w:val="bottom"/>
          </w:tcPr>
          <w:p>
            <w:pPr>
              <w:jc w:val="right"/>
              <w:spacing w:after="0"/>
              <w:rPr>
                <w:sz w:val="20"/>
                <w:szCs w:val="20"/>
                <w:color w:val="auto"/>
              </w:rPr>
            </w:pPr>
            <w:r>
              <w:rPr>
                <w:rFonts w:ascii="Arial" w:cs="Arial" w:eastAsia="Arial" w:hAnsi="Arial"/>
                <w:sz w:val="17"/>
                <w:szCs w:val="17"/>
                <w:b w:val="1"/>
                <w:bCs w:val="1"/>
                <w:color w:val="00539B"/>
              </w:rPr>
              <w:t>19,827</w:t>
            </w:r>
          </w:p>
        </w:tc>
        <w:tc>
          <w:tcPr>
            <w:tcW w:w="340" w:type="dxa"/>
            <w:vAlign w:val="bottom"/>
          </w:tcPr>
          <w:p>
            <w:pPr>
              <w:jc w:val="right"/>
              <w:ind w:right="156"/>
              <w:spacing w:after="0"/>
              <w:rPr>
                <w:sz w:val="20"/>
                <w:szCs w:val="20"/>
                <w:color w:val="auto"/>
              </w:rPr>
            </w:pPr>
            <w:r>
              <w:rPr>
                <w:rFonts w:ascii="Arial" w:cs="Arial" w:eastAsia="Arial" w:hAnsi="Arial"/>
                <w:sz w:val="17"/>
                <w:szCs w:val="17"/>
                <w:color w:val="auto"/>
                <w:w w:val="84"/>
              </w:rPr>
              <w:t>$</w:t>
            </w:r>
          </w:p>
        </w:tc>
        <w:tc>
          <w:tcPr>
            <w:tcW w:w="1720" w:type="dxa"/>
            <w:vAlign w:val="bottom"/>
          </w:tcPr>
          <w:p>
            <w:pPr>
              <w:jc w:val="right"/>
              <w:spacing w:after="0"/>
              <w:rPr>
                <w:sz w:val="20"/>
                <w:szCs w:val="20"/>
                <w:color w:val="auto"/>
              </w:rPr>
            </w:pPr>
            <w:r>
              <w:rPr>
                <w:rFonts w:ascii="Arial" w:cs="Arial" w:eastAsia="Arial" w:hAnsi="Arial"/>
                <w:sz w:val="17"/>
                <w:szCs w:val="17"/>
                <w:color w:val="auto"/>
              </w:rPr>
              <w:t>19,835</w:t>
            </w:r>
          </w:p>
        </w:tc>
        <w:tc>
          <w:tcPr>
            <w:tcW w:w="0" w:type="dxa"/>
            <w:vAlign w:val="bottom"/>
          </w:tcPr>
          <w:p>
            <w:pPr>
              <w:spacing w:after="0"/>
              <w:rPr>
                <w:sz w:val="1"/>
                <w:szCs w:val="1"/>
                <w:color w:val="auto"/>
              </w:rPr>
            </w:pPr>
          </w:p>
        </w:tc>
      </w:tr>
      <w:tr>
        <w:trPr>
          <w:trHeight w:val="227"/>
        </w:trPr>
        <w:tc>
          <w:tcPr>
            <w:tcW w:w="5280" w:type="dxa"/>
            <w:vAlign w:val="bottom"/>
          </w:tcPr>
          <w:p>
            <w:pPr>
              <w:ind w:left="240"/>
              <w:spacing w:after="0"/>
              <w:rPr>
                <w:sz w:val="20"/>
                <w:szCs w:val="20"/>
                <w:color w:val="auto"/>
              </w:rPr>
            </w:pPr>
            <w:r>
              <w:rPr>
                <w:rFonts w:ascii="Arial" w:cs="Arial" w:eastAsia="Arial" w:hAnsi="Arial"/>
                <w:sz w:val="17"/>
                <w:szCs w:val="17"/>
                <w:color w:val="auto"/>
              </w:rPr>
              <w:t>Less: current maturities of financing leases</w:t>
            </w:r>
          </w:p>
        </w:tc>
        <w:tc>
          <w:tcPr>
            <w:tcW w:w="23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7"/>
                <w:szCs w:val="17"/>
                <w:b w:val="1"/>
                <w:bCs w:val="1"/>
                <w:color w:val="00539B"/>
              </w:rPr>
              <w:t>(158)</w:t>
            </w:r>
          </w:p>
        </w:tc>
        <w:tc>
          <w:tcPr>
            <w:tcW w:w="3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7"/>
                <w:szCs w:val="17"/>
                <w:color w:val="auto"/>
              </w:rPr>
              <w:t>(143)</w:t>
            </w:r>
          </w:p>
        </w:tc>
        <w:tc>
          <w:tcPr>
            <w:tcW w:w="0" w:type="dxa"/>
            <w:vAlign w:val="bottom"/>
          </w:tcPr>
          <w:p>
            <w:pPr>
              <w:spacing w:after="0"/>
              <w:rPr>
                <w:sz w:val="1"/>
                <w:szCs w:val="1"/>
                <w:color w:val="auto"/>
              </w:rPr>
            </w:pPr>
          </w:p>
        </w:tc>
      </w:tr>
      <w:tr>
        <w:trPr>
          <w:trHeight w:val="237"/>
        </w:trPr>
        <w:tc>
          <w:tcPr>
            <w:tcW w:w="5280" w:type="dxa"/>
            <w:vAlign w:val="bottom"/>
            <w:tcBorders>
              <w:bottom w:val="single" w:sz="8" w:color="auto"/>
            </w:tcBorders>
          </w:tcPr>
          <w:p>
            <w:pPr>
              <w:ind w:left="240"/>
              <w:spacing w:after="0"/>
              <w:rPr>
                <w:sz w:val="20"/>
                <w:szCs w:val="20"/>
                <w:color w:val="auto"/>
              </w:rPr>
            </w:pPr>
            <w:r>
              <w:rPr>
                <w:rFonts w:ascii="Arial" w:cs="Arial" w:eastAsia="Arial" w:hAnsi="Arial"/>
                <w:sz w:val="17"/>
                <w:szCs w:val="17"/>
                <w:color w:val="auto"/>
              </w:rPr>
              <w:t>Less: current maturities of long-term debt</w:t>
            </w:r>
          </w:p>
        </w:tc>
        <w:tc>
          <w:tcPr>
            <w:tcW w:w="23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w:t>
            </w:r>
          </w:p>
        </w:tc>
        <w:tc>
          <w:tcPr>
            <w:tcW w:w="34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w:t>
            </w:r>
          </w:p>
        </w:tc>
        <w:tc>
          <w:tcPr>
            <w:tcW w:w="0" w:type="dxa"/>
            <w:vAlign w:val="bottom"/>
          </w:tcPr>
          <w:p>
            <w:pPr>
              <w:spacing w:after="0"/>
              <w:rPr>
                <w:sz w:val="1"/>
                <w:szCs w:val="1"/>
                <w:color w:val="auto"/>
              </w:rPr>
            </w:pPr>
          </w:p>
        </w:tc>
      </w:tr>
      <w:tr>
        <w:trPr>
          <w:trHeight w:val="209"/>
        </w:trPr>
        <w:tc>
          <w:tcPr>
            <w:tcW w:w="528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Long-term debt, net</w:t>
            </w:r>
          </w:p>
        </w:tc>
        <w:tc>
          <w:tcPr>
            <w:tcW w:w="2360" w:type="dxa"/>
            <w:vAlign w:val="bottom"/>
            <w:tcBorders>
              <w:bottom w:val="single" w:sz="8" w:color="auto"/>
            </w:tcBorders>
          </w:tcPr>
          <w:p>
            <w:pPr>
              <w:jc w:val="right"/>
              <w:ind w:right="316"/>
              <w:spacing w:after="0"/>
              <w:rPr>
                <w:sz w:val="20"/>
                <w:szCs w:val="20"/>
                <w:color w:val="auto"/>
              </w:rPr>
            </w:pPr>
            <w:r>
              <w:rPr>
                <w:rFonts w:ascii="Arial" w:cs="Arial" w:eastAsia="Arial" w:hAnsi="Arial"/>
                <w:sz w:val="17"/>
                <w:szCs w:val="17"/>
                <w:b w:val="1"/>
                <w:bCs w:val="1"/>
                <w:color w:val="00539B"/>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19,669</w:t>
            </w:r>
          </w:p>
        </w:tc>
        <w:tc>
          <w:tcPr>
            <w:tcW w:w="340" w:type="dxa"/>
            <w:vAlign w:val="bottom"/>
            <w:tcBorders>
              <w:bottom w:val="single" w:sz="8" w:color="auto"/>
            </w:tcBorders>
          </w:tcPr>
          <w:p>
            <w:pPr>
              <w:jc w:val="right"/>
              <w:ind w:right="156"/>
              <w:spacing w:after="0"/>
              <w:rPr>
                <w:sz w:val="20"/>
                <w:szCs w:val="20"/>
                <w:color w:val="auto"/>
              </w:rPr>
            </w:pPr>
            <w:r>
              <w:rPr>
                <w:rFonts w:ascii="Arial" w:cs="Arial" w:eastAsia="Arial" w:hAnsi="Arial"/>
                <w:sz w:val="17"/>
                <w:szCs w:val="17"/>
                <w:color w:val="auto"/>
                <w:w w:val="84"/>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19,670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color w:val="00539B"/>
        </w:rPr>
        <w:t>DEBT ACTIVITY</w:t>
      </w:r>
    </w:p>
    <w:p>
      <w:pPr>
        <w:spacing w:after="0" w:line="28" w:lineRule="exact"/>
        <w:rPr>
          <w:sz w:val="20"/>
          <w:szCs w:val="20"/>
          <w:color w:val="auto"/>
        </w:rPr>
      </w:pPr>
    </w:p>
    <w:p>
      <w:pPr>
        <w:jc w:val="both"/>
        <w:ind w:firstLine="240"/>
        <w:spacing w:after="0" w:line="254" w:lineRule="auto"/>
        <w:rPr>
          <w:sz w:val="20"/>
          <w:szCs w:val="20"/>
          <w:color w:val="auto"/>
        </w:rPr>
      </w:pPr>
      <w:r>
        <w:rPr>
          <w:rFonts w:ascii="Arial" w:cs="Arial" w:eastAsia="Arial" w:hAnsi="Arial"/>
          <w:sz w:val="17"/>
          <w:szCs w:val="17"/>
          <w:color w:val="auto"/>
        </w:rPr>
        <w:t>In the first quarter of 2023, Occidental used cash on hand to repay $22 million of its 8.750% medium-term notes upon maturity. Occidental has no remaining debt maturities in 2023.</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b w:val="1"/>
          <w:bCs w:val="1"/>
          <w:color w:val="00539B"/>
        </w:rPr>
        <w:t>FAIR VALUE OF DEBT</w:t>
      </w:r>
    </w:p>
    <w:p>
      <w:pPr>
        <w:spacing w:after="0" w:line="28" w:lineRule="exact"/>
        <w:rPr>
          <w:sz w:val="20"/>
          <w:szCs w:val="20"/>
          <w:color w:val="auto"/>
        </w:rPr>
      </w:pPr>
    </w:p>
    <w:p>
      <w:pPr>
        <w:jc w:val="both"/>
        <w:ind w:firstLine="240"/>
        <w:spacing w:after="0" w:line="254" w:lineRule="auto"/>
        <w:rPr>
          <w:sz w:val="20"/>
          <w:szCs w:val="20"/>
          <w:color w:val="auto"/>
        </w:rPr>
      </w:pPr>
      <w:r>
        <w:rPr>
          <w:rFonts w:ascii="Arial" w:cs="Arial" w:eastAsia="Arial" w:hAnsi="Arial"/>
          <w:sz w:val="17"/>
          <w:szCs w:val="17"/>
          <w:color w:val="auto"/>
        </w:rPr>
        <w:t>The estimated fair value of Occidental’s debt as of June 30, 2023 and December 31, 2022, substantially all of which was classified as Level 1, was approximately $17.6 billion and $17.6 billion,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715962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15" w:name="page16"/>
    <w:bookmarkEnd w:id="15"/>
    <w:p>
      <w:pPr>
        <w:ind w:left="20"/>
        <w:spacing w:after="0"/>
        <w:rPr>
          <w:sz w:val="20"/>
          <w:szCs w:val="20"/>
          <w:color w:val="auto"/>
        </w:rPr>
      </w:pPr>
      <w:r>
        <w:rPr>
          <w:rFonts w:ascii="Arial" w:cs="Arial" w:eastAsia="Arial" w:hAnsi="Arial"/>
          <w:sz w:val="24"/>
          <w:szCs w:val="24"/>
          <w:b w:val="1"/>
          <w:bCs w:val="1"/>
          <w:color w:val="00539B"/>
        </w:rPr>
        <w:t>NOTE 5 - DERIVATIVES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-173355</wp:posOffset>
            </wp:positionV>
            <wp:extent cx="713422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4225" cy="17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37465</wp:posOffset>
            </wp:positionV>
            <wp:extent cx="713422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125" w:right="339" w:bottom="1440" w:gutter="0" w:footer="0" w:header="0"/>
        </w:sectPr>
      </w:pPr>
    </w:p>
    <w:p>
      <w:pPr>
        <w:spacing w:after="0" w:line="382" w:lineRule="exact"/>
        <w:rPr>
          <w:sz w:val="20"/>
          <w:szCs w:val="20"/>
          <w:color w:val="auto"/>
        </w:rPr>
      </w:pPr>
    </w:p>
    <w:p>
      <w:pPr>
        <w:spacing w:after="0"/>
        <w:rPr>
          <w:sz w:val="20"/>
          <w:szCs w:val="20"/>
          <w:color w:val="auto"/>
        </w:rPr>
      </w:pPr>
      <w:r>
        <w:rPr>
          <w:rFonts w:ascii="Arial" w:cs="Arial" w:eastAsia="Arial" w:hAnsi="Arial"/>
          <w:sz w:val="20"/>
          <w:szCs w:val="20"/>
          <w:b w:val="1"/>
          <w:bCs w:val="1"/>
          <w:color w:val="00539B"/>
        </w:rPr>
        <w:t>OBJECTIVE AND STRATEGY</w:t>
      </w:r>
    </w:p>
    <w:p>
      <w:pPr>
        <w:spacing w:after="0" w:line="42" w:lineRule="exact"/>
        <w:rPr>
          <w:sz w:val="20"/>
          <w:szCs w:val="20"/>
          <w:color w:val="auto"/>
        </w:rPr>
      </w:pPr>
    </w:p>
    <w:p>
      <w:pPr>
        <w:jc w:val="both"/>
        <w:ind w:firstLine="240"/>
        <w:spacing w:after="0" w:line="269" w:lineRule="auto"/>
        <w:rPr>
          <w:sz w:val="20"/>
          <w:szCs w:val="20"/>
          <w:color w:val="auto"/>
        </w:rPr>
      </w:pPr>
      <w:r>
        <w:rPr>
          <w:rFonts w:ascii="Arial" w:cs="Arial" w:eastAsia="Arial" w:hAnsi="Arial"/>
          <w:sz w:val="16"/>
          <w:szCs w:val="16"/>
          <w:color w:val="auto"/>
        </w:rPr>
        <w:t>Occidental uses a variety of derivative financial instruments and physical contracts to manage its exposure to commodity price fluctuations, transportation commitments and to fix margins on the future sale of stored commodity volumes. Derivatives are carried at fair value and on a net basis when a legal right of offset exists with the same counterparty. Occidental may occasionally use a variety of derivative financial instruments to manage its exposure to foreign currency fluctuations and interest rate risks. Occidental also enters into derivative financial instruments for trading purpose.</w:t>
      </w:r>
    </w:p>
    <w:p>
      <w:pPr>
        <w:spacing w:after="0" w:line="204" w:lineRule="exact"/>
        <w:rPr>
          <w:sz w:val="20"/>
          <w:szCs w:val="20"/>
          <w:color w:val="auto"/>
        </w:rPr>
      </w:pPr>
    </w:p>
    <w:p>
      <w:pPr>
        <w:jc w:val="both"/>
        <w:ind w:firstLine="240"/>
        <w:spacing w:after="0" w:line="255" w:lineRule="auto"/>
        <w:rPr>
          <w:sz w:val="20"/>
          <w:szCs w:val="20"/>
          <w:color w:val="auto"/>
        </w:rPr>
      </w:pPr>
      <w:r>
        <w:rPr>
          <w:rFonts w:ascii="Arial" w:cs="Arial" w:eastAsia="Arial" w:hAnsi="Arial"/>
          <w:sz w:val="17"/>
          <w:szCs w:val="17"/>
          <w:color w:val="auto"/>
        </w:rPr>
        <w:t>Occidental may elect normal purchases and normal sales exclusions when physically delivered commodities are purchased or sold to a customer. Occidental occasionally applies cash flow hedge accounting treatment to derivative financial instruments to lock in margins on the forecasted sales of its natural gas storage volumes, and at times for other strategies, such as to lock in rates on debt issuances. The value of cash flow hedges was insignificant for all periods presented. As of June 30, 2023, Occidental’s marketing derivatives are not designated as hedges. Occidental retired all remaining outstanding interest rate swaps in the twelve months ended December 31, 2022.</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00539B"/>
        </w:rPr>
        <w:t>MARKETING DERIVATIVES</w:t>
      </w:r>
    </w:p>
    <w:p>
      <w:pPr>
        <w:spacing w:after="0" w:line="42" w:lineRule="exact"/>
        <w:rPr>
          <w:sz w:val="20"/>
          <w:szCs w:val="20"/>
          <w:color w:val="auto"/>
        </w:rPr>
      </w:pPr>
    </w:p>
    <w:p>
      <w:pPr>
        <w:jc w:val="both"/>
        <w:ind w:firstLine="240"/>
        <w:spacing w:after="0" w:line="248" w:lineRule="auto"/>
        <w:rPr>
          <w:sz w:val="20"/>
          <w:szCs w:val="20"/>
          <w:color w:val="auto"/>
        </w:rPr>
      </w:pPr>
      <w:r>
        <w:rPr>
          <w:rFonts w:ascii="Arial" w:cs="Arial" w:eastAsia="Arial" w:hAnsi="Arial"/>
          <w:sz w:val="17"/>
          <w:szCs w:val="17"/>
          <w:color w:val="auto"/>
        </w:rPr>
        <w:t>Occidental's marketing derivative instruments are short-duration physical and financial forward contracts. As of June 30, 2023, the weighted-average settlement price of these forward contracts was $73.72 per barrel and $2.65 per Mcf for crude oil and natural gas, respectively. The weighted-average settlement price was $81.37 per barrel and $7.89 per Mcf for crude oil and natural gas, respectively, as of December 31, 2022. Derivative instruments that are not designated as hedging instruments are required to be recorded on the balance sheet at fair value. Changes in fair value will impact Occidental’s earnings through mark-to-market adjustments until the physical commodity is delivered or the financial instrument is settled. Net gains and losses associated with marketing derivative instruments are recognized currently in net sales.</w:t>
      </w:r>
    </w:p>
    <w:p>
      <w:pPr>
        <w:spacing w:after="0" w:line="2" w:lineRule="exact"/>
        <w:rPr>
          <w:sz w:val="20"/>
          <w:szCs w:val="20"/>
          <w:color w:val="auto"/>
        </w:rPr>
      </w:pPr>
    </w:p>
    <w:p>
      <w:pPr>
        <w:ind w:left="240"/>
        <w:spacing w:after="0"/>
        <w:rPr>
          <w:sz w:val="20"/>
          <w:szCs w:val="20"/>
          <w:color w:val="auto"/>
        </w:rPr>
      </w:pPr>
      <w:r>
        <w:rPr>
          <w:rFonts w:ascii="Arial" w:cs="Arial" w:eastAsia="Arial" w:hAnsi="Arial"/>
          <w:sz w:val="17"/>
          <w:szCs w:val="17"/>
          <w:color w:val="auto"/>
        </w:rPr>
        <w:t>The following table summarizes net short volumes associated with the outstanding marketing commodity derivatives:</w:t>
      </w:r>
    </w:p>
    <w:p>
      <w:pPr>
        <w:spacing w:after="0" w:line="258" w:lineRule="exact"/>
        <w:rPr>
          <w:sz w:val="20"/>
          <w:szCs w:val="20"/>
          <w:color w:val="auto"/>
        </w:rPr>
      </w:pPr>
    </w:p>
    <w:tbl>
      <w:tblPr>
        <w:tblLayout w:type="fixed"/>
        <w:tblInd w:w="40" w:type="dxa"/>
        <w:tblCellMar>
          <w:top w:w="0" w:type="dxa"/>
          <w:left w:w="0" w:type="dxa"/>
          <w:bottom w:w="0" w:type="dxa"/>
          <w:right w:w="0" w:type="dxa"/>
        </w:tblCellMar>
      </w:tblPr>
      <w:tr>
        <w:trPr>
          <w:trHeight w:val="240"/>
        </w:trPr>
        <w:tc>
          <w:tcPr>
            <w:tcW w:w="52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7"/>
                <w:szCs w:val="17"/>
                <w:i w:val="1"/>
                <w:iCs w:val="1"/>
                <w:color w:val="auto"/>
              </w:rPr>
              <w:t>long (short)</w:t>
            </w:r>
          </w:p>
        </w:tc>
        <w:tc>
          <w:tcPr>
            <w:tcW w:w="4140" w:type="dxa"/>
            <w:vAlign w:val="bottom"/>
            <w:tcBorders>
              <w:top w:val="single" w:sz="8" w:color="auto"/>
              <w:bottom w:val="single" w:sz="8" w:color="auto"/>
            </w:tcBorders>
          </w:tcPr>
          <w:p>
            <w:pPr>
              <w:jc w:val="right"/>
              <w:ind w:right="216"/>
              <w:spacing w:after="0"/>
              <w:rPr>
                <w:sz w:val="20"/>
                <w:szCs w:val="20"/>
                <w:color w:val="auto"/>
              </w:rPr>
            </w:pPr>
            <w:r>
              <w:rPr>
                <w:rFonts w:ascii="Arial" w:cs="Arial" w:eastAsia="Arial" w:hAnsi="Arial"/>
                <w:sz w:val="17"/>
                <w:szCs w:val="17"/>
                <w:b w:val="1"/>
                <w:bCs w:val="1"/>
                <w:color w:val="00539B"/>
              </w:rPr>
              <w:t>June 30, 2023</w:t>
            </w:r>
          </w:p>
        </w:tc>
        <w:tc>
          <w:tcPr>
            <w:tcW w:w="1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December 31, 2022</w:t>
            </w:r>
          </w:p>
        </w:tc>
        <w:tc>
          <w:tcPr>
            <w:tcW w:w="0" w:type="dxa"/>
            <w:vAlign w:val="bottom"/>
          </w:tcPr>
          <w:p>
            <w:pPr>
              <w:spacing w:after="0"/>
              <w:rPr>
                <w:sz w:val="1"/>
                <w:szCs w:val="1"/>
                <w:color w:val="auto"/>
              </w:rPr>
            </w:pPr>
          </w:p>
        </w:tc>
      </w:tr>
      <w:tr>
        <w:trPr>
          <w:trHeight w:val="202"/>
        </w:trPr>
        <w:tc>
          <w:tcPr>
            <w:tcW w:w="5240" w:type="dxa"/>
            <w:vAlign w:val="bottom"/>
          </w:tcPr>
          <w:p>
            <w:pPr>
              <w:ind w:left="80"/>
              <w:spacing w:after="0"/>
              <w:rPr>
                <w:sz w:val="20"/>
                <w:szCs w:val="20"/>
                <w:color w:val="auto"/>
              </w:rPr>
            </w:pPr>
            <w:r>
              <w:rPr>
                <w:rFonts w:ascii="Arial" w:cs="Arial" w:eastAsia="Arial" w:hAnsi="Arial"/>
                <w:sz w:val="17"/>
                <w:szCs w:val="17"/>
                <w:color w:val="auto"/>
              </w:rPr>
              <w:t>Oil commodity contracts</w:t>
            </w:r>
          </w:p>
        </w:tc>
        <w:tc>
          <w:tcPr>
            <w:tcW w:w="4140" w:type="dxa"/>
            <w:vAlign w:val="bottom"/>
            <w:vMerge w:val="restart"/>
          </w:tcPr>
          <w:p>
            <w:pPr>
              <w:jc w:val="right"/>
              <w:ind w:right="216"/>
              <w:spacing w:after="0"/>
              <w:rPr>
                <w:sz w:val="20"/>
                <w:szCs w:val="20"/>
                <w:color w:val="auto"/>
              </w:rPr>
            </w:pPr>
            <w:r>
              <w:rPr>
                <w:rFonts w:ascii="Arial" w:cs="Arial" w:eastAsia="Arial" w:hAnsi="Arial"/>
                <w:sz w:val="17"/>
                <w:szCs w:val="17"/>
                <w:b w:val="1"/>
                <w:bCs w:val="1"/>
                <w:color w:val="00539B"/>
              </w:rPr>
              <w:t>(46)</w:t>
            </w:r>
          </w:p>
        </w:tc>
        <w:tc>
          <w:tcPr>
            <w:tcW w:w="1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5240" w:type="dxa"/>
            <w:vAlign w:val="bottom"/>
          </w:tcPr>
          <w:p>
            <w:pPr>
              <w:ind w:left="240"/>
              <w:spacing w:after="0"/>
              <w:rPr>
                <w:sz w:val="20"/>
                <w:szCs w:val="20"/>
                <w:color w:val="auto"/>
              </w:rPr>
            </w:pPr>
            <w:r>
              <w:rPr>
                <w:rFonts w:ascii="Arial" w:cs="Arial" w:eastAsia="Arial" w:hAnsi="Arial"/>
                <w:sz w:val="17"/>
                <w:szCs w:val="17"/>
                <w:color w:val="auto"/>
              </w:rPr>
              <w:t>Volume (MMbbl)</w:t>
            </w:r>
          </w:p>
        </w:tc>
        <w:tc>
          <w:tcPr>
            <w:tcW w:w="4140" w:type="dxa"/>
            <w:vAlign w:val="bottom"/>
            <w:vMerge w:val="continue"/>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7"/>
                <w:szCs w:val="17"/>
                <w:color w:val="auto"/>
              </w:rPr>
              <w:t>(33)</w:t>
            </w:r>
          </w:p>
        </w:tc>
        <w:tc>
          <w:tcPr>
            <w:tcW w:w="0" w:type="dxa"/>
            <w:vAlign w:val="bottom"/>
          </w:tcPr>
          <w:p>
            <w:pPr>
              <w:spacing w:after="0"/>
              <w:rPr>
                <w:sz w:val="1"/>
                <w:szCs w:val="1"/>
                <w:color w:val="auto"/>
              </w:rPr>
            </w:pPr>
          </w:p>
        </w:tc>
      </w:tr>
      <w:tr>
        <w:trPr>
          <w:trHeight w:val="215"/>
        </w:trPr>
        <w:tc>
          <w:tcPr>
            <w:tcW w:w="5240" w:type="dxa"/>
            <w:vAlign w:val="bottom"/>
          </w:tcPr>
          <w:p>
            <w:pPr>
              <w:ind w:left="40"/>
              <w:spacing w:after="0"/>
              <w:rPr>
                <w:sz w:val="20"/>
                <w:szCs w:val="20"/>
                <w:color w:val="auto"/>
              </w:rPr>
            </w:pPr>
            <w:r>
              <w:rPr>
                <w:rFonts w:ascii="Arial" w:cs="Arial" w:eastAsia="Arial" w:hAnsi="Arial"/>
                <w:sz w:val="17"/>
                <w:szCs w:val="17"/>
                <w:color w:val="auto"/>
              </w:rPr>
              <w:t>Natural gas commodity contracts</w:t>
            </w:r>
          </w:p>
        </w:tc>
        <w:tc>
          <w:tcPr>
            <w:tcW w:w="41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40" w:type="dxa"/>
            <w:vAlign w:val="bottom"/>
            <w:tcBorders>
              <w:bottom w:val="single" w:sz="8" w:color="auto"/>
            </w:tcBorders>
          </w:tcPr>
          <w:p>
            <w:pPr>
              <w:ind w:left="240"/>
              <w:spacing w:after="0"/>
              <w:rPr>
                <w:sz w:val="20"/>
                <w:szCs w:val="20"/>
                <w:color w:val="auto"/>
              </w:rPr>
            </w:pPr>
            <w:r>
              <w:rPr>
                <w:rFonts w:ascii="Arial" w:cs="Arial" w:eastAsia="Arial" w:hAnsi="Arial"/>
                <w:sz w:val="17"/>
                <w:szCs w:val="17"/>
                <w:color w:val="auto"/>
              </w:rPr>
              <w:t>Volume (Bcf)</w:t>
            </w:r>
          </w:p>
        </w:tc>
        <w:tc>
          <w:tcPr>
            <w:tcW w:w="4140" w:type="dxa"/>
            <w:vAlign w:val="bottom"/>
            <w:tcBorders>
              <w:bottom w:val="single" w:sz="8" w:color="auto"/>
            </w:tcBorders>
          </w:tcPr>
          <w:p>
            <w:pPr>
              <w:jc w:val="right"/>
              <w:ind w:right="216"/>
              <w:spacing w:after="0"/>
              <w:rPr>
                <w:sz w:val="20"/>
                <w:szCs w:val="20"/>
                <w:color w:val="auto"/>
              </w:rPr>
            </w:pPr>
            <w:r>
              <w:rPr>
                <w:rFonts w:ascii="Arial" w:cs="Arial" w:eastAsia="Arial" w:hAnsi="Arial"/>
                <w:sz w:val="17"/>
                <w:szCs w:val="17"/>
                <w:b w:val="1"/>
                <w:bCs w:val="1"/>
                <w:color w:val="00539B"/>
              </w:rPr>
              <w:t>(73)</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715962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25" w:right="33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20"/>
          <w:szCs w:val="20"/>
          <w:b w:val="1"/>
          <w:bCs w:val="1"/>
          <w:color w:val="00539B"/>
        </w:rPr>
        <w:t>FAIR VALUE OF DERIVATIVES</w:t>
      </w:r>
    </w:p>
    <w:p>
      <w:pPr>
        <w:spacing w:after="0" w:line="28" w:lineRule="exact"/>
        <w:rPr>
          <w:sz w:val="20"/>
          <w:szCs w:val="20"/>
          <w:color w:val="auto"/>
        </w:rPr>
      </w:pPr>
    </w:p>
    <w:p>
      <w:pPr>
        <w:ind w:firstLine="240"/>
        <w:spacing w:after="0" w:line="271" w:lineRule="auto"/>
        <w:rPr>
          <w:sz w:val="20"/>
          <w:szCs w:val="20"/>
          <w:color w:val="auto"/>
        </w:rPr>
      </w:pPr>
      <w:r>
        <w:rPr>
          <w:rFonts w:ascii="Arial" w:cs="Arial" w:eastAsia="Arial" w:hAnsi="Arial"/>
          <w:sz w:val="17"/>
          <w:szCs w:val="17"/>
          <w:color w:val="auto"/>
        </w:rPr>
        <w:t>The following tables present the fair values of Occidental’s outstanding derivatives. Fair values are presented at gross amounts below, including when the derivatives are subject to netting arrangements, and are presented on a net basis in the Consolidated Condensed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155575</wp:posOffset>
            </wp:positionV>
            <wp:extent cx="713422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5580" w:type="dxa"/>
            <w:vAlign w:val="bottom"/>
          </w:tcPr>
          <w:p>
            <w:pPr>
              <w:ind w:left="20"/>
              <w:spacing w:after="0"/>
              <w:rPr>
                <w:sz w:val="20"/>
                <w:szCs w:val="20"/>
                <w:color w:val="auto"/>
              </w:rPr>
            </w:pPr>
            <w:r>
              <w:rPr>
                <w:rFonts w:ascii="Arial" w:cs="Arial" w:eastAsia="Arial" w:hAnsi="Arial"/>
                <w:sz w:val="17"/>
                <w:szCs w:val="17"/>
                <w:i w:val="1"/>
                <w:iCs w:val="1"/>
                <w:color w:val="auto"/>
              </w:rPr>
              <w:t>millions</w:t>
            </w:r>
          </w:p>
        </w:tc>
        <w:tc>
          <w:tcPr>
            <w:tcW w:w="300" w:type="dxa"/>
            <w:vAlign w:val="bottom"/>
            <w:tcBorders>
              <w:bottom w:val="single" w:sz="8" w:color="auto"/>
            </w:tcBorders>
          </w:tcPr>
          <w:p>
            <w:pPr>
              <w:spacing w:after="0"/>
              <w:rPr>
                <w:sz w:val="21"/>
                <w:szCs w:val="21"/>
                <w:color w:val="auto"/>
              </w:rPr>
            </w:pPr>
          </w:p>
        </w:tc>
        <w:tc>
          <w:tcPr>
            <w:tcW w:w="2980" w:type="dxa"/>
            <w:vAlign w:val="bottom"/>
            <w:tcBorders>
              <w:bottom w:val="single" w:sz="8" w:color="auto"/>
            </w:tcBorders>
            <w:gridSpan w:val="5"/>
          </w:tcPr>
          <w:p>
            <w:pPr>
              <w:jc w:val="right"/>
              <w:spacing w:after="0"/>
              <w:rPr>
                <w:sz w:val="20"/>
                <w:szCs w:val="20"/>
                <w:color w:val="auto"/>
              </w:rPr>
            </w:pPr>
            <w:r>
              <w:rPr>
                <w:rFonts w:ascii="Arial" w:cs="Arial" w:eastAsia="Arial" w:hAnsi="Arial"/>
                <w:sz w:val="17"/>
                <w:szCs w:val="17"/>
                <w:b w:val="1"/>
                <w:bCs w:val="1"/>
                <w:color w:val="auto"/>
              </w:rPr>
              <w:t>Fair Value Measurements Using</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7"/>
                <w:szCs w:val="17"/>
                <w:b w:val="1"/>
                <w:bCs w:val="1"/>
                <w:color w:val="auto"/>
              </w:rPr>
              <w:t>Total Fair</w:t>
            </w:r>
          </w:p>
        </w:tc>
        <w:tc>
          <w:tcPr>
            <w:tcW w:w="0" w:type="dxa"/>
            <w:vAlign w:val="bottom"/>
          </w:tcPr>
          <w:p>
            <w:pPr>
              <w:spacing w:after="0"/>
              <w:rPr>
                <w:sz w:val="1"/>
                <w:szCs w:val="1"/>
                <w:color w:val="auto"/>
              </w:rPr>
            </w:pPr>
          </w:p>
        </w:tc>
      </w:tr>
      <w:tr>
        <w:trPr>
          <w:trHeight w:val="249"/>
        </w:trPr>
        <w:tc>
          <w:tcPr>
            <w:tcW w:w="558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Balance Sheet Classifications</w:t>
            </w:r>
          </w:p>
        </w:tc>
        <w:tc>
          <w:tcPr>
            <w:tcW w:w="3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Level 1</w:t>
            </w:r>
          </w:p>
        </w:tc>
        <w:tc>
          <w:tcPr>
            <w:tcW w:w="3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Level 2</w:t>
            </w: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7"/>
                <w:szCs w:val="17"/>
                <w:b w:val="1"/>
                <w:bCs w:val="1"/>
                <w:color w:val="auto"/>
              </w:rPr>
              <w:t>Level 3</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 xml:space="preserve">Netting </w:t>
            </w:r>
            <w:r>
              <w:rPr>
                <w:rFonts w:ascii="Arial" w:cs="Arial" w:eastAsia="Arial" w:hAnsi="Arial"/>
                <w:sz w:val="21"/>
                <w:szCs w:val="21"/>
                <w:b w:val="1"/>
                <w:bCs w:val="1"/>
                <w:color w:val="auto"/>
                <w:vertAlign w:val="superscript"/>
              </w:rPr>
              <w:t>(a)</w:t>
            </w: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Value</w:t>
            </w:r>
          </w:p>
        </w:tc>
        <w:tc>
          <w:tcPr>
            <w:tcW w:w="0" w:type="dxa"/>
            <w:vAlign w:val="bottom"/>
          </w:tcPr>
          <w:p>
            <w:pPr>
              <w:spacing w:after="0"/>
              <w:rPr>
                <w:sz w:val="1"/>
                <w:szCs w:val="1"/>
                <w:color w:val="auto"/>
              </w:rPr>
            </w:pPr>
          </w:p>
        </w:tc>
      </w:tr>
      <w:tr>
        <w:trPr>
          <w:trHeight w:val="194"/>
        </w:trPr>
        <w:tc>
          <w:tcPr>
            <w:tcW w:w="5580" w:type="dxa"/>
            <w:vAlign w:val="bottom"/>
          </w:tcPr>
          <w:p>
            <w:pPr>
              <w:ind w:left="20"/>
              <w:spacing w:after="0" w:line="194" w:lineRule="exact"/>
              <w:rPr>
                <w:sz w:val="20"/>
                <w:szCs w:val="20"/>
                <w:color w:val="auto"/>
              </w:rPr>
            </w:pPr>
            <w:r>
              <w:rPr>
                <w:rFonts w:ascii="Arial" w:cs="Arial" w:eastAsia="Arial" w:hAnsi="Arial"/>
                <w:sz w:val="17"/>
                <w:szCs w:val="17"/>
                <w:b w:val="1"/>
                <w:bCs w:val="1"/>
                <w:color w:val="00539B"/>
              </w:rPr>
              <w:t>June 30, 2023</w:t>
            </w: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5580" w:type="dxa"/>
            <w:vAlign w:val="bottom"/>
          </w:tcPr>
          <w:p>
            <w:pPr>
              <w:ind w:left="20"/>
              <w:spacing w:after="0"/>
              <w:rPr>
                <w:sz w:val="20"/>
                <w:szCs w:val="20"/>
                <w:color w:val="auto"/>
              </w:rPr>
            </w:pPr>
            <w:r>
              <w:rPr>
                <w:rFonts w:ascii="Arial" w:cs="Arial" w:eastAsia="Arial" w:hAnsi="Arial"/>
                <w:sz w:val="17"/>
                <w:szCs w:val="17"/>
                <w:b w:val="1"/>
                <w:bCs w:val="1"/>
                <w:color w:val="auto"/>
              </w:rPr>
              <w:t>Marketing Derivatives</w:t>
            </w:r>
          </w:p>
        </w:tc>
        <w:tc>
          <w:tcPr>
            <w:tcW w:w="300" w:type="dxa"/>
            <w:vAlign w:val="bottom"/>
            <w:vMerge w:val="restart"/>
          </w:tcPr>
          <w:p>
            <w:pPr>
              <w:jc w:val="right"/>
              <w:ind w:right="96"/>
              <w:spacing w:after="0"/>
              <w:rPr>
                <w:sz w:val="20"/>
                <w:szCs w:val="20"/>
                <w:color w:val="auto"/>
              </w:rPr>
            </w:pPr>
            <w:r>
              <w:rPr>
                <w:rFonts w:ascii="Arial" w:cs="Arial" w:eastAsia="Arial" w:hAnsi="Arial"/>
                <w:sz w:val="17"/>
                <w:szCs w:val="17"/>
                <w:b w:val="1"/>
                <w:bCs w:val="1"/>
                <w:color w:val="00539B"/>
              </w:rPr>
              <w:t>$</w:t>
            </w:r>
          </w:p>
        </w:tc>
        <w:tc>
          <w:tcPr>
            <w:tcW w:w="800" w:type="dxa"/>
            <w:vAlign w:val="bottom"/>
            <w:vMerge w:val="restart"/>
          </w:tcPr>
          <w:p>
            <w:pPr>
              <w:jc w:val="right"/>
              <w:spacing w:after="0"/>
              <w:rPr>
                <w:sz w:val="20"/>
                <w:szCs w:val="20"/>
                <w:color w:val="auto"/>
              </w:rPr>
            </w:pPr>
            <w:r>
              <w:rPr>
                <w:rFonts w:ascii="Arial" w:cs="Arial" w:eastAsia="Arial" w:hAnsi="Arial"/>
                <w:sz w:val="17"/>
                <w:szCs w:val="17"/>
                <w:b w:val="1"/>
                <w:bCs w:val="1"/>
                <w:color w:val="00539B"/>
              </w:rPr>
              <w:t>976</w:t>
            </w:r>
          </w:p>
        </w:tc>
        <w:tc>
          <w:tcPr>
            <w:tcW w:w="300" w:type="dxa"/>
            <w:vAlign w:val="bottom"/>
            <w:vMerge w:val="restart"/>
          </w:tcPr>
          <w:p>
            <w:pPr>
              <w:jc w:val="right"/>
              <w:ind w:right="116"/>
              <w:spacing w:after="0"/>
              <w:rPr>
                <w:sz w:val="20"/>
                <w:szCs w:val="20"/>
                <w:color w:val="auto"/>
              </w:rPr>
            </w:pPr>
            <w:r>
              <w:rPr>
                <w:rFonts w:ascii="Arial" w:cs="Arial" w:eastAsia="Arial" w:hAnsi="Arial"/>
                <w:sz w:val="17"/>
                <w:szCs w:val="17"/>
                <w:b w:val="1"/>
                <w:bCs w:val="1"/>
                <w:color w:val="00539B"/>
                <w:w w:val="84"/>
              </w:rPr>
              <w:t>$</w:t>
            </w:r>
          </w:p>
        </w:tc>
        <w:tc>
          <w:tcPr>
            <w:tcW w:w="780" w:type="dxa"/>
            <w:vAlign w:val="bottom"/>
            <w:vMerge w:val="restart"/>
          </w:tcPr>
          <w:p>
            <w:pPr>
              <w:jc w:val="right"/>
              <w:spacing w:after="0"/>
              <w:rPr>
                <w:sz w:val="20"/>
                <w:szCs w:val="20"/>
                <w:color w:val="auto"/>
              </w:rPr>
            </w:pPr>
            <w:r>
              <w:rPr>
                <w:rFonts w:ascii="Arial" w:cs="Arial" w:eastAsia="Arial" w:hAnsi="Arial"/>
                <w:sz w:val="17"/>
                <w:szCs w:val="17"/>
                <w:b w:val="1"/>
                <w:bCs w:val="1"/>
                <w:color w:val="00539B"/>
              </w:rPr>
              <w:t>62</w:t>
            </w:r>
          </w:p>
        </w:tc>
        <w:tc>
          <w:tcPr>
            <w:tcW w:w="300" w:type="dxa"/>
            <w:vAlign w:val="bottom"/>
            <w:vMerge w:val="restart"/>
          </w:tcPr>
          <w:p>
            <w:pPr>
              <w:jc w:val="right"/>
              <w:ind w:right="116"/>
              <w:spacing w:after="0"/>
              <w:rPr>
                <w:sz w:val="20"/>
                <w:szCs w:val="20"/>
                <w:color w:val="auto"/>
              </w:rPr>
            </w:pPr>
            <w:r>
              <w:rPr>
                <w:rFonts w:ascii="Arial" w:cs="Arial" w:eastAsia="Arial" w:hAnsi="Arial"/>
                <w:sz w:val="17"/>
                <w:szCs w:val="17"/>
                <w:b w:val="1"/>
                <w:bCs w:val="1"/>
                <w:color w:val="00539B"/>
                <w:w w:val="84"/>
              </w:rPr>
              <w:t>$</w:t>
            </w:r>
          </w:p>
        </w:tc>
        <w:tc>
          <w:tcPr>
            <w:tcW w:w="1060" w:type="dxa"/>
            <w:vAlign w:val="bottom"/>
            <w:gridSpan w:val="2"/>
            <w:vMerge w:val="restart"/>
          </w:tcPr>
          <w:p>
            <w:pPr>
              <w:ind w:left="560"/>
              <w:spacing w:after="0"/>
              <w:rPr>
                <w:sz w:val="20"/>
                <w:szCs w:val="20"/>
                <w:color w:val="auto"/>
              </w:rPr>
            </w:pPr>
            <w:r>
              <w:rPr>
                <w:rFonts w:ascii="Arial" w:cs="Arial" w:eastAsia="Arial" w:hAnsi="Arial"/>
                <w:sz w:val="17"/>
                <w:szCs w:val="17"/>
                <w:b w:val="1"/>
                <w:bCs w:val="1"/>
                <w:color w:val="00539B"/>
              </w:rPr>
              <w:t>— $</w:t>
            </w:r>
          </w:p>
        </w:tc>
        <w:tc>
          <w:tcPr>
            <w:tcW w:w="920" w:type="dxa"/>
            <w:vAlign w:val="bottom"/>
            <w:vMerge w:val="restart"/>
          </w:tcPr>
          <w:p>
            <w:pPr>
              <w:jc w:val="right"/>
              <w:spacing w:after="0"/>
              <w:rPr>
                <w:sz w:val="20"/>
                <w:szCs w:val="20"/>
                <w:color w:val="auto"/>
              </w:rPr>
            </w:pPr>
            <w:r>
              <w:rPr>
                <w:rFonts w:ascii="Arial" w:cs="Arial" w:eastAsia="Arial" w:hAnsi="Arial"/>
                <w:sz w:val="17"/>
                <w:szCs w:val="17"/>
                <w:b w:val="1"/>
                <w:bCs w:val="1"/>
                <w:color w:val="00539B"/>
              </w:rPr>
              <w:t>(948)</w:t>
            </w:r>
          </w:p>
        </w:tc>
        <w:tc>
          <w:tcPr>
            <w:tcW w:w="280" w:type="dxa"/>
            <w:vAlign w:val="bottom"/>
            <w:vMerge w:val="restart"/>
          </w:tcPr>
          <w:p>
            <w:pPr>
              <w:jc w:val="right"/>
              <w:ind w:right="76"/>
              <w:spacing w:after="0"/>
              <w:rPr>
                <w:sz w:val="20"/>
                <w:szCs w:val="20"/>
                <w:color w:val="auto"/>
              </w:rPr>
            </w:pPr>
            <w:r>
              <w:rPr>
                <w:rFonts w:ascii="Arial" w:cs="Arial" w:eastAsia="Arial" w:hAnsi="Arial"/>
                <w:sz w:val="17"/>
                <w:szCs w:val="17"/>
                <w:b w:val="1"/>
                <w:bCs w:val="1"/>
                <w:color w:val="00539B"/>
              </w:rPr>
              <w:t>$</w:t>
            </w:r>
          </w:p>
        </w:tc>
        <w:tc>
          <w:tcPr>
            <w:tcW w:w="920" w:type="dxa"/>
            <w:vAlign w:val="bottom"/>
            <w:vMerge w:val="restart"/>
          </w:tcPr>
          <w:p>
            <w:pPr>
              <w:jc w:val="right"/>
              <w:spacing w:after="0"/>
              <w:rPr>
                <w:sz w:val="20"/>
                <w:szCs w:val="20"/>
                <w:color w:val="auto"/>
              </w:rPr>
            </w:pPr>
            <w:r>
              <w:rPr>
                <w:rFonts w:ascii="Arial" w:cs="Arial" w:eastAsia="Arial" w:hAnsi="Arial"/>
                <w:sz w:val="17"/>
                <w:szCs w:val="17"/>
                <w:b w:val="1"/>
                <w:bCs w:val="1"/>
                <w:color w:val="00539B"/>
              </w:rPr>
              <w:t>90</w:t>
            </w:r>
          </w:p>
        </w:tc>
        <w:tc>
          <w:tcPr>
            <w:tcW w:w="0" w:type="dxa"/>
            <w:vAlign w:val="bottom"/>
          </w:tcPr>
          <w:p>
            <w:pPr>
              <w:spacing w:after="0"/>
              <w:rPr>
                <w:sz w:val="1"/>
                <w:szCs w:val="1"/>
                <w:color w:val="auto"/>
              </w:rPr>
            </w:pPr>
          </w:p>
        </w:tc>
      </w:tr>
      <w:tr>
        <w:trPr>
          <w:trHeight w:val="219"/>
        </w:trPr>
        <w:tc>
          <w:tcPr>
            <w:tcW w:w="5580" w:type="dxa"/>
            <w:vAlign w:val="bottom"/>
          </w:tcPr>
          <w:p>
            <w:pPr>
              <w:ind w:left="220"/>
              <w:spacing w:after="0"/>
              <w:rPr>
                <w:sz w:val="20"/>
                <w:szCs w:val="20"/>
                <w:color w:val="auto"/>
              </w:rPr>
            </w:pPr>
            <w:r>
              <w:rPr>
                <w:rFonts w:ascii="Arial" w:cs="Arial" w:eastAsia="Arial" w:hAnsi="Arial"/>
                <w:sz w:val="17"/>
                <w:szCs w:val="17"/>
                <w:color w:val="auto"/>
              </w:rPr>
              <w:t>Other current assets</w:t>
            </w:r>
          </w:p>
        </w:tc>
        <w:tc>
          <w:tcPr>
            <w:tcW w:w="300" w:type="dxa"/>
            <w:vAlign w:val="bottom"/>
            <w:vMerge w:val="continue"/>
          </w:tcPr>
          <w:p>
            <w:pPr>
              <w:spacing w:after="0"/>
              <w:rPr>
                <w:sz w:val="19"/>
                <w:szCs w:val="19"/>
                <w:color w:val="auto"/>
              </w:rPr>
            </w:pPr>
          </w:p>
        </w:tc>
        <w:tc>
          <w:tcPr>
            <w:tcW w:w="800" w:type="dxa"/>
            <w:vAlign w:val="bottom"/>
            <w:vMerge w:val="continue"/>
          </w:tcPr>
          <w:p>
            <w:pPr>
              <w:spacing w:after="0"/>
              <w:rPr>
                <w:sz w:val="19"/>
                <w:szCs w:val="19"/>
                <w:color w:val="auto"/>
              </w:rPr>
            </w:pPr>
          </w:p>
        </w:tc>
        <w:tc>
          <w:tcPr>
            <w:tcW w:w="300" w:type="dxa"/>
            <w:vAlign w:val="bottom"/>
            <w:vMerge w:val="continue"/>
          </w:tcPr>
          <w:p>
            <w:pPr>
              <w:spacing w:after="0"/>
              <w:rPr>
                <w:sz w:val="19"/>
                <w:szCs w:val="19"/>
                <w:color w:val="auto"/>
              </w:rPr>
            </w:pPr>
          </w:p>
        </w:tc>
        <w:tc>
          <w:tcPr>
            <w:tcW w:w="780" w:type="dxa"/>
            <w:vAlign w:val="bottom"/>
            <w:vMerge w:val="continue"/>
          </w:tcPr>
          <w:p>
            <w:pPr>
              <w:spacing w:after="0"/>
              <w:rPr>
                <w:sz w:val="19"/>
                <w:szCs w:val="19"/>
                <w:color w:val="auto"/>
              </w:rPr>
            </w:pPr>
          </w:p>
        </w:tc>
        <w:tc>
          <w:tcPr>
            <w:tcW w:w="300" w:type="dxa"/>
            <w:vAlign w:val="bottom"/>
            <w:vMerge w:val="continue"/>
          </w:tcPr>
          <w:p>
            <w:pPr>
              <w:spacing w:after="0"/>
              <w:rPr>
                <w:sz w:val="19"/>
                <w:szCs w:val="19"/>
                <w:color w:val="auto"/>
              </w:rPr>
            </w:pPr>
          </w:p>
        </w:tc>
        <w:tc>
          <w:tcPr>
            <w:tcW w:w="1060" w:type="dxa"/>
            <w:vAlign w:val="bottom"/>
            <w:gridSpan w:val="2"/>
            <w:vMerge w:val="continue"/>
          </w:tcPr>
          <w:p>
            <w:pPr>
              <w:spacing w:after="0"/>
              <w:rPr>
                <w:sz w:val="19"/>
                <w:szCs w:val="19"/>
                <w:color w:val="auto"/>
              </w:rPr>
            </w:pPr>
          </w:p>
        </w:tc>
        <w:tc>
          <w:tcPr>
            <w:tcW w:w="920" w:type="dxa"/>
            <w:vAlign w:val="bottom"/>
            <w:vMerge w:val="continue"/>
          </w:tcPr>
          <w:p>
            <w:pPr>
              <w:spacing w:after="0"/>
              <w:rPr>
                <w:sz w:val="19"/>
                <w:szCs w:val="19"/>
                <w:color w:val="auto"/>
              </w:rPr>
            </w:pPr>
          </w:p>
        </w:tc>
        <w:tc>
          <w:tcPr>
            <w:tcW w:w="280" w:type="dxa"/>
            <w:vAlign w:val="bottom"/>
            <w:vMerge w:val="continue"/>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580" w:type="dxa"/>
            <w:vAlign w:val="bottom"/>
          </w:tcPr>
          <w:p>
            <w:pPr>
              <w:ind w:left="220"/>
              <w:spacing w:after="0"/>
              <w:rPr>
                <w:sz w:val="20"/>
                <w:szCs w:val="20"/>
                <w:color w:val="auto"/>
              </w:rPr>
            </w:pPr>
            <w:r>
              <w:rPr>
                <w:rFonts w:ascii="Arial" w:cs="Arial" w:eastAsia="Arial" w:hAnsi="Arial"/>
                <w:sz w:val="17"/>
                <w:szCs w:val="17"/>
                <w:color w:val="auto"/>
              </w:rPr>
              <w:t>Long-term receivables and other assets, net</w:t>
            </w: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b w:val="1"/>
                <w:bCs w:val="1"/>
                <w:color w:val="00539B"/>
              </w:rPr>
              <w:t>22</w:t>
            </w: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b w:val="1"/>
                <w:bCs w:val="1"/>
                <w:color w:val="00539B"/>
              </w:rPr>
              <w:t>1</w:t>
            </w:r>
          </w:p>
        </w:tc>
        <w:tc>
          <w:tcPr>
            <w:tcW w:w="300" w:type="dxa"/>
            <w:vAlign w:val="bottom"/>
          </w:tcPr>
          <w:p>
            <w:pPr>
              <w:spacing w:after="0"/>
              <w:rPr>
                <w:sz w:val="18"/>
                <w:szCs w:val="18"/>
                <w:color w:val="auto"/>
              </w:rPr>
            </w:pPr>
          </w:p>
        </w:tc>
        <w:tc>
          <w:tcPr>
            <w:tcW w:w="1060" w:type="dxa"/>
            <w:vAlign w:val="bottom"/>
            <w:gridSpan w:val="2"/>
          </w:tcPr>
          <w:p>
            <w:pPr>
              <w:ind w:left="560"/>
              <w:spacing w:after="0"/>
              <w:rPr>
                <w:sz w:val="20"/>
                <w:szCs w:val="20"/>
                <w:color w:val="auto"/>
              </w:rPr>
            </w:pPr>
            <w:r>
              <w:rPr>
                <w:rFonts w:ascii="Arial" w:cs="Arial" w:eastAsia="Arial" w:hAnsi="Arial"/>
                <w:sz w:val="17"/>
                <w:szCs w:val="17"/>
                <w:b w:val="1"/>
                <w:bCs w:val="1"/>
                <w:color w:val="00539B"/>
              </w:rPr>
              <w:t>—</w:t>
            </w:r>
          </w:p>
        </w:tc>
        <w:tc>
          <w:tcPr>
            <w:tcW w:w="920" w:type="dxa"/>
            <w:vAlign w:val="bottom"/>
          </w:tcPr>
          <w:p>
            <w:pPr>
              <w:jc w:val="right"/>
              <w:spacing w:after="0"/>
              <w:rPr>
                <w:sz w:val="20"/>
                <w:szCs w:val="20"/>
                <w:color w:val="auto"/>
              </w:rPr>
            </w:pPr>
            <w:r>
              <w:rPr>
                <w:rFonts w:ascii="Arial" w:cs="Arial" w:eastAsia="Arial" w:hAnsi="Arial"/>
                <w:sz w:val="17"/>
                <w:szCs w:val="17"/>
                <w:b w:val="1"/>
                <w:bCs w:val="1"/>
                <w:color w:val="00539B"/>
              </w:rPr>
              <w:t>(20)</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b w:val="1"/>
                <w:bCs w:val="1"/>
                <w:color w:val="00539B"/>
              </w:rPr>
              <w:t>3</w:t>
            </w:r>
          </w:p>
        </w:tc>
        <w:tc>
          <w:tcPr>
            <w:tcW w:w="0" w:type="dxa"/>
            <w:vAlign w:val="bottom"/>
          </w:tcPr>
          <w:p>
            <w:pPr>
              <w:spacing w:after="0"/>
              <w:rPr>
                <w:sz w:val="1"/>
                <w:szCs w:val="1"/>
                <w:color w:val="auto"/>
              </w:rPr>
            </w:pPr>
          </w:p>
        </w:tc>
      </w:tr>
      <w:tr>
        <w:trPr>
          <w:trHeight w:val="227"/>
        </w:trPr>
        <w:tc>
          <w:tcPr>
            <w:tcW w:w="5580" w:type="dxa"/>
            <w:vAlign w:val="bottom"/>
          </w:tcPr>
          <w:p>
            <w:pPr>
              <w:ind w:left="220"/>
              <w:spacing w:after="0"/>
              <w:rPr>
                <w:sz w:val="20"/>
                <w:szCs w:val="20"/>
                <w:color w:val="auto"/>
              </w:rPr>
            </w:pPr>
            <w:r>
              <w:rPr>
                <w:rFonts w:ascii="Arial" w:cs="Arial" w:eastAsia="Arial" w:hAnsi="Arial"/>
                <w:sz w:val="17"/>
                <w:szCs w:val="17"/>
                <w:color w:val="auto"/>
              </w:rPr>
              <w:t>Accrued liabilities</w:t>
            </w: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b w:val="1"/>
                <w:bCs w:val="1"/>
                <w:color w:val="00539B"/>
              </w:rPr>
              <w:t>(926)</w:t>
            </w: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b w:val="1"/>
                <w:bCs w:val="1"/>
                <w:color w:val="00539B"/>
              </w:rPr>
              <w:t>(42)</w:t>
            </w:r>
          </w:p>
        </w:tc>
        <w:tc>
          <w:tcPr>
            <w:tcW w:w="300" w:type="dxa"/>
            <w:vAlign w:val="bottom"/>
          </w:tcPr>
          <w:p>
            <w:pPr>
              <w:spacing w:after="0"/>
              <w:rPr>
                <w:sz w:val="19"/>
                <w:szCs w:val="19"/>
                <w:color w:val="auto"/>
              </w:rPr>
            </w:pPr>
          </w:p>
        </w:tc>
        <w:tc>
          <w:tcPr>
            <w:tcW w:w="1060" w:type="dxa"/>
            <w:vAlign w:val="bottom"/>
            <w:gridSpan w:val="2"/>
          </w:tcPr>
          <w:p>
            <w:pPr>
              <w:ind w:left="560"/>
              <w:spacing w:after="0"/>
              <w:rPr>
                <w:sz w:val="20"/>
                <w:szCs w:val="20"/>
                <w:color w:val="auto"/>
              </w:rPr>
            </w:pPr>
            <w:r>
              <w:rPr>
                <w:rFonts w:ascii="Arial" w:cs="Arial" w:eastAsia="Arial" w:hAnsi="Arial"/>
                <w:sz w:val="17"/>
                <w:szCs w:val="17"/>
                <w:b w:val="1"/>
                <w:bCs w:val="1"/>
                <w:color w:val="00539B"/>
              </w:rPr>
              <w:t>—</w:t>
            </w:r>
          </w:p>
        </w:tc>
        <w:tc>
          <w:tcPr>
            <w:tcW w:w="920" w:type="dxa"/>
            <w:vAlign w:val="bottom"/>
          </w:tcPr>
          <w:p>
            <w:pPr>
              <w:jc w:val="right"/>
              <w:spacing w:after="0"/>
              <w:rPr>
                <w:sz w:val="20"/>
                <w:szCs w:val="20"/>
                <w:color w:val="auto"/>
              </w:rPr>
            </w:pPr>
            <w:r>
              <w:rPr>
                <w:rFonts w:ascii="Arial" w:cs="Arial" w:eastAsia="Arial" w:hAnsi="Arial"/>
                <w:sz w:val="17"/>
                <w:szCs w:val="17"/>
                <w:b w:val="1"/>
                <w:bCs w:val="1"/>
                <w:color w:val="00539B"/>
              </w:rPr>
              <w:t>948</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b w:val="1"/>
                <w:bCs w:val="1"/>
                <w:color w:val="00539B"/>
              </w:rPr>
              <w:t>(20)</w:t>
            </w:r>
          </w:p>
        </w:tc>
        <w:tc>
          <w:tcPr>
            <w:tcW w:w="0" w:type="dxa"/>
            <w:vAlign w:val="bottom"/>
          </w:tcPr>
          <w:p>
            <w:pPr>
              <w:spacing w:after="0"/>
              <w:rPr>
                <w:sz w:val="1"/>
                <w:szCs w:val="1"/>
                <w:color w:val="auto"/>
              </w:rPr>
            </w:pPr>
          </w:p>
        </w:tc>
      </w:tr>
      <w:tr>
        <w:trPr>
          <w:trHeight w:val="235"/>
        </w:trPr>
        <w:tc>
          <w:tcPr>
            <w:tcW w:w="5580" w:type="dxa"/>
            <w:vAlign w:val="bottom"/>
          </w:tcPr>
          <w:p>
            <w:pPr>
              <w:ind w:left="220"/>
              <w:spacing w:after="0"/>
              <w:rPr>
                <w:sz w:val="20"/>
                <w:szCs w:val="20"/>
                <w:color w:val="auto"/>
              </w:rPr>
            </w:pPr>
            <w:r>
              <w:rPr>
                <w:rFonts w:ascii="Arial" w:cs="Arial" w:eastAsia="Arial" w:hAnsi="Arial"/>
                <w:sz w:val="17"/>
                <w:szCs w:val="17"/>
                <w:color w:val="auto"/>
              </w:rPr>
              <w:t>Deferred credits and other liabilities - other</w:t>
            </w:r>
          </w:p>
        </w:tc>
        <w:tc>
          <w:tcPr>
            <w:tcW w:w="3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7"/>
                <w:szCs w:val="17"/>
                <w:b w:val="1"/>
                <w:bCs w:val="1"/>
                <w:color w:val="00539B"/>
              </w:rPr>
              <w:t>(20)</w:t>
            </w:r>
          </w:p>
        </w:tc>
        <w:tc>
          <w:tcPr>
            <w:tcW w:w="3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7"/>
                <w:szCs w:val="17"/>
                <w:b w:val="1"/>
                <w:bCs w:val="1"/>
                <w:color w:val="00539B"/>
              </w:rPr>
              <w:t>—</w:t>
            </w:r>
          </w:p>
        </w:tc>
        <w:tc>
          <w:tcPr>
            <w:tcW w:w="300" w:type="dxa"/>
            <w:vAlign w:val="bottom"/>
          </w:tcPr>
          <w:p>
            <w:pPr>
              <w:spacing w:after="0"/>
              <w:rPr>
                <w:sz w:val="20"/>
                <w:szCs w:val="20"/>
                <w:color w:val="auto"/>
              </w:rPr>
            </w:pPr>
          </w:p>
        </w:tc>
        <w:tc>
          <w:tcPr>
            <w:tcW w:w="1060" w:type="dxa"/>
            <w:vAlign w:val="bottom"/>
            <w:gridSpan w:val="2"/>
          </w:tcPr>
          <w:p>
            <w:pPr>
              <w:ind w:left="560"/>
              <w:spacing w:after="0"/>
              <w:rPr>
                <w:sz w:val="20"/>
                <w:szCs w:val="20"/>
                <w:color w:val="auto"/>
              </w:rPr>
            </w:pPr>
            <w:r>
              <w:rPr>
                <w:rFonts w:ascii="Arial" w:cs="Arial" w:eastAsia="Arial" w:hAnsi="Arial"/>
                <w:sz w:val="17"/>
                <w:szCs w:val="17"/>
                <w:b w:val="1"/>
                <w:bCs w:val="1"/>
                <w:color w:val="00539B"/>
              </w:rPr>
              <w:t>—</w:t>
            </w:r>
          </w:p>
        </w:tc>
        <w:tc>
          <w:tcPr>
            <w:tcW w:w="920" w:type="dxa"/>
            <w:vAlign w:val="bottom"/>
          </w:tcPr>
          <w:p>
            <w:pPr>
              <w:jc w:val="right"/>
              <w:spacing w:after="0"/>
              <w:rPr>
                <w:sz w:val="20"/>
                <w:szCs w:val="20"/>
                <w:color w:val="auto"/>
              </w:rPr>
            </w:pPr>
            <w:r>
              <w:rPr>
                <w:rFonts w:ascii="Arial" w:cs="Arial" w:eastAsia="Arial" w:hAnsi="Arial"/>
                <w:sz w:val="17"/>
                <w:szCs w:val="17"/>
                <w:b w:val="1"/>
                <w:bCs w:val="1"/>
                <w:color w:val="00539B"/>
              </w:rPr>
              <w:t>20</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7"/>
                <w:szCs w:val="17"/>
                <w:b w:val="1"/>
                <w:bCs w:val="1"/>
                <w:color w:val="00539B"/>
              </w:rPr>
              <w:t>—</w:t>
            </w:r>
          </w:p>
        </w:tc>
        <w:tc>
          <w:tcPr>
            <w:tcW w:w="0" w:type="dxa"/>
            <w:vAlign w:val="bottom"/>
          </w:tcPr>
          <w:p>
            <w:pPr>
              <w:spacing w:after="0"/>
              <w:rPr>
                <w:sz w:val="1"/>
                <w:szCs w:val="1"/>
                <w:color w:val="auto"/>
              </w:rPr>
            </w:pPr>
          </w:p>
        </w:tc>
      </w:tr>
      <w:tr>
        <w:trPr>
          <w:trHeight w:val="45"/>
        </w:trPr>
        <w:tc>
          <w:tcPr>
            <w:tcW w:w="55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7"/>
        </w:trPr>
        <w:tc>
          <w:tcPr>
            <w:tcW w:w="5580" w:type="dxa"/>
            <w:vAlign w:val="bottom"/>
          </w:tcPr>
          <w:p>
            <w:pPr>
              <w:ind w:left="20"/>
              <w:spacing w:after="0"/>
              <w:rPr>
                <w:sz w:val="20"/>
                <w:szCs w:val="20"/>
                <w:color w:val="auto"/>
              </w:rPr>
            </w:pPr>
            <w:r>
              <w:rPr>
                <w:rFonts w:ascii="Arial" w:cs="Arial" w:eastAsia="Arial" w:hAnsi="Arial"/>
                <w:sz w:val="17"/>
                <w:szCs w:val="17"/>
                <w:b w:val="1"/>
                <w:bCs w:val="1"/>
                <w:color w:val="auto"/>
              </w:rPr>
              <w:t>December 31, 2022</w:t>
            </w: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5580" w:type="dxa"/>
            <w:vAlign w:val="bottom"/>
          </w:tcPr>
          <w:p>
            <w:pPr>
              <w:ind w:left="20"/>
              <w:spacing w:after="0"/>
              <w:rPr>
                <w:sz w:val="20"/>
                <w:szCs w:val="20"/>
                <w:color w:val="auto"/>
              </w:rPr>
            </w:pPr>
            <w:r>
              <w:rPr>
                <w:rFonts w:ascii="Arial" w:cs="Arial" w:eastAsia="Arial" w:hAnsi="Arial"/>
                <w:sz w:val="17"/>
                <w:szCs w:val="17"/>
                <w:b w:val="1"/>
                <w:bCs w:val="1"/>
                <w:color w:val="auto"/>
              </w:rPr>
              <w:t>Marketing Derivatives</w:t>
            </w: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5580" w:type="dxa"/>
            <w:vAlign w:val="bottom"/>
          </w:tcPr>
          <w:p>
            <w:pPr>
              <w:ind w:left="220"/>
              <w:spacing w:after="0"/>
              <w:rPr>
                <w:sz w:val="20"/>
                <w:szCs w:val="20"/>
                <w:color w:val="auto"/>
              </w:rPr>
            </w:pPr>
            <w:r>
              <w:rPr>
                <w:rFonts w:ascii="Arial" w:cs="Arial" w:eastAsia="Arial" w:hAnsi="Arial"/>
                <w:sz w:val="17"/>
                <w:szCs w:val="17"/>
                <w:color w:val="auto"/>
              </w:rPr>
              <w:t>Other current assets</w:t>
            </w:r>
          </w:p>
        </w:tc>
        <w:tc>
          <w:tcPr>
            <w:tcW w:w="300" w:type="dxa"/>
            <w:vAlign w:val="bottom"/>
          </w:tcPr>
          <w:p>
            <w:pPr>
              <w:jc w:val="right"/>
              <w:ind w:right="96"/>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920</w:t>
            </w:r>
          </w:p>
        </w:tc>
        <w:tc>
          <w:tcPr>
            <w:tcW w:w="300" w:type="dxa"/>
            <w:vAlign w:val="bottom"/>
          </w:tcPr>
          <w:p>
            <w:pPr>
              <w:jc w:val="right"/>
              <w:ind w:right="116"/>
              <w:spacing w:after="0"/>
              <w:rPr>
                <w:sz w:val="20"/>
                <w:szCs w:val="20"/>
                <w:color w:val="auto"/>
              </w:rPr>
            </w:pPr>
            <w:r>
              <w:rPr>
                <w:rFonts w:ascii="Arial" w:cs="Arial" w:eastAsia="Arial" w:hAnsi="Arial"/>
                <w:sz w:val="17"/>
                <w:szCs w:val="17"/>
                <w:color w:val="auto"/>
                <w:w w:val="84"/>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127</w:t>
            </w:r>
          </w:p>
        </w:tc>
        <w:tc>
          <w:tcPr>
            <w:tcW w:w="300" w:type="dxa"/>
            <w:vAlign w:val="bottom"/>
          </w:tcPr>
          <w:p>
            <w:pPr>
              <w:jc w:val="right"/>
              <w:ind w:right="116"/>
              <w:spacing w:after="0"/>
              <w:rPr>
                <w:sz w:val="20"/>
                <w:szCs w:val="20"/>
                <w:color w:val="auto"/>
              </w:rPr>
            </w:pPr>
            <w:r>
              <w:rPr>
                <w:rFonts w:ascii="Arial" w:cs="Arial" w:eastAsia="Arial" w:hAnsi="Arial"/>
                <w:sz w:val="17"/>
                <w:szCs w:val="17"/>
                <w:color w:val="auto"/>
                <w:w w:val="84"/>
              </w:rPr>
              <w:t>$</w:t>
            </w:r>
          </w:p>
        </w:tc>
        <w:tc>
          <w:tcPr>
            <w:tcW w:w="1060" w:type="dxa"/>
            <w:vAlign w:val="bottom"/>
            <w:gridSpan w:val="2"/>
          </w:tcPr>
          <w:p>
            <w:pPr>
              <w:ind w:left="560"/>
              <w:spacing w:after="0"/>
              <w:rPr>
                <w:sz w:val="20"/>
                <w:szCs w:val="20"/>
                <w:color w:val="auto"/>
              </w:rPr>
            </w:pPr>
            <w:r>
              <w:rPr>
                <w:rFonts w:ascii="Arial" w:cs="Arial" w:eastAsia="Arial" w:hAnsi="Arial"/>
                <w:sz w:val="17"/>
                <w:szCs w:val="17"/>
                <w:color w:val="auto"/>
              </w:rPr>
              <w:t>— $</w:t>
            </w:r>
          </w:p>
        </w:tc>
        <w:tc>
          <w:tcPr>
            <w:tcW w:w="920" w:type="dxa"/>
            <w:vAlign w:val="bottom"/>
          </w:tcPr>
          <w:p>
            <w:pPr>
              <w:jc w:val="right"/>
              <w:spacing w:after="0"/>
              <w:rPr>
                <w:sz w:val="20"/>
                <w:szCs w:val="20"/>
                <w:color w:val="auto"/>
              </w:rPr>
            </w:pPr>
            <w:r>
              <w:rPr>
                <w:rFonts w:ascii="Arial" w:cs="Arial" w:eastAsia="Arial" w:hAnsi="Arial"/>
                <w:sz w:val="17"/>
                <w:szCs w:val="17"/>
                <w:color w:val="auto"/>
              </w:rPr>
              <w:t>(980)</w:t>
            </w:r>
          </w:p>
        </w:tc>
        <w:tc>
          <w:tcPr>
            <w:tcW w:w="280" w:type="dxa"/>
            <w:vAlign w:val="bottom"/>
          </w:tcPr>
          <w:p>
            <w:pPr>
              <w:jc w:val="right"/>
              <w:ind w:right="76"/>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67</w:t>
            </w:r>
          </w:p>
        </w:tc>
        <w:tc>
          <w:tcPr>
            <w:tcW w:w="0" w:type="dxa"/>
            <w:vAlign w:val="bottom"/>
          </w:tcPr>
          <w:p>
            <w:pPr>
              <w:spacing w:after="0"/>
              <w:rPr>
                <w:sz w:val="1"/>
                <w:szCs w:val="1"/>
                <w:color w:val="auto"/>
              </w:rPr>
            </w:pPr>
          </w:p>
        </w:tc>
      </w:tr>
      <w:tr>
        <w:trPr>
          <w:trHeight w:val="215"/>
        </w:trPr>
        <w:tc>
          <w:tcPr>
            <w:tcW w:w="5580" w:type="dxa"/>
            <w:vAlign w:val="bottom"/>
          </w:tcPr>
          <w:p>
            <w:pPr>
              <w:ind w:left="220"/>
              <w:spacing w:after="0"/>
              <w:rPr>
                <w:sz w:val="20"/>
                <w:szCs w:val="20"/>
                <w:color w:val="auto"/>
              </w:rPr>
            </w:pPr>
            <w:r>
              <w:rPr>
                <w:rFonts w:ascii="Arial" w:cs="Arial" w:eastAsia="Arial" w:hAnsi="Arial"/>
                <w:sz w:val="17"/>
                <w:szCs w:val="17"/>
                <w:color w:val="auto"/>
              </w:rPr>
              <w:t>Long-term receivables and other assets, net</w:t>
            </w: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w:t>
            </w: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w:t>
            </w:r>
          </w:p>
        </w:tc>
        <w:tc>
          <w:tcPr>
            <w:tcW w:w="300" w:type="dxa"/>
            <w:vAlign w:val="bottom"/>
          </w:tcPr>
          <w:p>
            <w:pPr>
              <w:spacing w:after="0"/>
              <w:rPr>
                <w:sz w:val="18"/>
                <w:szCs w:val="18"/>
                <w:color w:val="auto"/>
              </w:rPr>
            </w:pPr>
          </w:p>
        </w:tc>
        <w:tc>
          <w:tcPr>
            <w:tcW w:w="1060" w:type="dxa"/>
            <w:vAlign w:val="bottom"/>
            <w:gridSpan w:val="2"/>
          </w:tcPr>
          <w:p>
            <w:pPr>
              <w:ind w:left="560"/>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(1)</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25"/>
        </w:trPr>
        <w:tc>
          <w:tcPr>
            <w:tcW w:w="5580" w:type="dxa"/>
            <w:vAlign w:val="bottom"/>
          </w:tcPr>
          <w:p>
            <w:pPr>
              <w:ind w:left="220"/>
              <w:spacing w:after="0"/>
              <w:rPr>
                <w:sz w:val="20"/>
                <w:szCs w:val="20"/>
                <w:color w:val="auto"/>
              </w:rPr>
            </w:pPr>
            <w:r>
              <w:rPr>
                <w:rFonts w:ascii="Arial" w:cs="Arial" w:eastAsia="Arial" w:hAnsi="Arial"/>
                <w:sz w:val="17"/>
                <w:szCs w:val="17"/>
                <w:color w:val="auto"/>
              </w:rPr>
              <w:t>Accrued liabilities</w:t>
            </w: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(938)</w:t>
            </w: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(96)</w:t>
            </w:r>
          </w:p>
        </w:tc>
        <w:tc>
          <w:tcPr>
            <w:tcW w:w="300" w:type="dxa"/>
            <w:vAlign w:val="bottom"/>
          </w:tcPr>
          <w:p>
            <w:pPr>
              <w:spacing w:after="0"/>
              <w:rPr>
                <w:sz w:val="19"/>
                <w:szCs w:val="19"/>
                <w:color w:val="auto"/>
              </w:rPr>
            </w:pPr>
          </w:p>
        </w:tc>
        <w:tc>
          <w:tcPr>
            <w:tcW w:w="1060" w:type="dxa"/>
            <w:vAlign w:val="bottom"/>
            <w:gridSpan w:val="2"/>
          </w:tcPr>
          <w:p>
            <w:pPr>
              <w:ind w:left="560"/>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980</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(54)</w:t>
            </w:r>
          </w:p>
        </w:tc>
        <w:tc>
          <w:tcPr>
            <w:tcW w:w="0" w:type="dxa"/>
            <w:vAlign w:val="bottom"/>
          </w:tcPr>
          <w:p>
            <w:pPr>
              <w:spacing w:after="0"/>
              <w:rPr>
                <w:sz w:val="1"/>
                <w:szCs w:val="1"/>
                <w:color w:val="auto"/>
              </w:rPr>
            </w:pPr>
          </w:p>
        </w:tc>
      </w:tr>
      <w:tr>
        <w:trPr>
          <w:trHeight w:val="215"/>
        </w:trPr>
        <w:tc>
          <w:tcPr>
            <w:tcW w:w="5580" w:type="dxa"/>
            <w:vAlign w:val="bottom"/>
          </w:tcPr>
          <w:p>
            <w:pPr>
              <w:ind w:left="220"/>
              <w:spacing w:after="0"/>
              <w:rPr>
                <w:sz w:val="20"/>
                <w:szCs w:val="20"/>
                <w:color w:val="auto"/>
              </w:rPr>
            </w:pPr>
            <w:r>
              <w:rPr>
                <w:rFonts w:ascii="Arial" w:cs="Arial" w:eastAsia="Arial" w:hAnsi="Arial"/>
                <w:sz w:val="17"/>
                <w:szCs w:val="17"/>
                <w:color w:val="auto"/>
              </w:rPr>
              <w:t>Deferred credits and other liabilities - other</w:t>
            </w: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w:t>
            </w: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w:t>
            </w:r>
          </w:p>
        </w:tc>
        <w:tc>
          <w:tcPr>
            <w:tcW w:w="300" w:type="dxa"/>
            <w:vAlign w:val="bottom"/>
          </w:tcPr>
          <w:p>
            <w:pPr>
              <w:spacing w:after="0"/>
              <w:rPr>
                <w:sz w:val="18"/>
                <w:szCs w:val="18"/>
                <w:color w:val="auto"/>
              </w:rPr>
            </w:pPr>
          </w:p>
        </w:tc>
        <w:tc>
          <w:tcPr>
            <w:tcW w:w="1060" w:type="dxa"/>
            <w:vAlign w:val="bottom"/>
            <w:gridSpan w:val="2"/>
          </w:tcPr>
          <w:p>
            <w:pPr>
              <w:ind w:left="560"/>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2</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44450</wp:posOffset>
            </wp:positionV>
            <wp:extent cx="713422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133" w:lineRule="exact"/>
        <w:rPr>
          <w:sz w:val="20"/>
          <w:szCs w:val="20"/>
          <w:color w:val="auto"/>
        </w:rPr>
      </w:pPr>
    </w:p>
    <w:p>
      <w:pPr>
        <w:jc w:val="both"/>
        <w:ind w:left="320" w:hanging="313"/>
        <w:spacing w:after="0" w:line="233" w:lineRule="auto"/>
        <w:tabs>
          <w:tab w:leader="none" w:pos="320" w:val="left"/>
        </w:tabs>
        <w:numPr>
          <w:ilvl w:val="0"/>
          <w:numId w:val="10"/>
        </w:numPr>
        <w:rPr>
          <w:rFonts w:ascii="Arial" w:cs="Arial" w:eastAsia="Arial" w:hAnsi="Arial"/>
          <w:sz w:val="21"/>
          <w:szCs w:val="21"/>
          <w:color w:val="auto"/>
          <w:vertAlign w:val="superscript"/>
        </w:rPr>
      </w:pPr>
      <w:r>
        <w:rPr>
          <w:rFonts w:ascii="Arial" w:cs="Arial" w:eastAsia="Arial" w:hAnsi="Arial"/>
          <w:sz w:val="16"/>
          <w:szCs w:val="16"/>
          <w:color w:val="auto"/>
        </w:rPr>
        <w:t>These amounts do not include collateral. Occidental netted $35 million of collateral received from brokers against derivative assets and $1 million of collateral deposited with brokers against derivatives liabilities related to marketing derivatives as of June 30, 2023 and netted $15 million of collateral deposited with brokers against derivative liabilities related to marketing derivatives as of December 31, 2022.</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color w:val="00539B"/>
        </w:rPr>
        <w:t>GAINS AND LOSSES ON DERIVATIVES</w:t>
      </w:r>
    </w:p>
    <w:p>
      <w:pPr>
        <w:spacing w:after="0" w:line="28" w:lineRule="exact"/>
        <w:rPr>
          <w:sz w:val="20"/>
          <w:szCs w:val="20"/>
          <w:color w:val="auto"/>
        </w:rPr>
      </w:pPr>
    </w:p>
    <w:p>
      <w:pPr>
        <w:ind w:left="240"/>
        <w:spacing w:after="0"/>
        <w:rPr>
          <w:sz w:val="20"/>
          <w:szCs w:val="20"/>
          <w:color w:val="auto"/>
        </w:rPr>
      </w:pPr>
      <w:r>
        <w:rPr>
          <w:rFonts w:ascii="Arial" w:cs="Arial" w:eastAsia="Arial" w:hAnsi="Arial"/>
          <w:sz w:val="17"/>
          <w:szCs w:val="17"/>
          <w:color w:val="auto"/>
        </w:rPr>
        <w:t>The following table presents net gains related to Occidental's derivative instruments on the Consolidated Condensed Statements of Operations: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800" w:type="dxa"/>
            <w:vAlign w:val="bottom"/>
            <w:tcBorders>
              <w:top w:val="single" w:sz="8" w:color="auto"/>
            </w:tcBorders>
          </w:tcPr>
          <w:p>
            <w:pPr>
              <w:ind w:left="20"/>
              <w:spacing w:after="0"/>
              <w:rPr>
                <w:sz w:val="20"/>
                <w:szCs w:val="20"/>
                <w:color w:val="auto"/>
              </w:rPr>
            </w:pPr>
            <w:r>
              <w:rPr>
                <w:rFonts w:ascii="Arial" w:cs="Arial" w:eastAsia="Arial" w:hAnsi="Arial"/>
                <w:sz w:val="17"/>
                <w:szCs w:val="17"/>
                <w:i w:val="1"/>
                <w:iCs w:val="1"/>
                <w:color w:val="auto"/>
              </w:rPr>
              <w:t>millions</w:t>
            </w:r>
          </w:p>
        </w:tc>
        <w:tc>
          <w:tcPr>
            <w:tcW w:w="560" w:type="dxa"/>
            <w:vAlign w:val="bottom"/>
            <w:tcBorders>
              <w:top w:val="single" w:sz="8" w:color="auto"/>
              <w:bottom w:val="single" w:sz="8" w:color="auto"/>
            </w:tcBorders>
          </w:tcPr>
          <w:p>
            <w:pPr>
              <w:spacing w:after="0"/>
              <w:rPr>
                <w:sz w:val="19"/>
                <w:szCs w:val="19"/>
                <w:color w:val="auto"/>
              </w:rPr>
            </w:pPr>
          </w:p>
        </w:tc>
        <w:tc>
          <w:tcPr>
            <w:tcW w:w="2860" w:type="dxa"/>
            <w:vAlign w:val="bottom"/>
            <w:tcBorders>
              <w:top w:val="single" w:sz="8" w:color="auto"/>
              <w:bottom w:val="single" w:sz="8" w:color="auto"/>
            </w:tcBorders>
            <w:gridSpan w:val="2"/>
          </w:tcPr>
          <w:p>
            <w:pPr>
              <w:ind w:left="460"/>
              <w:spacing w:after="0"/>
              <w:rPr>
                <w:sz w:val="20"/>
                <w:szCs w:val="20"/>
                <w:color w:val="auto"/>
              </w:rPr>
            </w:pPr>
            <w:r>
              <w:rPr>
                <w:rFonts w:ascii="Arial" w:cs="Arial" w:eastAsia="Arial" w:hAnsi="Arial"/>
                <w:sz w:val="17"/>
                <w:szCs w:val="17"/>
                <w:b w:val="1"/>
                <w:bCs w:val="1"/>
                <w:color w:val="auto"/>
                <w:w w:val="99"/>
              </w:rPr>
              <w:t>Three months ended June 30,</w:t>
            </w:r>
          </w:p>
        </w:tc>
        <w:tc>
          <w:tcPr>
            <w:tcW w:w="480" w:type="dxa"/>
            <w:vAlign w:val="bottom"/>
            <w:tcBorders>
              <w:top w:val="single" w:sz="8" w:color="auto"/>
              <w:bottom w:val="single" w:sz="8" w:color="auto"/>
            </w:tcBorders>
          </w:tcPr>
          <w:p>
            <w:pPr>
              <w:spacing w:after="0"/>
              <w:rPr>
                <w:sz w:val="19"/>
                <w:szCs w:val="19"/>
                <w:color w:val="auto"/>
              </w:rPr>
            </w:pPr>
          </w:p>
        </w:tc>
        <w:tc>
          <w:tcPr>
            <w:tcW w:w="2540" w:type="dxa"/>
            <w:vAlign w:val="bottom"/>
            <w:tcBorders>
              <w:top w:val="single" w:sz="8" w:color="auto"/>
              <w:bottom w:val="single" w:sz="8" w:color="auto"/>
            </w:tcBorders>
            <w:gridSpan w:val="2"/>
          </w:tcPr>
          <w:p>
            <w:pPr>
              <w:ind w:left="340"/>
              <w:spacing w:after="0"/>
              <w:rPr>
                <w:sz w:val="20"/>
                <w:szCs w:val="20"/>
                <w:color w:val="auto"/>
              </w:rPr>
            </w:pPr>
            <w:r>
              <w:rPr>
                <w:rFonts w:ascii="Arial" w:cs="Arial" w:eastAsia="Arial" w:hAnsi="Arial"/>
                <w:sz w:val="17"/>
                <w:szCs w:val="17"/>
                <w:b w:val="1"/>
                <w:bCs w:val="1"/>
                <w:color w:val="auto"/>
                <w:w w:val="99"/>
              </w:rPr>
              <w:t>Six months ended June 30,</w:t>
            </w:r>
          </w:p>
        </w:tc>
        <w:tc>
          <w:tcPr>
            <w:tcW w:w="0" w:type="dxa"/>
            <w:vAlign w:val="bottom"/>
          </w:tcPr>
          <w:p>
            <w:pPr>
              <w:spacing w:after="0"/>
              <w:rPr>
                <w:sz w:val="1"/>
                <w:szCs w:val="1"/>
                <w:color w:val="auto"/>
              </w:rPr>
            </w:pPr>
          </w:p>
        </w:tc>
      </w:tr>
      <w:tr>
        <w:trPr>
          <w:trHeight w:val="220"/>
        </w:trPr>
        <w:tc>
          <w:tcPr>
            <w:tcW w:w="480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Income Statement Classification</w:t>
            </w:r>
          </w:p>
        </w:tc>
        <w:tc>
          <w:tcPr>
            <w:tcW w:w="56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ind w:right="636"/>
              <w:spacing w:after="0"/>
              <w:rPr>
                <w:sz w:val="20"/>
                <w:szCs w:val="20"/>
                <w:color w:val="auto"/>
              </w:rPr>
            </w:pPr>
            <w:r>
              <w:rPr>
                <w:rFonts w:ascii="Arial" w:cs="Arial" w:eastAsia="Arial" w:hAnsi="Arial"/>
                <w:sz w:val="17"/>
                <w:szCs w:val="17"/>
                <w:b w:val="1"/>
                <w:bCs w:val="1"/>
                <w:color w:val="00539B"/>
              </w:rPr>
              <w:t>2023</w:t>
            </w:r>
          </w:p>
        </w:tc>
        <w:tc>
          <w:tcPr>
            <w:tcW w:w="1000" w:type="dxa"/>
            <w:vAlign w:val="bottom"/>
            <w:tcBorders>
              <w:bottom w:val="single" w:sz="8" w:color="auto"/>
            </w:tcBorders>
          </w:tcPr>
          <w:p>
            <w:pPr>
              <w:jc w:val="center"/>
              <w:ind w:left="516"/>
              <w:spacing w:after="0"/>
              <w:rPr>
                <w:sz w:val="20"/>
                <w:szCs w:val="20"/>
                <w:color w:val="auto"/>
              </w:rPr>
            </w:pPr>
            <w:r>
              <w:rPr>
                <w:rFonts w:ascii="Arial" w:cs="Arial" w:eastAsia="Arial" w:hAnsi="Arial"/>
                <w:sz w:val="17"/>
                <w:szCs w:val="17"/>
                <w:color w:val="auto"/>
                <w:w w:val="95"/>
              </w:rPr>
              <w:t>2022</w:t>
            </w:r>
          </w:p>
        </w:tc>
        <w:tc>
          <w:tcPr>
            <w:tcW w:w="4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536"/>
              <w:spacing w:after="0"/>
              <w:rPr>
                <w:sz w:val="20"/>
                <w:szCs w:val="20"/>
                <w:color w:val="auto"/>
              </w:rPr>
            </w:pPr>
            <w:r>
              <w:rPr>
                <w:rFonts w:ascii="Arial" w:cs="Arial" w:eastAsia="Arial" w:hAnsi="Arial"/>
                <w:sz w:val="17"/>
                <w:szCs w:val="17"/>
                <w:b w:val="1"/>
                <w:bCs w:val="1"/>
                <w:color w:val="00539B"/>
              </w:rPr>
              <w:t>2023</w:t>
            </w:r>
          </w:p>
        </w:tc>
        <w:tc>
          <w:tcPr>
            <w:tcW w:w="900" w:type="dxa"/>
            <w:vAlign w:val="bottom"/>
            <w:tcBorders>
              <w:bottom w:val="single" w:sz="8" w:color="auto"/>
            </w:tcBorders>
          </w:tcPr>
          <w:p>
            <w:pPr>
              <w:jc w:val="center"/>
              <w:ind w:left="396"/>
              <w:spacing w:after="0"/>
              <w:rPr>
                <w:sz w:val="20"/>
                <w:szCs w:val="20"/>
                <w:color w:val="auto"/>
              </w:rPr>
            </w:pPr>
            <w:r>
              <w:rPr>
                <w:rFonts w:ascii="Arial" w:cs="Arial" w:eastAsia="Arial" w:hAnsi="Arial"/>
                <w:sz w:val="17"/>
                <w:szCs w:val="17"/>
                <w:color w:val="auto"/>
              </w:rPr>
              <w:t>2022</w:t>
            </w:r>
          </w:p>
        </w:tc>
        <w:tc>
          <w:tcPr>
            <w:tcW w:w="0" w:type="dxa"/>
            <w:vAlign w:val="bottom"/>
          </w:tcPr>
          <w:p>
            <w:pPr>
              <w:spacing w:after="0"/>
              <w:rPr>
                <w:sz w:val="1"/>
                <w:szCs w:val="1"/>
                <w:color w:val="auto"/>
              </w:rPr>
            </w:pPr>
          </w:p>
        </w:tc>
      </w:tr>
      <w:tr>
        <w:trPr>
          <w:trHeight w:val="255"/>
        </w:trPr>
        <w:tc>
          <w:tcPr>
            <w:tcW w:w="4800" w:type="dxa"/>
            <w:vAlign w:val="bottom"/>
          </w:tcPr>
          <w:p>
            <w:pPr>
              <w:ind w:left="20"/>
              <w:spacing w:after="0"/>
              <w:rPr>
                <w:sz w:val="20"/>
                <w:szCs w:val="20"/>
                <w:color w:val="auto"/>
              </w:rPr>
            </w:pPr>
            <w:r>
              <w:rPr>
                <w:rFonts w:ascii="Arial" w:cs="Arial" w:eastAsia="Arial" w:hAnsi="Arial"/>
                <w:sz w:val="17"/>
                <w:szCs w:val="17"/>
                <w:b w:val="1"/>
                <w:bCs w:val="1"/>
                <w:color w:val="auto"/>
              </w:rPr>
              <w:t>Marketing Derivatives</w:t>
            </w:r>
          </w:p>
        </w:tc>
        <w:tc>
          <w:tcPr>
            <w:tcW w:w="560" w:type="dxa"/>
            <w:vAlign w:val="bottom"/>
            <w:vMerge w:val="restart"/>
          </w:tcPr>
          <w:p>
            <w:pPr>
              <w:jc w:val="right"/>
              <w:ind w:right="356"/>
              <w:spacing w:after="0"/>
              <w:rPr>
                <w:sz w:val="20"/>
                <w:szCs w:val="20"/>
                <w:color w:val="auto"/>
              </w:rPr>
            </w:pPr>
            <w:r>
              <w:rPr>
                <w:rFonts w:ascii="Arial" w:cs="Arial" w:eastAsia="Arial" w:hAnsi="Arial"/>
                <w:sz w:val="17"/>
                <w:szCs w:val="17"/>
                <w:b w:val="1"/>
                <w:bCs w:val="1"/>
                <w:color w:val="00539B"/>
              </w:rPr>
              <w:t>$</w:t>
            </w:r>
          </w:p>
        </w:tc>
        <w:tc>
          <w:tcPr>
            <w:tcW w:w="1860" w:type="dxa"/>
            <w:vAlign w:val="bottom"/>
            <w:vMerge w:val="restart"/>
          </w:tcPr>
          <w:p>
            <w:pPr>
              <w:jc w:val="right"/>
              <w:ind w:right="516"/>
              <w:spacing w:after="0"/>
              <w:rPr>
                <w:sz w:val="20"/>
                <w:szCs w:val="20"/>
                <w:color w:val="auto"/>
              </w:rPr>
            </w:pPr>
            <w:r>
              <w:rPr>
                <w:rFonts w:ascii="Arial" w:cs="Arial" w:eastAsia="Arial" w:hAnsi="Arial"/>
                <w:sz w:val="17"/>
                <w:szCs w:val="17"/>
                <w:b w:val="1"/>
                <w:bCs w:val="1"/>
                <w:color w:val="00539B"/>
              </w:rPr>
              <w:t xml:space="preserve">100 </w:t>
            </w:r>
            <w:r>
              <w:rPr>
                <w:rFonts w:ascii="Arial" w:cs="Arial" w:eastAsia="Arial" w:hAnsi="Arial"/>
                <w:sz w:val="17"/>
                <w:szCs w:val="17"/>
                <w:color w:val="000000"/>
              </w:rPr>
              <w:t>$</w:t>
            </w:r>
          </w:p>
        </w:tc>
        <w:tc>
          <w:tcPr>
            <w:tcW w:w="1000" w:type="dxa"/>
            <w:vAlign w:val="bottom"/>
          </w:tcPr>
          <w:p>
            <w:pPr>
              <w:spacing w:after="0"/>
              <w:rPr>
                <w:sz w:val="22"/>
                <w:szCs w:val="22"/>
                <w:color w:val="auto"/>
              </w:rPr>
            </w:pPr>
          </w:p>
        </w:tc>
        <w:tc>
          <w:tcPr>
            <w:tcW w:w="480" w:type="dxa"/>
            <w:vAlign w:val="bottom"/>
            <w:vMerge w:val="restart"/>
          </w:tcPr>
          <w:p>
            <w:pPr>
              <w:jc w:val="right"/>
              <w:ind w:right="276"/>
              <w:spacing w:after="0"/>
              <w:rPr>
                <w:sz w:val="20"/>
                <w:szCs w:val="20"/>
                <w:color w:val="auto"/>
              </w:rPr>
            </w:pPr>
            <w:r>
              <w:rPr>
                <w:rFonts w:ascii="Arial" w:cs="Arial" w:eastAsia="Arial" w:hAnsi="Arial"/>
                <w:sz w:val="17"/>
                <w:szCs w:val="17"/>
                <w:b w:val="1"/>
                <w:bCs w:val="1"/>
                <w:color w:val="00539B"/>
              </w:rPr>
              <w:t>$</w:t>
            </w:r>
          </w:p>
        </w:tc>
        <w:tc>
          <w:tcPr>
            <w:tcW w:w="1640" w:type="dxa"/>
            <w:vAlign w:val="bottom"/>
            <w:vMerge w:val="restart"/>
          </w:tcPr>
          <w:p>
            <w:pPr>
              <w:jc w:val="right"/>
              <w:ind w:right="416"/>
              <w:spacing w:after="0"/>
              <w:rPr>
                <w:sz w:val="20"/>
                <w:szCs w:val="20"/>
                <w:color w:val="auto"/>
              </w:rPr>
            </w:pPr>
            <w:r>
              <w:rPr>
                <w:rFonts w:ascii="Arial" w:cs="Arial" w:eastAsia="Arial" w:hAnsi="Arial"/>
                <w:sz w:val="17"/>
                <w:szCs w:val="17"/>
                <w:b w:val="1"/>
                <w:bCs w:val="1"/>
                <w:color w:val="00539B"/>
              </w:rPr>
              <w:t xml:space="preserve">207 </w:t>
            </w:r>
            <w:r>
              <w:rPr>
                <w:rFonts w:ascii="Arial" w:cs="Arial" w:eastAsia="Arial" w:hAnsi="Arial"/>
                <w:sz w:val="17"/>
                <w:szCs w:val="17"/>
                <w:color w:val="000000"/>
              </w:rPr>
              <w:t>$</w:t>
            </w: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9"/>
        </w:trPr>
        <w:tc>
          <w:tcPr>
            <w:tcW w:w="4800" w:type="dxa"/>
            <w:vAlign w:val="bottom"/>
          </w:tcPr>
          <w:p>
            <w:pPr>
              <w:ind w:left="220"/>
              <w:spacing w:after="0" w:line="219" w:lineRule="exact"/>
              <w:rPr>
                <w:sz w:val="20"/>
                <w:szCs w:val="20"/>
                <w:color w:val="auto"/>
              </w:rPr>
            </w:pPr>
            <w:r>
              <w:rPr>
                <w:rFonts w:ascii="Arial" w:cs="Arial" w:eastAsia="Arial" w:hAnsi="Arial"/>
                <w:sz w:val="17"/>
                <w:szCs w:val="17"/>
                <w:color w:val="auto"/>
              </w:rPr>
              <w:t xml:space="preserve">Net sales </w:t>
            </w:r>
            <w:r>
              <w:rPr>
                <w:rFonts w:ascii="Arial" w:cs="Arial" w:eastAsia="Arial" w:hAnsi="Arial"/>
                <w:sz w:val="21"/>
                <w:szCs w:val="21"/>
                <w:color w:val="auto"/>
                <w:vertAlign w:val="superscript"/>
              </w:rPr>
              <w:t>(a)</w:t>
            </w:r>
          </w:p>
        </w:tc>
        <w:tc>
          <w:tcPr>
            <w:tcW w:w="560" w:type="dxa"/>
            <w:vAlign w:val="bottom"/>
            <w:vMerge w:val="continue"/>
          </w:tcPr>
          <w:p>
            <w:pPr>
              <w:spacing w:after="0"/>
              <w:rPr>
                <w:sz w:val="19"/>
                <w:szCs w:val="19"/>
                <w:color w:val="auto"/>
              </w:rPr>
            </w:pPr>
          </w:p>
        </w:tc>
        <w:tc>
          <w:tcPr>
            <w:tcW w:w="1860" w:type="dxa"/>
            <w:vAlign w:val="bottom"/>
            <w:vMerge w:val="continue"/>
          </w:tcPr>
          <w:p>
            <w:pPr>
              <w:spacing w:after="0"/>
              <w:rPr>
                <w:sz w:val="19"/>
                <w:szCs w:val="19"/>
                <w:color w:val="auto"/>
              </w:rPr>
            </w:pPr>
          </w:p>
        </w:tc>
        <w:tc>
          <w:tcPr>
            <w:tcW w:w="1000" w:type="dxa"/>
            <w:vAlign w:val="bottom"/>
          </w:tcPr>
          <w:p>
            <w:pPr>
              <w:jc w:val="center"/>
              <w:ind w:left="516"/>
              <w:spacing w:after="0"/>
              <w:rPr>
                <w:sz w:val="20"/>
                <w:szCs w:val="20"/>
                <w:color w:val="auto"/>
              </w:rPr>
            </w:pPr>
            <w:r>
              <w:rPr>
                <w:rFonts w:ascii="Arial" w:cs="Arial" w:eastAsia="Arial" w:hAnsi="Arial"/>
                <w:sz w:val="17"/>
                <w:szCs w:val="17"/>
                <w:color w:val="auto"/>
                <w:w w:val="98"/>
              </w:rPr>
              <w:t>324</w:t>
            </w:r>
          </w:p>
        </w:tc>
        <w:tc>
          <w:tcPr>
            <w:tcW w:w="480" w:type="dxa"/>
            <w:vAlign w:val="bottom"/>
            <w:vMerge w:val="continue"/>
          </w:tcPr>
          <w:p>
            <w:pPr>
              <w:spacing w:after="0"/>
              <w:rPr>
                <w:sz w:val="19"/>
                <w:szCs w:val="19"/>
                <w:color w:val="auto"/>
              </w:rPr>
            </w:pPr>
          </w:p>
        </w:tc>
        <w:tc>
          <w:tcPr>
            <w:tcW w:w="1640" w:type="dxa"/>
            <w:vAlign w:val="bottom"/>
            <w:vMerge w:val="continue"/>
          </w:tcPr>
          <w:p>
            <w:pPr>
              <w:spacing w:after="0"/>
              <w:rPr>
                <w:sz w:val="19"/>
                <w:szCs w:val="19"/>
                <w:color w:val="auto"/>
              </w:rPr>
            </w:pPr>
          </w:p>
        </w:tc>
        <w:tc>
          <w:tcPr>
            <w:tcW w:w="900" w:type="dxa"/>
            <w:vAlign w:val="bottom"/>
          </w:tcPr>
          <w:p>
            <w:pPr>
              <w:jc w:val="center"/>
              <w:ind w:left="376"/>
              <w:spacing w:after="0"/>
              <w:rPr>
                <w:sz w:val="20"/>
                <w:szCs w:val="20"/>
                <w:color w:val="auto"/>
              </w:rPr>
            </w:pPr>
            <w:r>
              <w:rPr>
                <w:rFonts w:ascii="Arial" w:cs="Arial" w:eastAsia="Arial" w:hAnsi="Arial"/>
                <w:sz w:val="17"/>
                <w:szCs w:val="17"/>
                <w:color w:val="auto"/>
                <w:w w:val="98"/>
              </w:rPr>
              <w:t>459</w:t>
            </w:r>
          </w:p>
        </w:tc>
        <w:tc>
          <w:tcPr>
            <w:tcW w:w="0" w:type="dxa"/>
            <w:vAlign w:val="bottom"/>
          </w:tcPr>
          <w:p>
            <w:pPr>
              <w:spacing w:after="0"/>
              <w:rPr>
                <w:sz w:val="1"/>
                <w:szCs w:val="1"/>
                <w:color w:val="auto"/>
              </w:rPr>
            </w:pPr>
          </w:p>
        </w:tc>
      </w:tr>
      <w:tr>
        <w:trPr>
          <w:trHeight w:val="221"/>
        </w:trPr>
        <w:tc>
          <w:tcPr>
            <w:tcW w:w="4800" w:type="dxa"/>
            <w:vAlign w:val="bottom"/>
          </w:tcPr>
          <w:p>
            <w:pPr>
              <w:ind w:left="20"/>
              <w:spacing w:after="0"/>
              <w:rPr>
                <w:sz w:val="20"/>
                <w:szCs w:val="20"/>
                <w:color w:val="auto"/>
              </w:rPr>
            </w:pPr>
            <w:r>
              <w:rPr>
                <w:rFonts w:ascii="Arial" w:cs="Arial" w:eastAsia="Arial" w:hAnsi="Arial"/>
                <w:sz w:val="17"/>
                <w:szCs w:val="17"/>
                <w:b w:val="1"/>
                <w:bCs w:val="1"/>
                <w:color w:val="auto"/>
              </w:rPr>
              <w:t>Interest Rate Swaps</w:t>
            </w:r>
          </w:p>
        </w:tc>
        <w:tc>
          <w:tcPr>
            <w:tcW w:w="560" w:type="dxa"/>
            <w:vAlign w:val="bottom"/>
            <w:vMerge w:val="restart"/>
          </w:tcPr>
          <w:p>
            <w:pPr>
              <w:jc w:val="right"/>
              <w:ind w:right="356"/>
              <w:spacing w:after="0"/>
              <w:rPr>
                <w:sz w:val="20"/>
                <w:szCs w:val="20"/>
                <w:color w:val="auto"/>
              </w:rPr>
            </w:pPr>
            <w:r>
              <w:rPr>
                <w:rFonts w:ascii="Arial" w:cs="Arial" w:eastAsia="Arial" w:hAnsi="Arial"/>
                <w:sz w:val="17"/>
                <w:szCs w:val="17"/>
                <w:b w:val="1"/>
                <w:bCs w:val="1"/>
                <w:color w:val="00539B"/>
              </w:rPr>
              <w:t>$</w:t>
            </w:r>
          </w:p>
        </w:tc>
        <w:tc>
          <w:tcPr>
            <w:tcW w:w="1860" w:type="dxa"/>
            <w:vAlign w:val="bottom"/>
            <w:vMerge w:val="restart"/>
          </w:tcPr>
          <w:p>
            <w:pPr>
              <w:jc w:val="right"/>
              <w:ind w:right="516"/>
              <w:spacing w:after="0"/>
              <w:rPr>
                <w:sz w:val="20"/>
                <w:szCs w:val="20"/>
                <w:color w:val="auto"/>
              </w:rPr>
            </w:pPr>
            <w:r>
              <w:rPr>
                <w:rFonts w:ascii="Arial" w:cs="Arial" w:eastAsia="Arial" w:hAnsi="Arial"/>
                <w:sz w:val="17"/>
                <w:szCs w:val="17"/>
                <w:b w:val="1"/>
                <w:bCs w:val="1"/>
                <w:color w:val="00539B"/>
              </w:rPr>
              <w:t xml:space="preserve">— </w:t>
            </w:r>
            <w:r>
              <w:rPr>
                <w:rFonts w:ascii="Arial" w:cs="Arial" w:eastAsia="Arial" w:hAnsi="Arial"/>
                <w:sz w:val="17"/>
                <w:szCs w:val="17"/>
                <w:color w:val="000000"/>
              </w:rPr>
              <w:t>$</w:t>
            </w:r>
          </w:p>
        </w:tc>
        <w:tc>
          <w:tcPr>
            <w:tcW w:w="1000" w:type="dxa"/>
            <w:vAlign w:val="bottom"/>
          </w:tcPr>
          <w:p>
            <w:pPr>
              <w:spacing w:after="0"/>
              <w:rPr>
                <w:sz w:val="19"/>
                <w:szCs w:val="19"/>
                <w:color w:val="auto"/>
              </w:rPr>
            </w:pPr>
          </w:p>
        </w:tc>
        <w:tc>
          <w:tcPr>
            <w:tcW w:w="480" w:type="dxa"/>
            <w:vAlign w:val="bottom"/>
            <w:vMerge w:val="restart"/>
          </w:tcPr>
          <w:p>
            <w:pPr>
              <w:jc w:val="right"/>
              <w:ind w:right="276"/>
              <w:spacing w:after="0"/>
              <w:rPr>
                <w:sz w:val="20"/>
                <w:szCs w:val="20"/>
                <w:color w:val="auto"/>
              </w:rPr>
            </w:pPr>
            <w:r>
              <w:rPr>
                <w:rFonts w:ascii="Arial" w:cs="Arial" w:eastAsia="Arial" w:hAnsi="Arial"/>
                <w:sz w:val="17"/>
                <w:szCs w:val="17"/>
                <w:b w:val="1"/>
                <w:bCs w:val="1"/>
                <w:color w:val="00539B"/>
              </w:rPr>
              <w:t>$</w:t>
            </w:r>
          </w:p>
        </w:tc>
        <w:tc>
          <w:tcPr>
            <w:tcW w:w="1640" w:type="dxa"/>
            <w:vAlign w:val="bottom"/>
            <w:vMerge w:val="restart"/>
          </w:tcPr>
          <w:p>
            <w:pPr>
              <w:jc w:val="right"/>
              <w:ind w:right="416"/>
              <w:spacing w:after="0"/>
              <w:rPr>
                <w:sz w:val="20"/>
                <w:szCs w:val="20"/>
                <w:color w:val="auto"/>
              </w:rPr>
            </w:pPr>
            <w:r>
              <w:rPr>
                <w:rFonts w:ascii="Arial" w:cs="Arial" w:eastAsia="Arial" w:hAnsi="Arial"/>
                <w:sz w:val="17"/>
                <w:szCs w:val="17"/>
                <w:b w:val="1"/>
                <w:bCs w:val="1"/>
                <w:color w:val="00539B"/>
              </w:rPr>
              <w:t xml:space="preserve">— </w:t>
            </w:r>
            <w:r>
              <w:rPr>
                <w:rFonts w:ascii="Arial" w:cs="Arial" w:eastAsia="Arial" w:hAnsi="Arial"/>
                <w:sz w:val="17"/>
                <w:szCs w:val="17"/>
                <w:color w:val="000000"/>
              </w:rPr>
              <w:t>$</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4800" w:type="dxa"/>
            <w:vAlign w:val="bottom"/>
            <w:tcBorders>
              <w:bottom w:val="single" w:sz="8" w:color="auto"/>
            </w:tcBorders>
          </w:tcPr>
          <w:p>
            <w:pPr>
              <w:ind w:left="220"/>
              <w:spacing w:after="0" w:line="232" w:lineRule="exact"/>
              <w:rPr>
                <w:sz w:val="20"/>
                <w:szCs w:val="20"/>
                <w:color w:val="auto"/>
              </w:rPr>
            </w:pPr>
            <w:r>
              <w:rPr>
                <w:rFonts w:ascii="Arial" w:cs="Arial" w:eastAsia="Arial" w:hAnsi="Arial"/>
                <w:sz w:val="17"/>
                <w:szCs w:val="17"/>
                <w:color w:val="auto"/>
              </w:rPr>
              <w:t xml:space="preserve">Gains on interest rate swaps, net </w:t>
            </w:r>
            <w:r>
              <w:rPr>
                <w:rFonts w:ascii="Arial" w:cs="Arial" w:eastAsia="Arial" w:hAnsi="Arial"/>
                <w:sz w:val="21"/>
                <w:szCs w:val="21"/>
                <w:color w:val="auto"/>
                <w:vertAlign w:val="superscript"/>
              </w:rPr>
              <w:t>(b)</w:t>
            </w:r>
          </w:p>
        </w:tc>
        <w:tc>
          <w:tcPr>
            <w:tcW w:w="560" w:type="dxa"/>
            <w:vAlign w:val="bottom"/>
            <w:tcBorders>
              <w:bottom w:val="single" w:sz="8" w:color="auto"/>
            </w:tcBorders>
            <w:vMerge w:val="continue"/>
          </w:tcPr>
          <w:p>
            <w:pPr>
              <w:spacing w:after="0"/>
              <w:rPr>
                <w:sz w:val="20"/>
                <w:szCs w:val="20"/>
                <w:color w:val="auto"/>
              </w:rPr>
            </w:pPr>
          </w:p>
        </w:tc>
        <w:tc>
          <w:tcPr>
            <w:tcW w:w="1860" w:type="dxa"/>
            <w:vAlign w:val="bottom"/>
            <w:tcBorders>
              <w:bottom w:val="single" w:sz="8" w:color="auto"/>
            </w:tcBorders>
            <w:vMerge w:val="continue"/>
          </w:tcPr>
          <w:p>
            <w:pPr>
              <w:spacing w:after="0"/>
              <w:rPr>
                <w:sz w:val="20"/>
                <w:szCs w:val="20"/>
                <w:color w:val="auto"/>
              </w:rPr>
            </w:pPr>
          </w:p>
        </w:tc>
        <w:tc>
          <w:tcPr>
            <w:tcW w:w="1000" w:type="dxa"/>
            <w:vAlign w:val="bottom"/>
            <w:tcBorders>
              <w:bottom w:val="single" w:sz="8" w:color="auto"/>
            </w:tcBorders>
          </w:tcPr>
          <w:p>
            <w:pPr>
              <w:jc w:val="center"/>
              <w:ind w:left="516"/>
              <w:spacing w:after="0"/>
              <w:rPr>
                <w:sz w:val="20"/>
                <w:szCs w:val="20"/>
                <w:color w:val="auto"/>
              </w:rPr>
            </w:pPr>
            <w:r>
              <w:rPr>
                <w:rFonts w:ascii="Arial" w:cs="Arial" w:eastAsia="Arial" w:hAnsi="Arial"/>
                <w:sz w:val="17"/>
                <w:szCs w:val="17"/>
                <w:color w:val="auto"/>
                <w:w w:val="98"/>
              </w:rPr>
              <w:t>127</w:t>
            </w:r>
          </w:p>
        </w:tc>
        <w:tc>
          <w:tcPr>
            <w:tcW w:w="480" w:type="dxa"/>
            <w:vAlign w:val="bottom"/>
            <w:tcBorders>
              <w:bottom w:val="single" w:sz="8" w:color="auto"/>
            </w:tcBorders>
            <w:vMerge w:val="continue"/>
          </w:tcPr>
          <w:p>
            <w:pPr>
              <w:spacing w:after="0"/>
              <w:rPr>
                <w:sz w:val="20"/>
                <w:szCs w:val="20"/>
                <w:color w:val="auto"/>
              </w:rPr>
            </w:pPr>
          </w:p>
        </w:tc>
        <w:tc>
          <w:tcPr>
            <w:tcW w:w="1640" w:type="dxa"/>
            <w:vAlign w:val="bottom"/>
            <w:tcBorders>
              <w:bottom w:val="single" w:sz="8" w:color="auto"/>
            </w:tcBorders>
            <w:vMerge w:val="continue"/>
          </w:tcPr>
          <w:p>
            <w:pPr>
              <w:spacing w:after="0"/>
              <w:rPr>
                <w:sz w:val="20"/>
                <w:szCs w:val="20"/>
                <w:color w:val="auto"/>
              </w:rPr>
            </w:pPr>
          </w:p>
        </w:tc>
        <w:tc>
          <w:tcPr>
            <w:tcW w:w="900" w:type="dxa"/>
            <w:vAlign w:val="bottom"/>
            <w:tcBorders>
              <w:bottom w:val="single" w:sz="8" w:color="auto"/>
            </w:tcBorders>
          </w:tcPr>
          <w:p>
            <w:pPr>
              <w:jc w:val="center"/>
              <w:ind w:left="376"/>
              <w:spacing w:after="0"/>
              <w:rPr>
                <w:sz w:val="20"/>
                <w:szCs w:val="20"/>
                <w:color w:val="auto"/>
              </w:rPr>
            </w:pPr>
            <w:r>
              <w:rPr>
                <w:rFonts w:ascii="Arial" w:cs="Arial" w:eastAsia="Arial" w:hAnsi="Arial"/>
                <w:sz w:val="17"/>
                <w:szCs w:val="17"/>
                <w:color w:val="auto"/>
                <w:w w:val="98"/>
              </w:rPr>
              <w:t>262</w:t>
            </w:r>
          </w:p>
        </w:tc>
        <w:tc>
          <w:tcPr>
            <w:tcW w:w="0" w:type="dxa"/>
            <w:vAlign w:val="bottom"/>
          </w:tcPr>
          <w:p>
            <w:pPr>
              <w:spacing w:after="0"/>
              <w:rPr>
                <w:sz w:val="1"/>
                <w:szCs w:val="1"/>
                <w:color w:val="auto"/>
              </w:rPr>
            </w:pPr>
          </w:p>
        </w:tc>
      </w:tr>
    </w:tbl>
    <w:p>
      <w:pPr>
        <w:spacing w:after="0" w:line="33" w:lineRule="exact"/>
        <w:rPr>
          <w:sz w:val="20"/>
          <w:szCs w:val="20"/>
          <w:color w:val="auto"/>
        </w:rPr>
      </w:pPr>
    </w:p>
    <w:p>
      <w:pPr>
        <w:ind w:left="280" w:hanging="273"/>
        <w:spacing w:after="0"/>
        <w:tabs>
          <w:tab w:leader="none" w:pos="280" w:val="left"/>
        </w:tabs>
        <w:numPr>
          <w:ilvl w:val="0"/>
          <w:numId w:val="11"/>
        </w:numPr>
        <w:rPr>
          <w:rFonts w:ascii="Arial" w:cs="Arial" w:eastAsia="Arial" w:hAnsi="Arial"/>
          <w:sz w:val="21"/>
          <w:szCs w:val="21"/>
          <w:color w:val="auto"/>
          <w:vertAlign w:val="superscript"/>
        </w:rPr>
      </w:pPr>
      <w:r>
        <w:rPr>
          <w:rFonts w:ascii="Arial" w:cs="Arial" w:eastAsia="Arial" w:hAnsi="Arial"/>
          <w:sz w:val="16"/>
          <w:szCs w:val="16"/>
          <w:color w:val="auto"/>
        </w:rPr>
        <w:t>Includes derivative and non-derivative marketing activity.</w:t>
      </w:r>
    </w:p>
    <w:p>
      <w:pPr>
        <w:spacing w:after="0" w:line="7" w:lineRule="exact"/>
        <w:rPr>
          <w:rFonts w:ascii="Arial" w:cs="Arial" w:eastAsia="Arial" w:hAnsi="Arial"/>
          <w:sz w:val="21"/>
          <w:szCs w:val="21"/>
          <w:color w:val="auto"/>
          <w:vertAlign w:val="superscript"/>
        </w:rPr>
      </w:pPr>
    </w:p>
    <w:p>
      <w:pPr>
        <w:ind w:left="300" w:hanging="293"/>
        <w:spacing w:after="0" w:line="191" w:lineRule="auto"/>
        <w:tabs>
          <w:tab w:leader="none" w:pos="300" w:val="left"/>
        </w:tabs>
        <w:numPr>
          <w:ilvl w:val="0"/>
          <w:numId w:val="11"/>
        </w:numPr>
        <w:rPr>
          <w:rFonts w:ascii="Arial" w:cs="Arial" w:eastAsia="Arial" w:hAnsi="Arial"/>
          <w:sz w:val="21"/>
          <w:szCs w:val="21"/>
          <w:color w:val="auto"/>
          <w:vertAlign w:val="superscript"/>
        </w:rPr>
      </w:pPr>
      <w:r>
        <w:rPr>
          <w:rFonts w:ascii="Arial" w:cs="Arial" w:eastAsia="Arial" w:hAnsi="Arial"/>
          <w:sz w:val="16"/>
          <w:szCs w:val="16"/>
          <w:color w:val="auto"/>
        </w:rPr>
        <w:t>Occidental retired all remaining outstanding interest rate swaps in the twelve months ended December 31, 2022.</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b w:val="1"/>
          <w:bCs w:val="1"/>
          <w:color w:val="00539B"/>
        </w:rPr>
        <w:t>CREDIT RISK</w:t>
      </w:r>
    </w:p>
    <w:p>
      <w:pPr>
        <w:spacing w:after="0" w:line="28" w:lineRule="exact"/>
        <w:rPr>
          <w:sz w:val="20"/>
          <w:szCs w:val="20"/>
          <w:color w:val="auto"/>
        </w:rPr>
      </w:pPr>
    </w:p>
    <w:p>
      <w:pPr>
        <w:jc w:val="both"/>
        <w:ind w:firstLine="240"/>
        <w:spacing w:after="0" w:line="254" w:lineRule="auto"/>
        <w:rPr>
          <w:sz w:val="20"/>
          <w:szCs w:val="20"/>
          <w:color w:val="auto"/>
        </w:rPr>
      </w:pPr>
      <w:r>
        <w:rPr>
          <w:rFonts w:ascii="Arial" w:cs="Arial" w:eastAsia="Arial" w:hAnsi="Arial"/>
          <w:sz w:val="17"/>
          <w:szCs w:val="17"/>
          <w:color w:val="auto"/>
        </w:rPr>
        <w:t>Certain of Occidental's over-the-counter derivative instruments contain credit-risk-contingent features, primarily tied to credit ratings for Occidental or its counterparties, which may affect the amount of collateral that each party would need to post. The aggregate fair value of derivative instruments with credit-risk-related contingent features, for which a net receivable position existed as of June 30, 2023, was $52 million. The aggregate fair value of derivative instruments with credit-risk-contingent features, for which a net liability position existed as of December 31, 2022, was $18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715962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17" w:name="page18"/>
    <w:bookmarkEnd w:id="17"/>
    <w:p>
      <w:pPr>
        <w:ind w:left="20"/>
        <w:spacing w:after="0"/>
        <w:rPr>
          <w:sz w:val="20"/>
          <w:szCs w:val="20"/>
          <w:color w:val="auto"/>
        </w:rPr>
      </w:pPr>
      <w:r>
        <w:rPr>
          <w:rFonts w:ascii="Arial" w:cs="Arial" w:eastAsia="Arial" w:hAnsi="Arial"/>
          <w:sz w:val="25"/>
          <w:szCs w:val="25"/>
          <w:b w:val="1"/>
          <w:bCs w:val="1"/>
          <w:color w:val="00539B"/>
        </w:rPr>
        <w:t>NOTE 6 -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-180975</wp:posOffset>
            </wp:positionV>
            <wp:extent cx="713422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4225" cy="17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30480</wp:posOffset>
            </wp:positionV>
            <wp:extent cx="713422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pacing w:after="0" w:line="357" w:lineRule="exact"/>
        <w:rPr>
          <w:sz w:val="20"/>
          <w:szCs w:val="20"/>
          <w:color w:val="auto"/>
        </w:rPr>
      </w:pPr>
    </w:p>
    <w:p>
      <w:pPr>
        <w:ind w:left="240"/>
        <w:spacing w:after="0"/>
        <w:rPr>
          <w:sz w:val="20"/>
          <w:szCs w:val="20"/>
          <w:color w:val="auto"/>
        </w:rPr>
      </w:pPr>
      <w:r>
        <w:rPr>
          <w:rFonts w:ascii="Arial" w:cs="Arial" w:eastAsia="Arial" w:hAnsi="Arial"/>
          <w:sz w:val="17"/>
          <w:szCs w:val="17"/>
          <w:color w:val="auto"/>
        </w:rPr>
        <w:t>The following table summarizes components of income tax expense:</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480" w:type="dxa"/>
            <w:vAlign w:val="bottom"/>
            <w:tcBorders>
              <w:top w:val="single" w:sz="8" w:color="auto"/>
              <w:bottom w:val="single" w:sz="8" w:color="auto"/>
            </w:tcBorders>
            <w:vMerge w:val="restart"/>
          </w:tcPr>
          <w:p>
            <w:pPr>
              <w:ind w:left="20"/>
              <w:spacing w:after="0"/>
              <w:rPr>
                <w:sz w:val="20"/>
                <w:szCs w:val="20"/>
                <w:color w:val="auto"/>
              </w:rPr>
            </w:pPr>
            <w:r>
              <w:rPr>
                <w:rFonts w:ascii="Arial" w:cs="Arial" w:eastAsia="Arial" w:hAnsi="Arial"/>
                <w:sz w:val="17"/>
                <w:szCs w:val="17"/>
                <w:i w:val="1"/>
                <w:iCs w:val="1"/>
                <w:color w:val="auto"/>
              </w:rPr>
              <w:t>millions</w:t>
            </w:r>
          </w:p>
        </w:tc>
        <w:tc>
          <w:tcPr>
            <w:tcW w:w="560" w:type="dxa"/>
            <w:vAlign w:val="bottom"/>
            <w:tcBorders>
              <w:top w:val="single" w:sz="8" w:color="auto"/>
              <w:bottom w:val="single" w:sz="8" w:color="auto"/>
            </w:tcBorders>
          </w:tcPr>
          <w:p>
            <w:pPr>
              <w:spacing w:after="0"/>
              <w:rPr>
                <w:sz w:val="19"/>
                <w:szCs w:val="19"/>
                <w:color w:val="auto"/>
              </w:rPr>
            </w:pPr>
          </w:p>
        </w:tc>
        <w:tc>
          <w:tcPr>
            <w:tcW w:w="28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Three months ended June 30,</w:t>
            </w:r>
          </w:p>
        </w:tc>
        <w:tc>
          <w:tcPr>
            <w:tcW w:w="580" w:type="dxa"/>
            <w:vAlign w:val="bottom"/>
            <w:tcBorders>
              <w:top w:val="single" w:sz="8" w:color="auto"/>
              <w:bottom w:val="single" w:sz="8" w:color="auto"/>
            </w:tcBorders>
          </w:tcPr>
          <w:p>
            <w:pPr>
              <w:spacing w:after="0"/>
              <w:rPr>
                <w:sz w:val="19"/>
                <w:szCs w:val="19"/>
                <w:color w:val="auto"/>
              </w:rPr>
            </w:pPr>
          </w:p>
        </w:tc>
        <w:tc>
          <w:tcPr>
            <w:tcW w:w="28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Six months ended June 30,</w:t>
            </w:r>
          </w:p>
        </w:tc>
        <w:tc>
          <w:tcPr>
            <w:tcW w:w="0" w:type="dxa"/>
            <w:vAlign w:val="bottom"/>
          </w:tcPr>
          <w:p>
            <w:pPr>
              <w:spacing w:after="0"/>
              <w:rPr>
                <w:sz w:val="1"/>
                <w:szCs w:val="1"/>
                <w:color w:val="auto"/>
              </w:rPr>
            </w:pPr>
          </w:p>
        </w:tc>
      </w:tr>
      <w:tr>
        <w:trPr>
          <w:trHeight w:val="220"/>
        </w:trPr>
        <w:tc>
          <w:tcPr>
            <w:tcW w:w="4480" w:type="dxa"/>
            <w:vAlign w:val="bottom"/>
            <w:tcBorders>
              <w:bottom w:val="single" w:sz="8" w:color="auto"/>
            </w:tcBorders>
            <w:vMerge w:val="continue"/>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b w:val="1"/>
                <w:bCs w:val="1"/>
                <w:color w:val="00539B"/>
              </w:rPr>
              <w:t>2023</w:t>
            </w:r>
          </w:p>
        </w:tc>
        <w:tc>
          <w:tcPr>
            <w:tcW w:w="5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2022</w:t>
            </w:r>
          </w:p>
        </w:tc>
        <w:tc>
          <w:tcPr>
            <w:tcW w:w="5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b w:val="1"/>
                <w:bCs w:val="1"/>
                <w:color w:val="00539B"/>
              </w:rPr>
              <w:t>2023</w:t>
            </w:r>
          </w:p>
        </w:tc>
        <w:tc>
          <w:tcPr>
            <w:tcW w:w="5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2022</w:t>
            </w:r>
          </w:p>
        </w:tc>
        <w:tc>
          <w:tcPr>
            <w:tcW w:w="0" w:type="dxa"/>
            <w:vAlign w:val="bottom"/>
          </w:tcPr>
          <w:p>
            <w:pPr>
              <w:spacing w:after="0"/>
              <w:rPr>
                <w:sz w:val="1"/>
                <w:szCs w:val="1"/>
                <w:color w:val="auto"/>
              </w:rPr>
            </w:pPr>
          </w:p>
        </w:tc>
      </w:tr>
      <w:tr>
        <w:trPr>
          <w:trHeight w:val="194"/>
        </w:trPr>
        <w:tc>
          <w:tcPr>
            <w:tcW w:w="4480" w:type="dxa"/>
            <w:vAlign w:val="bottom"/>
          </w:tcPr>
          <w:p>
            <w:pPr>
              <w:ind w:left="20"/>
              <w:spacing w:after="0" w:line="194" w:lineRule="exact"/>
              <w:rPr>
                <w:sz w:val="20"/>
                <w:szCs w:val="20"/>
                <w:color w:val="auto"/>
              </w:rPr>
            </w:pPr>
            <w:r>
              <w:rPr>
                <w:rFonts w:ascii="Arial" w:cs="Arial" w:eastAsia="Arial" w:hAnsi="Arial"/>
                <w:sz w:val="17"/>
                <w:szCs w:val="17"/>
                <w:b w:val="1"/>
                <w:bCs w:val="1"/>
                <w:color w:val="auto"/>
              </w:rPr>
              <w:t>Income before income taxes</w:t>
            </w:r>
          </w:p>
        </w:tc>
        <w:tc>
          <w:tcPr>
            <w:tcW w:w="560" w:type="dxa"/>
            <w:vAlign w:val="bottom"/>
          </w:tcPr>
          <w:p>
            <w:pPr>
              <w:jc w:val="right"/>
              <w:ind w:right="356"/>
              <w:spacing w:after="0" w:line="194" w:lineRule="exact"/>
              <w:rPr>
                <w:sz w:val="20"/>
                <w:szCs w:val="20"/>
                <w:color w:val="auto"/>
              </w:rPr>
            </w:pPr>
            <w:r>
              <w:rPr>
                <w:rFonts w:ascii="Arial" w:cs="Arial" w:eastAsia="Arial" w:hAnsi="Arial"/>
                <w:sz w:val="17"/>
                <w:szCs w:val="17"/>
                <w:b w:val="1"/>
                <w:bCs w:val="1"/>
                <w:color w:val="00539B"/>
              </w:rPr>
              <w:t>$</w:t>
            </w:r>
          </w:p>
        </w:tc>
        <w:tc>
          <w:tcPr>
            <w:tcW w:w="1140" w:type="dxa"/>
            <w:vAlign w:val="bottom"/>
          </w:tcPr>
          <w:p>
            <w:pPr>
              <w:jc w:val="right"/>
              <w:ind w:right="56"/>
              <w:spacing w:after="0" w:line="194" w:lineRule="exact"/>
              <w:rPr>
                <w:sz w:val="20"/>
                <w:szCs w:val="20"/>
                <w:color w:val="auto"/>
              </w:rPr>
            </w:pPr>
            <w:r>
              <w:rPr>
                <w:rFonts w:ascii="Arial" w:cs="Arial" w:eastAsia="Arial" w:hAnsi="Arial"/>
                <w:sz w:val="17"/>
                <w:szCs w:val="17"/>
                <w:b w:val="1"/>
                <w:bCs w:val="1"/>
                <w:color w:val="00539B"/>
              </w:rPr>
              <w:t>1,327</w:t>
            </w:r>
          </w:p>
        </w:tc>
        <w:tc>
          <w:tcPr>
            <w:tcW w:w="560" w:type="dxa"/>
            <w:vAlign w:val="bottom"/>
          </w:tcPr>
          <w:p>
            <w:pPr>
              <w:jc w:val="right"/>
              <w:ind w:right="376"/>
              <w:spacing w:after="0" w:line="194" w:lineRule="exact"/>
              <w:rPr>
                <w:sz w:val="20"/>
                <w:szCs w:val="20"/>
                <w:color w:val="auto"/>
              </w:rPr>
            </w:pPr>
            <w:r>
              <w:rPr>
                <w:rFonts w:ascii="Arial" w:cs="Arial" w:eastAsia="Arial" w:hAnsi="Arial"/>
                <w:sz w:val="17"/>
                <w:szCs w:val="17"/>
                <w:color w:val="auto"/>
                <w:w w:val="84"/>
              </w:rPr>
              <w:t>$</w:t>
            </w:r>
          </w:p>
        </w:tc>
        <w:tc>
          <w:tcPr>
            <w:tcW w:w="1120" w:type="dxa"/>
            <w:vAlign w:val="bottom"/>
          </w:tcPr>
          <w:p>
            <w:pPr>
              <w:jc w:val="right"/>
              <w:ind w:right="36"/>
              <w:spacing w:after="0" w:line="194" w:lineRule="exact"/>
              <w:rPr>
                <w:sz w:val="20"/>
                <w:szCs w:val="20"/>
                <w:color w:val="auto"/>
              </w:rPr>
            </w:pPr>
            <w:r>
              <w:rPr>
                <w:rFonts w:ascii="Arial" w:cs="Arial" w:eastAsia="Arial" w:hAnsi="Arial"/>
                <w:sz w:val="17"/>
                <w:szCs w:val="17"/>
                <w:color w:val="auto"/>
              </w:rPr>
              <w:t>4,986</w:t>
            </w:r>
          </w:p>
        </w:tc>
        <w:tc>
          <w:tcPr>
            <w:tcW w:w="580" w:type="dxa"/>
            <w:vAlign w:val="bottom"/>
          </w:tcPr>
          <w:p>
            <w:pPr>
              <w:jc w:val="right"/>
              <w:ind w:right="376"/>
              <w:spacing w:after="0" w:line="194" w:lineRule="exact"/>
              <w:rPr>
                <w:sz w:val="20"/>
                <w:szCs w:val="20"/>
                <w:color w:val="auto"/>
              </w:rPr>
            </w:pPr>
            <w:r>
              <w:rPr>
                <w:rFonts w:ascii="Arial" w:cs="Arial" w:eastAsia="Arial" w:hAnsi="Arial"/>
                <w:sz w:val="17"/>
                <w:szCs w:val="17"/>
                <w:b w:val="1"/>
                <w:bCs w:val="1"/>
                <w:color w:val="00539B"/>
              </w:rPr>
              <w:t>$</w:t>
            </w:r>
          </w:p>
        </w:tc>
        <w:tc>
          <w:tcPr>
            <w:tcW w:w="1120" w:type="dxa"/>
            <w:vAlign w:val="bottom"/>
          </w:tcPr>
          <w:p>
            <w:pPr>
              <w:jc w:val="right"/>
              <w:ind w:right="136"/>
              <w:spacing w:after="0" w:line="194" w:lineRule="exact"/>
              <w:rPr>
                <w:sz w:val="20"/>
                <w:szCs w:val="20"/>
                <w:color w:val="auto"/>
              </w:rPr>
            </w:pPr>
            <w:r>
              <w:rPr>
                <w:rFonts w:ascii="Arial" w:cs="Arial" w:eastAsia="Arial" w:hAnsi="Arial"/>
                <w:sz w:val="17"/>
                <w:szCs w:val="17"/>
                <w:b w:val="1"/>
                <w:bCs w:val="1"/>
                <w:color w:val="00539B"/>
              </w:rPr>
              <w:t>3,061</w:t>
            </w:r>
          </w:p>
        </w:tc>
        <w:tc>
          <w:tcPr>
            <w:tcW w:w="540" w:type="dxa"/>
            <w:vAlign w:val="bottom"/>
          </w:tcPr>
          <w:p>
            <w:pPr>
              <w:jc w:val="right"/>
              <w:ind w:right="356"/>
              <w:spacing w:after="0" w:line="194" w:lineRule="exact"/>
              <w:rPr>
                <w:sz w:val="20"/>
                <w:szCs w:val="20"/>
                <w:color w:val="auto"/>
              </w:rPr>
            </w:pPr>
            <w:r>
              <w:rPr>
                <w:rFonts w:ascii="Arial" w:cs="Arial" w:eastAsia="Arial" w:hAnsi="Arial"/>
                <w:sz w:val="17"/>
                <w:szCs w:val="17"/>
                <w:color w:val="auto"/>
                <w:w w:val="84"/>
              </w:rPr>
              <w:t>$</w:t>
            </w:r>
          </w:p>
        </w:tc>
        <w:tc>
          <w:tcPr>
            <w:tcW w:w="1140" w:type="dxa"/>
            <w:vAlign w:val="bottom"/>
          </w:tcPr>
          <w:p>
            <w:pPr>
              <w:jc w:val="right"/>
              <w:ind w:right="136"/>
              <w:spacing w:after="0" w:line="194" w:lineRule="exact"/>
              <w:rPr>
                <w:sz w:val="20"/>
                <w:szCs w:val="20"/>
                <w:color w:val="auto"/>
              </w:rPr>
            </w:pPr>
            <w:r>
              <w:rPr>
                <w:rFonts w:ascii="Arial" w:cs="Arial" w:eastAsia="Arial" w:hAnsi="Arial"/>
                <w:sz w:val="17"/>
                <w:szCs w:val="17"/>
                <w:color w:val="auto"/>
              </w:rPr>
              <w:t>8,069</w:t>
            </w:r>
          </w:p>
        </w:tc>
        <w:tc>
          <w:tcPr>
            <w:tcW w:w="0" w:type="dxa"/>
            <w:vAlign w:val="bottom"/>
          </w:tcPr>
          <w:p>
            <w:pPr>
              <w:spacing w:after="0"/>
              <w:rPr>
                <w:sz w:val="1"/>
                <w:szCs w:val="1"/>
                <w:color w:val="auto"/>
              </w:rPr>
            </w:pPr>
          </w:p>
        </w:tc>
      </w:tr>
      <w:tr>
        <w:trPr>
          <w:trHeight w:val="235"/>
        </w:trPr>
        <w:tc>
          <w:tcPr>
            <w:tcW w:w="4480" w:type="dxa"/>
            <w:vAlign w:val="bottom"/>
          </w:tcPr>
          <w:p>
            <w:pPr>
              <w:ind w:left="20"/>
              <w:spacing w:after="0"/>
              <w:rPr>
                <w:sz w:val="20"/>
                <w:szCs w:val="20"/>
                <w:color w:val="auto"/>
              </w:rPr>
            </w:pPr>
            <w:r>
              <w:rPr>
                <w:rFonts w:ascii="Arial" w:cs="Arial" w:eastAsia="Arial" w:hAnsi="Arial"/>
                <w:sz w:val="17"/>
                <w:szCs w:val="17"/>
                <w:b w:val="1"/>
                <w:bCs w:val="1"/>
                <w:color w:val="auto"/>
              </w:rPr>
              <w:t>Current</w:t>
            </w:r>
          </w:p>
        </w:tc>
        <w:tc>
          <w:tcPr>
            <w:tcW w:w="560" w:type="dxa"/>
            <w:vAlign w:val="bottom"/>
          </w:tcPr>
          <w:p>
            <w:pPr>
              <w:spacing w:after="0"/>
              <w:rPr>
                <w:sz w:val="20"/>
                <w:szCs w:val="20"/>
                <w:color w:val="auto"/>
              </w:rPr>
            </w:pPr>
          </w:p>
        </w:tc>
        <w:tc>
          <w:tcPr>
            <w:tcW w:w="1140" w:type="dxa"/>
            <w:vAlign w:val="bottom"/>
            <w:vMerge w:val="restart"/>
          </w:tcPr>
          <w:p>
            <w:pPr>
              <w:jc w:val="right"/>
              <w:ind w:right="56"/>
              <w:spacing w:after="0"/>
              <w:rPr>
                <w:sz w:val="20"/>
                <w:szCs w:val="20"/>
                <w:color w:val="auto"/>
              </w:rPr>
            </w:pPr>
            <w:r>
              <w:rPr>
                <w:rFonts w:ascii="Arial" w:cs="Arial" w:eastAsia="Arial" w:hAnsi="Arial"/>
                <w:sz w:val="17"/>
                <w:szCs w:val="17"/>
                <w:b w:val="1"/>
                <w:bCs w:val="1"/>
                <w:color w:val="00539B"/>
              </w:rPr>
              <w:t>(181)</w:t>
            </w:r>
          </w:p>
        </w:tc>
        <w:tc>
          <w:tcPr>
            <w:tcW w:w="5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20" w:type="dxa"/>
            <w:vAlign w:val="bottom"/>
            <w:vMerge w:val="restart"/>
          </w:tcPr>
          <w:p>
            <w:pPr>
              <w:jc w:val="right"/>
              <w:ind w:right="56"/>
              <w:spacing w:after="0"/>
              <w:rPr>
                <w:sz w:val="20"/>
                <w:szCs w:val="20"/>
                <w:color w:val="auto"/>
              </w:rPr>
            </w:pPr>
            <w:r>
              <w:rPr>
                <w:rFonts w:ascii="Arial" w:cs="Arial" w:eastAsia="Arial" w:hAnsi="Arial"/>
                <w:sz w:val="17"/>
                <w:szCs w:val="17"/>
                <w:b w:val="1"/>
                <w:bCs w:val="1"/>
                <w:color w:val="00539B"/>
              </w:rPr>
              <w:t>(446)</w:t>
            </w:r>
          </w:p>
        </w:tc>
        <w:tc>
          <w:tcPr>
            <w:tcW w:w="5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4480" w:type="dxa"/>
            <w:vAlign w:val="bottom"/>
          </w:tcPr>
          <w:p>
            <w:pPr>
              <w:ind w:left="220"/>
              <w:spacing w:after="0"/>
              <w:rPr>
                <w:sz w:val="20"/>
                <w:szCs w:val="20"/>
                <w:color w:val="auto"/>
              </w:rPr>
            </w:pPr>
            <w:r>
              <w:rPr>
                <w:rFonts w:ascii="Arial" w:cs="Arial" w:eastAsia="Arial" w:hAnsi="Arial"/>
                <w:sz w:val="17"/>
                <w:szCs w:val="17"/>
                <w:color w:val="auto"/>
              </w:rPr>
              <w:t>Federal</w:t>
            </w:r>
          </w:p>
        </w:tc>
        <w:tc>
          <w:tcPr>
            <w:tcW w:w="56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tcPr>
          <w:p>
            <w:pPr>
              <w:jc w:val="right"/>
              <w:ind w:right="36"/>
              <w:spacing w:after="0"/>
              <w:rPr>
                <w:sz w:val="20"/>
                <w:szCs w:val="20"/>
                <w:color w:val="auto"/>
              </w:rPr>
            </w:pPr>
            <w:r>
              <w:rPr>
                <w:rFonts w:ascii="Arial" w:cs="Arial" w:eastAsia="Arial" w:hAnsi="Arial"/>
                <w:sz w:val="17"/>
                <w:szCs w:val="17"/>
                <w:color w:val="auto"/>
              </w:rPr>
              <w:t>(640)</w:t>
            </w:r>
          </w:p>
        </w:tc>
        <w:tc>
          <w:tcPr>
            <w:tcW w:w="58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tcPr>
          <w:p>
            <w:pPr>
              <w:jc w:val="right"/>
              <w:ind w:right="36"/>
              <w:spacing w:after="0"/>
              <w:rPr>
                <w:sz w:val="20"/>
                <w:szCs w:val="20"/>
                <w:color w:val="auto"/>
              </w:rPr>
            </w:pPr>
            <w:r>
              <w:rPr>
                <w:rFonts w:ascii="Arial" w:cs="Arial" w:eastAsia="Arial" w:hAnsi="Arial"/>
                <w:sz w:val="17"/>
                <w:szCs w:val="17"/>
                <w:color w:val="auto"/>
              </w:rPr>
              <w:t>(855)</w:t>
            </w:r>
          </w:p>
        </w:tc>
        <w:tc>
          <w:tcPr>
            <w:tcW w:w="0" w:type="dxa"/>
            <w:vAlign w:val="bottom"/>
          </w:tcPr>
          <w:p>
            <w:pPr>
              <w:spacing w:after="0"/>
              <w:rPr>
                <w:sz w:val="1"/>
                <w:szCs w:val="1"/>
                <w:color w:val="auto"/>
              </w:rPr>
            </w:pPr>
          </w:p>
        </w:tc>
      </w:tr>
      <w:tr>
        <w:trPr>
          <w:trHeight w:val="213"/>
        </w:trPr>
        <w:tc>
          <w:tcPr>
            <w:tcW w:w="4480" w:type="dxa"/>
            <w:vAlign w:val="bottom"/>
          </w:tcPr>
          <w:p>
            <w:pPr>
              <w:ind w:left="220"/>
              <w:spacing w:after="0"/>
              <w:rPr>
                <w:sz w:val="20"/>
                <w:szCs w:val="20"/>
                <w:color w:val="auto"/>
              </w:rPr>
            </w:pPr>
            <w:r>
              <w:rPr>
                <w:rFonts w:ascii="Arial" w:cs="Arial" w:eastAsia="Arial" w:hAnsi="Arial"/>
                <w:sz w:val="17"/>
                <w:szCs w:val="17"/>
                <w:color w:val="auto"/>
              </w:rPr>
              <w:t>State and Local</w:t>
            </w:r>
          </w:p>
        </w:tc>
        <w:tc>
          <w:tcPr>
            <w:tcW w:w="560" w:type="dxa"/>
            <w:vAlign w:val="bottom"/>
          </w:tcPr>
          <w:p>
            <w:pPr>
              <w:spacing w:after="0"/>
              <w:rPr>
                <w:sz w:val="18"/>
                <w:szCs w:val="18"/>
                <w:color w:val="auto"/>
              </w:rPr>
            </w:pPr>
          </w:p>
        </w:tc>
        <w:tc>
          <w:tcPr>
            <w:tcW w:w="1140" w:type="dxa"/>
            <w:vAlign w:val="bottom"/>
          </w:tcPr>
          <w:p>
            <w:pPr>
              <w:jc w:val="right"/>
              <w:ind w:right="56"/>
              <w:spacing w:after="0"/>
              <w:rPr>
                <w:sz w:val="20"/>
                <w:szCs w:val="20"/>
                <w:color w:val="auto"/>
              </w:rPr>
            </w:pPr>
            <w:r>
              <w:rPr>
                <w:rFonts w:ascii="Arial" w:cs="Arial" w:eastAsia="Arial" w:hAnsi="Arial"/>
                <w:sz w:val="17"/>
                <w:szCs w:val="17"/>
                <w:b w:val="1"/>
                <w:bCs w:val="1"/>
                <w:color w:val="00539B"/>
              </w:rPr>
              <w:t>(14)</w:t>
            </w:r>
          </w:p>
        </w:tc>
        <w:tc>
          <w:tcPr>
            <w:tcW w:w="560" w:type="dxa"/>
            <w:vAlign w:val="bottom"/>
          </w:tcPr>
          <w:p>
            <w:pPr>
              <w:spacing w:after="0"/>
              <w:rPr>
                <w:sz w:val="18"/>
                <w:szCs w:val="18"/>
                <w:color w:val="auto"/>
              </w:rPr>
            </w:pPr>
          </w:p>
        </w:tc>
        <w:tc>
          <w:tcPr>
            <w:tcW w:w="1120" w:type="dxa"/>
            <w:vAlign w:val="bottom"/>
          </w:tcPr>
          <w:p>
            <w:pPr>
              <w:jc w:val="right"/>
              <w:ind w:right="36"/>
              <w:spacing w:after="0"/>
              <w:rPr>
                <w:sz w:val="20"/>
                <w:szCs w:val="20"/>
                <w:color w:val="auto"/>
              </w:rPr>
            </w:pPr>
            <w:r>
              <w:rPr>
                <w:rFonts w:ascii="Arial" w:cs="Arial" w:eastAsia="Arial" w:hAnsi="Arial"/>
                <w:sz w:val="17"/>
                <w:szCs w:val="17"/>
                <w:color w:val="auto"/>
              </w:rPr>
              <w:t>(50)</w:t>
            </w:r>
          </w:p>
        </w:tc>
        <w:tc>
          <w:tcPr>
            <w:tcW w:w="580" w:type="dxa"/>
            <w:vAlign w:val="bottom"/>
          </w:tcPr>
          <w:p>
            <w:pPr>
              <w:spacing w:after="0"/>
              <w:rPr>
                <w:sz w:val="18"/>
                <w:szCs w:val="18"/>
                <w:color w:val="auto"/>
              </w:rPr>
            </w:pPr>
          </w:p>
        </w:tc>
        <w:tc>
          <w:tcPr>
            <w:tcW w:w="1120" w:type="dxa"/>
            <w:vAlign w:val="bottom"/>
          </w:tcPr>
          <w:p>
            <w:pPr>
              <w:jc w:val="right"/>
              <w:ind w:right="96"/>
              <w:spacing w:after="0"/>
              <w:rPr>
                <w:sz w:val="20"/>
                <w:szCs w:val="20"/>
                <w:color w:val="auto"/>
              </w:rPr>
            </w:pPr>
            <w:r>
              <w:rPr>
                <w:rFonts w:ascii="Arial" w:cs="Arial" w:eastAsia="Arial" w:hAnsi="Arial"/>
                <w:sz w:val="17"/>
                <w:szCs w:val="17"/>
                <w:b w:val="1"/>
                <w:bCs w:val="1"/>
                <w:color w:val="00539B"/>
              </w:rPr>
              <w:t>(32)</w:t>
            </w:r>
          </w:p>
        </w:tc>
        <w:tc>
          <w:tcPr>
            <w:tcW w:w="540" w:type="dxa"/>
            <w:vAlign w:val="bottom"/>
          </w:tcPr>
          <w:p>
            <w:pPr>
              <w:spacing w:after="0"/>
              <w:rPr>
                <w:sz w:val="18"/>
                <w:szCs w:val="18"/>
                <w:color w:val="auto"/>
              </w:rPr>
            </w:pPr>
          </w:p>
        </w:tc>
        <w:tc>
          <w:tcPr>
            <w:tcW w:w="1140" w:type="dxa"/>
            <w:vAlign w:val="bottom"/>
          </w:tcPr>
          <w:p>
            <w:pPr>
              <w:jc w:val="right"/>
              <w:ind w:right="76"/>
              <w:spacing w:after="0"/>
              <w:rPr>
                <w:sz w:val="20"/>
                <w:szCs w:val="20"/>
                <w:color w:val="auto"/>
              </w:rPr>
            </w:pPr>
            <w:r>
              <w:rPr>
                <w:rFonts w:ascii="Arial" w:cs="Arial" w:eastAsia="Arial" w:hAnsi="Arial"/>
                <w:sz w:val="17"/>
                <w:szCs w:val="17"/>
                <w:color w:val="auto"/>
              </w:rPr>
              <w:t>(84)</w:t>
            </w:r>
          </w:p>
        </w:tc>
        <w:tc>
          <w:tcPr>
            <w:tcW w:w="0" w:type="dxa"/>
            <w:vAlign w:val="bottom"/>
          </w:tcPr>
          <w:p>
            <w:pPr>
              <w:spacing w:after="0"/>
              <w:rPr>
                <w:sz w:val="1"/>
                <w:szCs w:val="1"/>
                <w:color w:val="auto"/>
              </w:rPr>
            </w:pPr>
          </w:p>
        </w:tc>
      </w:tr>
      <w:tr>
        <w:trPr>
          <w:trHeight w:val="237"/>
        </w:trPr>
        <w:tc>
          <w:tcPr>
            <w:tcW w:w="448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Foreign</w:t>
            </w:r>
          </w:p>
        </w:tc>
        <w:tc>
          <w:tcPr>
            <w:tcW w:w="5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b w:val="1"/>
                <w:bCs w:val="1"/>
                <w:color w:val="00539B"/>
              </w:rPr>
              <w:t>(191)</w:t>
            </w:r>
          </w:p>
        </w:tc>
        <w:tc>
          <w:tcPr>
            <w:tcW w:w="5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(338)</w:t>
            </w:r>
          </w:p>
        </w:tc>
        <w:tc>
          <w:tcPr>
            <w:tcW w:w="5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96"/>
              <w:spacing w:after="0"/>
              <w:rPr>
                <w:sz w:val="20"/>
                <w:szCs w:val="20"/>
                <w:color w:val="auto"/>
              </w:rPr>
            </w:pPr>
            <w:r>
              <w:rPr>
                <w:rFonts w:ascii="Arial" w:cs="Arial" w:eastAsia="Arial" w:hAnsi="Arial"/>
                <w:sz w:val="17"/>
                <w:szCs w:val="17"/>
                <w:b w:val="1"/>
                <w:bCs w:val="1"/>
                <w:color w:val="00539B"/>
              </w:rPr>
              <w:t>(362)</w:t>
            </w:r>
          </w:p>
        </w:tc>
        <w:tc>
          <w:tcPr>
            <w:tcW w:w="5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76"/>
              <w:spacing w:after="0"/>
              <w:rPr>
                <w:sz w:val="20"/>
                <w:szCs w:val="20"/>
                <w:color w:val="auto"/>
              </w:rPr>
            </w:pPr>
            <w:r>
              <w:rPr>
                <w:rFonts w:ascii="Arial" w:cs="Arial" w:eastAsia="Arial" w:hAnsi="Arial"/>
                <w:sz w:val="17"/>
                <w:szCs w:val="17"/>
                <w:color w:val="auto"/>
              </w:rPr>
              <w:t>(536)</w:t>
            </w:r>
          </w:p>
        </w:tc>
        <w:tc>
          <w:tcPr>
            <w:tcW w:w="0" w:type="dxa"/>
            <w:vAlign w:val="bottom"/>
          </w:tcPr>
          <w:p>
            <w:pPr>
              <w:spacing w:after="0"/>
              <w:rPr>
                <w:sz w:val="1"/>
                <w:szCs w:val="1"/>
                <w:color w:val="auto"/>
              </w:rPr>
            </w:pPr>
          </w:p>
        </w:tc>
      </w:tr>
      <w:tr>
        <w:trPr>
          <w:trHeight w:val="223"/>
        </w:trPr>
        <w:tc>
          <w:tcPr>
            <w:tcW w:w="4480" w:type="dxa"/>
            <w:vAlign w:val="bottom"/>
            <w:tcBorders>
              <w:bottom w:val="single" w:sz="8" w:color="auto"/>
            </w:tcBorders>
          </w:tcPr>
          <w:p>
            <w:pPr>
              <w:ind w:left="240"/>
              <w:spacing w:after="0"/>
              <w:rPr>
                <w:sz w:val="20"/>
                <w:szCs w:val="20"/>
                <w:color w:val="auto"/>
              </w:rPr>
            </w:pPr>
            <w:r>
              <w:rPr>
                <w:rFonts w:ascii="Arial" w:cs="Arial" w:eastAsia="Arial" w:hAnsi="Arial"/>
                <w:sz w:val="17"/>
                <w:szCs w:val="17"/>
                <w:color w:val="auto"/>
              </w:rPr>
              <w:t>Total current tax expense</w:t>
            </w:r>
          </w:p>
        </w:tc>
        <w:tc>
          <w:tcPr>
            <w:tcW w:w="560" w:type="dxa"/>
            <w:vAlign w:val="bottom"/>
            <w:tcBorders>
              <w:bottom w:val="single" w:sz="8" w:color="auto"/>
            </w:tcBorders>
          </w:tcPr>
          <w:p>
            <w:pPr>
              <w:jc w:val="right"/>
              <w:ind w:right="356"/>
              <w:spacing w:after="0"/>
              <w:rPr>
                <w:sz w:val="20"/>
                <w:szCs w:val="20"/>
                <w:color w:val="auto"/>
              </w:rPr>
            </w:pPr>
            <w:r>
              <w:rPr>
                <w:rFonts w:ascii="Arial" w:cs="Arial" w:eastAsia="Arial" w:hAnsi="Arial"/>
                <w:sz w:val="17"/>
                <w:szCs w:val="17"/>
                <w:b w:val="1"/>
                <w:bCs w:val="1"/>
                <w:color w:val="00539B"/>
              </w:rPr>
              <w:t>$</w:t>
            </w:r>
          </w:p>
        </w:tc>
        <w:tc>
          <w:tcPr>
            <w:tcW w:w="114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b w:val="1"/>
                <w:bCs w:val="1"/>
                <w:color w:val="00539B"/>
              </w:rPr>
              <w:t>(386)</w:t>
            </w:r>
          </w:p>
        </w:tc>
        <w:tc>
          <w:tcPr>
            <w:tcW w:w="560" w:type="dxa"/>
            <w:vAlign w:val="bottom"/>
            <w:tcBorders>
              <w:bottom w:val="single" w:sz="8" w:color="auto"/>
            </w:tcBorders>
          </w:tcPr>
          <w:p>
            <w:pPr>
              <w:jc w:val="right"/>
              <w:ind w:right="376"/>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(1,028)</w:t>
            </w:r>
          </w:p>
        </w:tc>
        <w:tc>
          <w:tcPr>
            <w:tcW w:w="580" w:type="dxa"/>
            <w:vAlign w:val="bottom"/>
            <w:tcBorders>
              <w:bottom w:val="single" w:sz="8" w:color="auto"/>
            </w:tcBorders>
          </w:tcPr>
          <w:p>
            <w:pPr>
              <w:jc w:val="right"/>
              <w:ind w:right="376"/>
              <w:spacing w:after="0"/>
              <w:rPr>
                <w:sz w:val="20"/>
                <w:szCs w:val="20"/>
                <w:color w:val="auto"/>
              </w:rPr>
            </w:pPr>
            <w:r>
              <w:rPr>
                <w:rFonts w:ascii="Arial" w:cs="Arial" w:eastAsia="Arial" w:hAnsi="Arial"/>
                <w:sz w:val="17"/>
                <w:szCs w:val="17"/>
                <w:b w:val="1"/>
                <w:bCs w:val="1"/>
                <w:color w:val="00539B"/>
              </w:rPr>
              <w:t>$</w:t>
            </w:r>
          </w:p>
        </w:tc>
        <w:tc>
          <w:tcPr>
            <w:tcW w:w="1120" w:type="dxa"/>
            <w:vAlign w:val="bottom"/>
            <w:tcBorders>
              <w:bottom w:val="single" w:sz="8" w:color="auto"/>
            </w:tcBorders>
          </w:tcPr>
          <w:p>
            <w:pPr>
              <w:jc w:val="right"/>
              <w:ind w:right="96"/>
              <w:spacing w:after="0"/>
              <w:rPr>
                <w:sz w:val="20"/>
                <w:szCs w:val="20"/>
                <w:color w:val="auto"/>
              </w:rPr>
            </w:pPr>
            <w:r>
              <w:rPr>
                <w:rFonts w:ascii="Arial" w:cs="Arial" w:eastAsia="Arial" w:hAnsi="Arial"/>
                <w:sz w:val="17"/>
                <w:szCs w:val="17"/>
                <w:b w:val="1"/>
                <w:bCs w:val="1"/>
                <w:color w:val="00539B"/>
              </w:rPr>
              <w:t>(840)</w:t>
            </w:r>
          </w:p>
        </w:tc>
        <w:tc>
          <w:tcPr>
            <w:tcW w:w="540" w:type="dxa"/>
            <w:vAlign w:val="bottom"/>
            <w:tcBorders>
              <w:bottom w:val="single" w:sz="8" w:color="auto"/>
            </w:tcBorders>
          </w:tcPr>
          <w:p>
            <w:pPr>
              <w:jc w:val="right"/>
              <w:ind w:right="356"/>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tcPr>
          <w:p>
            <w:pPr>
              <w:jc w:val="right"/>
              <w:ind w:right="76"/>
              <w:spacing w:after="0"/>
              <w:rPr>
                <w:sz w:val="20"/>
                <w:szCs w:val="20"/>
                <w:color w:val="auto"/>
              </w:rPr>
            </w:pPr>
            <w:r>
              <w:rPr>
                <w:rFonts w:ascii="Arial" w:cs="Arial" w:eastAsia="Arial" w:hAnsi="Arial"/>
                <w:sz w:val="17"/>
                <w:szCs w:val="17"/>
                <w:color w:val="auto"/>
              </w:rPr>
              <w:t>(1,475)</w:t>
            </w:r>
          </w:p>
        </w:tc>
        <w:tc>
          <w:tcPr>
            <w:tcW w:w="0" w:type="dxa"/>
            <w:vAlign w:val="bottom"/>
          </w:tcPr>
          <w:p>
            <w:pPr>
              <w:spacing w:after="0"/>
              <w:rPr>
                <w:sz w:val="1"/>
                <w:szCs w:val="1"/>
                <w:color w:val="auto"/>
              </w:rPr>
            </w:pPr>
          </w:p>
        </w:tc>
      </w:tr>
      <w:tr>
        <w:trPr>
          <w:trHeight w:val="202"/>
        </w:trPr>
        <w:tc>
          <w:tcPr>
            <w:tcW w:w="4480" w:type="dxa"/>
            <w:vAlign w:val="bottom"/>
          </w:tcPr>
          <w:p>
            <w:pPr>
              <w:ind w:left="20"/>
              <w:spacing w:after="0"/>
              <w:rPr>
                <w:sz w:val="20"/>
                <w:szCs w:val="20"/>
                <w:color w:val="auto"/>
              </w:rPr>
            </w:pPr>
            <w:r>
              <w:rPr>
                <w:rFonts w:ascii="Arial" w:cs="Arial" w:eastAsia="Arial" w:hAnsi="Arial"/>
                <w:sz w:val="17"/>
                <w:szCs w:val="17"/>
                <w:b w:val="1"/>
                <w:bCs w:val="1"/>
                <w:color w:val="auto"/>
              </w:rPr>
              <w:t>Deferred</w:t>
            </w:r>
          </w:p>
        </w:tc>
        <w:tc>
          <w:tcPr>
            <w:tcW w:w="560" w:type="dxa"/>
            <w:vAlign w:val="bottom"/>
          </w:tcPr>
          <w:p>
            <w:pPr>
              <w:spacing w:after="0"/>
              <w:rPr>
                <w:sz w:val="17"/>
                <w:szCs w:val="17"/>
                <w:color w:val="auto"/>
              </w:rPr>
            </w:pPr>
          </w:p>
        </w:tc>
        <w:tc>
          <w:tcPr>
            <w:tcW w:w="1140" w:type="dxa"/>
            <w:vAlign w:val="bottom"/>
            <w:vMerge w:val="restart"/>
          </w:tcPr>
          <w:p>
            <w:pPr>
              <w:jc w:val="right"/>
              <w:ind w:right="56"/>
              <w:spacing w:after="0"/>
              <w:rPr>
                <w:sz w:val="20"/>
                <w:szCs w:val="20"/>
                <w:color w:val="auto"/>
              </w:rPr>
            </w:pPr>
            <w:r>
              <w:rPr>
                <w:rFonts w:ascii="Arial" w:cs="Arial" w:eastAsia="Arial" w:hAnsi="Arial"/>
                <w:sz w:val="17"/>
                <w:szCs w:val="17"/>
                <w:b w:val="1"/>
                <w:bCs w:val="1"/>
                <w:color w:val="00539B"/>
              </w:rPr>
              <w:t>(5)</w:t>
            </w:r>
          </w:p>
        </w:tc>
        <w:tc>
          <w:tcPr>
            <w:tcW w:w="5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20" w:type="dxa"/>
            <w:vAlign w:val="bottom"/>
            <w:vMerge w:val="restart"/>
          </w:tcPr>
          <w:p>
            <w:pPr>
              <w:jc w:val="right"/>
              <w:ind w:right="96"/>
              <w:spacing w:after="0"/>
              <w:rPr>
                <w:sz w:val="20"/>
                <w:szCs w:val="20"/>
                <w:color w:val="auto"/>
              </w:rPr>
            </w:pPr>
            <w:r>
              <w:rPr>
                <w:rFonts w:ascii="Arial" w:cs="Arial" w:eastAsia="Arial" w:hAnsi="Arial"/>
                <w:sz w:val="17"/>
                <w:szCs w:val="17"/>
                <w:b w:val="1"/>
                <w:bCs w:val="1"/>
                <w:color w:val="00539B"/>
              </w:rPr>
              <w:t>(19)</w:t>
            </w:r>
          </w:p>
        </w:tc>
        <w:tc>
          <w:tcPr>
            <w:tcW w:w="5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480" w:type="dxa"/>
            <w:vAlign w:val="bottom"/>
          </w:tcPr>
          <w:p>
            <w:pPr>
              <w:ind w:left="220"/>
              <w:spacing w:after="0"/>
              <w:rPr>
                <w:sz w:val="20"/>
                <w:szCs w:val="20"/>
                <w:color w:val="auto"/>
              </w:rPr>
            </w:pPr>
            <w:r>
              <w:rPr>
                <w:rFonts w:ascii="Arial" w:cs="Arial" w:eastAsia="Arial" w:hAnsi="Arial"/>
                <w:sz w:val="17"/>
                <w:szCs w:val="17"/>
                <w:color w:val="auto"/>
              </w:rPr>
              <w:t>Federal</w:t>
            </w:r>
          </w:p>
        </w:tc>
        <w:tc>
          <w:tcPr>
            <w:tcW w:w="56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tcPr>
          <w:p>
            <w:pPr>
              <w:jc w:val="right"/>
              <w:ind w:right="36"/>
              <w:spacing w:after="0"/>
              <w:rPr>
                <w:sz w:val="20"/>
                <w:szCs w:val="20"/>
                <w:color w:val="auto"/>
              </w:rPr>
            </w:pPr>
            <w:r>
              <w:rPr>
                <w:rFonts w:ascii="Arial" w:cs="Arial" w:eastAsia="Arial" w:hAnsi="Arial"/>
                <w:sz w:val="17"/>
                <w:szCs w:val="17"/>
                <w:color w:val="auto"/>
              </w:rPr>
              <w:t>(231)</w:t>
            </w:r>
          </w:p>
        </w:tc>
        <w:tc>
          <w:tcPr>
            <w:tcW w:w="58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tcPr>
          <w:p>
            <w:pPr>
              <w:jc w:val="right"/>
              <w:ind w:right="136"/>
              <w:spacing w:after="0"/>
              <w:rPr>
                <w:sz w:val="20"/>
                <w:szCs w:val="20"/>
                <w:color w:val="auto"/>
              </w:rPr>
            </w:pPr>
            <w:r>
              <w:rPr>
                <w:rFonts w:ascii="Arial" w:cs="Arial" w:eastAsia="Arial" w:hAnsi="Arial"/>
                <w:sz w:val="17"/>
                <w:szCs w:val="17"/>
                <w:color w:val="auto"/>
              </w:rPr>
              <w:t>1,982</w:t>
            </w:r>
          </w:p>
        </w:tc>
        <w:tc>
          <w:tcPr>
            <w:tcW w:w="0" w:type="dxa"/>
            <w:vAlign w:val="bottom"/>
          </w:tcPr>
          <w:p>
            <w:pPr>
              <w:spacing w:after="0"/>
              <w:rPr>
                <w:sz w:val="1"/>
                <w:szCs w:val="1"/>
                <w:color w:val="auto"/>
              </w:rPr>
            </w:pPr>
          </w:p>
        </w:tc>
      </w:tr>
      <w:tr>
        <w:trPr>
          <w:trHeight w:val="227"/>
        </w:trPr>
        <w:tc>
          <w:tcPr>
            <w:tcW w:w="4480" w:type="dxa"/>
            <w:vAlign w:val="bottom"/>
          </w:tcPr>
          <w:p>
            <w:pPr>
              <w:ind w:left="220"/>
              <w:spacing w:after="0"/>
              <w:rPr>
                <w:sz w:val="20"/>
                <w:szCs w:val="20"/>
                <w:color w:val="auto"/>
              </w:rPr>
            </w:pPr>
            <w:r>
              <w:rPr>
                <w:rFonts w:ascii="Arial" w:cs="Arial" w:eastAsia="Arial" w:hAnsi="Arial"/>
                <w:sz w:val="17"/>
                <w:szCs w:val="17"/>
                <w:color w:val="auto"/>
              </w:rPr>
              <w:t>State and Local</w:t>
            </w:r>
          </w:p>
        </w:tc>
        <w:tc>
          <w:tcPr>
            <w:tcW w:w="560" w:type="dxa"/>
            <w:vAlign w:val="bottom"/>
          </w:tcPr>
          <w:p>
            <w:pPr>
              <w:spacing w:after="0"/>
              <w:rPr>
                <w:sz w:val="19"/>
                <w:szCs w:val="19"/>
                <w:color w:val="auto"/>
              </w:rPr>
            </w:pPr>
          </w:p>
        </w:tc>
        <w:tc>
          <w:tcPr>
            <w:tcW w:w="1140" w:type="dxa"/>
            <w:vAlign w:val="bottom"/>
          </w:tcPr>
          <w:p>
            <w:pPr>
              <w:jc w:val="right"/>
              <w:ind w:right="56"/>
              <w:spacing w:after="0"/>
              <w:rPr>
                <w:sz w:val="20"/>
                <w:szCs w:val="20"/>
                <w:color w:val="auto"/>
              </w:rPr>
            </w:pPr>
            <w:r>
              <w:rPr>
                <w:rFonts w:ascii="Arial" w:cs="Arial" w:eastAsia="Arial" w:hAnsi="Arial"/>
                <w:sz w:val="17"/>
                <w:szCs w:val="17"/>
                <w:b w:val="1"/>
                <w:bCs w:val="1"/>
                <w:color w:val="00539B"/>
              </w:rPr>
              <w:t>(3)</w:t>
            </w:r>
          </w:p>
        </w:tc>
        <w:tc>
          <w:tcPr>
            <w:tcW w:w="560" w:type="dxa"/>
            <w:vAlign w:val="bottom"/>
          </w:tcPr>
          <w:p>
            <w:pPr>
              <w:spacing w:after="0"/>
              <w:rPr>
                <w:sz w:val="19"/>
                <w:szCs w:val="19"/>
                <w:color w:val="auto"/>
              </w:rPr>
            </w:pPr>
          </w:p>
        </w:tc>
        <w:tc>
          <w:tcPr>
            <w:tcW w:w="1120" w:type="dxa"/>
            <w:vAlign w:val="bottom"/>
          </w:tcPr>
          <w:p>
            <w:pPr>
              <w:jc w:val="right"/>
              <w:ind w:right="36"/>
              <w:spacing w:after="0"/>
              <w:rPr>
                <w:sz w:val="20"/>
                <w:szCs w:val="20"/>
                <w:color w:val="auto"/>
              </w:rPr>
            </w:pPr>
            <w:r>
              <w:rPr>
                <w:rFonts w:ascii="Arial" w:cs="Arial" w:eastAsia="Arial" w:hAnsi="Arial"/>
                <w:sz w:val="17"/>
                <w:szCs w:val="17"/>
                <w:color w:val="auto"/>
              </w:rPr>
              <w:t>5</w:t>
            </w:r>
          </w:p>
        </w:tc>
        <w:tc>
          <w:tcPr>
            <w:tcW w:w="580" w:type="dxa"/>
            <w:vAlign w:val="bottom"/>
          </w:tcPr>
          <w:p>
            <w:pPr>
              <w:spacing w:after="0"/>
              <w:rPr>
                <w:sz w:val="19"/>
                <w:szCs w:val="19"/>
                <w:color w:val="auto"/>
              </w:rPr>
            </w:pPr>
          </w:p>
        </w:tc>
        <w:tc>
          <w:tcPr>
            <w:tcW w:w="1120" w:type="dxa"/>
            <w:vAlign w:val="bottom"/>
          </w:tcPr>
          <w:p>
            <w:pPr>
              <w:jc w:val="right"/>
              <w:ind w:right="96"/>
              <w:spacing w:after="0"/>
              <w:rPr>
                <w:sz w:val="20"/>
                <w:szCs w:val="20"/>
                <w:color w:val="auto"/>
              </w:rPr>
            </w:pPr>
            <w:r>
              <w:rPr>
                <w:rFonts w:ascii="Arial" w:cs="Arial" w:eastAsia="Arial" w:hAnsi="Arial"/>
                <w:sz w:val="17"/>
                <w:szCs w:val="17"/>
                <w:b w:val="1"/>
                <w:bCs w:val="1"/>
                <w:color w:val="00539B"/>
              </w:rPr>
              <w:t>(6)</w:t>
            </w:r>
          </w:p>
        </w:tc>
        <w:tc>
          <w:tcPr>
            <w:tcW w:w="540" w:type="dxa"/>
            <w:vAlign w:val="bottom"/>
          </w:tcPr>
          <w:p>
            <w:pPr>
              <w:spacing w:after="0"/>
              <w:rPr>
                <w:sz w:val="19"/>
                <w:szCs w:val="19"/>
                <w:color w:val="auto"/>
              </w:rPr>
            </w:pPr>
          </w:p>
        </w:tc>
        <w:tc>
          <w:tcPr>
            <w:tcW w:w="1140" w:type="dxa"/>
            <w:vAlign w:val="bottom"/>
          </w:tcPr>
          <w:p>
            <w:pPr>
              <w:jc w:val="right"/>
              <w:ind w:right="136"/>
              <w:spacing w:after="0"/>
              <w:rPr>
                <w:sz w:val="20"/>
                <w:szCs w:val="20"/>
                <w:color w:val="auto"/>
              </w:rPr>
            </w:pPr>
            <w:r>
              <w:rPr>
                <w:rFonts w:ascii="Arial" w:cs="Arial" w:eastAsia="Arial" w:hAnsi="Arial"/>
                <w:sz w:val="17"/>
                <w:szCs w:val="17"/>
                <w:color w:val="auto"/>
              </w:rPr>
              <w:t>78</w:t>
            </w:r>
          </w:p>
        </w:tc>
        <w:tc>
          <w:tcPr>
            <w:tcW w:w="0" w:type="dxa"/>
            <w:vAlign w:val="bottom"/>
          </w:tcPr>
          <w:p>
            <w:pPr>
              <w:spacing w:after="0"/>
              <w:rPr>
                <w:sz w:val="1"/>
                <w:szCs w:val="1"/>
                <w:color w:val="auto"/>
              </w:rPr>
            </w:pPr>
          </w:p>
        </w:tc>
      </w:tr>
      <w:tr>
        <w:trPr>
          <w:trHeight w:val="226"/>
        </w:trPr>
        <w:tc>
          <w:tcPr>
            <w:tcW w:w="448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Foreign</w:t>
            </w:r>
          </w:p>
        </w:tc>
        <w:tc>
          <w:tcPr>
            <w:tcW w:w="5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b w:val="1"/>
                <w:bCs w:val="1"/>
                <w:color w:val="00539B"/>
              </w:rPr>
              <w:t>(73)</w:t>
            </w:r>
          </w:p>
        </w:tc>
        <w:tc>
          <w:tcPr>
            <w:tcW w:w="5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23</w:t>
            </w:r>
          </w:p>
        </w:tc>
        <w:tc>
          <w:tcPr>
            <w:tcW w:w="5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96"/>
              <w:spacing w:after="0"/>
              <w:rPr>
                <w:sz w:val="20"/>
                <w:szCs w:val="20"/>
                <w:color w:val="auto"/>
              </w:rPr>
            </w:pPr>
            <w:r>
              <w:rPr>
                <w:rFonts w:ascii="Arial" w:cs="Arial" w:eastAsia="Arial" w:hAnsi="Arial"/>
                <w:sz w:val="17"/>
                <w:szCs w:val="17"/>
                <w:b w:val="1"/>
                <w:bCs w:val="1"/>
                <w:color w:val="00539B"/>
              </w:rPr>
              <w:t>(73)</w:t>
            </w:r>
          </w:p>
        </w:tc>
        <w:tc>
          <w:tcPr>
            <w:tcW w:w="5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76"/>
              <w:spacing w:after="0"/>
              <w:rPr>
                <w:sz w:val="20"/>
                <w:szCs w:val="20"/>
                <w:color w:val="auto"/>
              </w:rPr>
            </w:pPr>
            <w:r>
              <w:rPr>
                <w:rFonts w:ascii="Arial" w:cs="Arial" w:eastAsia="Arial" w:hAnsi="Arial"/>
                <w:sz w:val="17"/>
                <w:szCs w:val="17"/>
                <w:color w:val="auto"/>
              </w:rPr>
              <w:t>(23)</w:t>
            </w:r>
          </w:p>
        </w:tc>
        <w:tc>
          <w:tcPr>
            <w:tcW w:w="0" w:type="dxa"/>
            <w:vAlign w:val="bottom"/>
          </w:tcPr>
          <w:p>
            <w:pPr>
              <w:spacing w:after="0"/>
              <w:rPr>
                <w:sz w:val="1"/>
                <w:szCs w:val="1"/>
                <w:color w:val="auto"/>
              </w:rPr>
            </w:pPr>
          </w:p>
        </w:tc>
      </w:tr>
      <w:tr>
        <w:trPr>
          <w:trHeight w:val="220"/>
        </w:trPr>
        <w:tc>
          <w:tcPr>
            <w:tcW w:w="4480" w:type="dxa"/>
            <w:vAlign w:val="bottom"/>
            <w:tcBorders>
              <w:bottom w:val="single" w:sz="8" w:color="auto"/>
            </w:tcBorders>
          </w:tcPr>
          <w:p>
            <w:pPr>
              <w:ind w:left="240"/>
              <w:spacing w:after="0"/>
              <w:rPr>
                <w:sz w:val="20"/>
                <w:szCs w:val="20"/>
                <w:color w:val="auto"/>
              </w:rPr>
            </w:pPr>
            <w:r>
              <w:rPr>
                <w:rFonts w:ascii="Arial" w:cs="Arial" w:eastAsia="Arial" w:hAnsi="Arial"/>
                <w:sz w:val="17"/>
                <w:szCs w:val="17"/>
                <w:color w:val="auto"/>
              </w:rPr>
              <w:t>Total deferred tax benefit (expense)</w:t>
            </w:r>
          </w:p>
        </w:tc>
        <w:tc>
          <w:tcPr>
            <w:tcW w:w="560" w:type="dxa"/>
            <w:vAlign w:val="bottom"/>
            <w:tcBorders>
              <w:bottom w:val="single" w:sz="8" w:color="auto"/>
            </w:tcBorders>
          </w:tcPr>
          <w:p>
            <w:pPr>
              <w:jc w:val="right"/>
              <w:ind w:right="356"/>
              <w:spacing w:after="0"/>
              <w:rPr>
                <w:sz w:val="20"/>
                <w:szCs w:val="20"/>
                <w:color w:val="auto"/>
              </w:rPr>
            </w:pPr>
            <w:r>
              <w:rPr>
                <w:rFonts w:ascii="Arial" w:cs="Arial" w:eastAsia="Arial" w:hAnsi="Arial"/>
                <w:sz w:val="17"/>
                <w:szCs w:val="17"/>
                <w:b w:val="1"/>
                <w:bCs w:val="1"/>
                <w:color w:val="00539B"/>
              </w:rPr>
              <w:t>$</w:t>
            </w:r>
          </w:p>
        </w:tc>
        <w:tc>
          <w:tcPr>
            <w:tcW w:w="114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b w:val="1"/>
                <w:bCs w:val="1"/>
                <w:color w:val="00539B"/>
              </w:rPr>
              <w:t>(81)</w:t>
            </w:r>
          </w:p>
        </w:tc>
        <w:tc>
          <w:tcPr>
            <w:tcW w:w="560" w:type="dxa"/>
            <w:vAlign w:val="bottom"/>
            <w:tcBorders>
              <w:bottom w:val="single" w:sz="8" w:color="auto"/>
            </w:tcBorders>
          </w:tcPr>
          <w:p>
            <w:pPr>
              <w:jc w:val="right"/>
              <w:ind w:right="376"/>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(203)</w:t>
            </w:r>
          </w:p>
        </w:tc>
        <w:tc>
          <w:tcPr>
            <w:tcW w:w="580" w:type="dxa"/>
            <w:vAlign w:val="bottom"/>
            <w:tcBorders>
              <w:bottom w:val="single" w:sz="8" w:color="auto"/>
            </w:tcBorders>
          </w:tcPr>
          <w:p>
            <w:pPr>
              <w:jc w:val="right"/>
              <w:ind w:right="376"/>
              <w:spacing w:after="0"/>
              <w:rPr>
                <w:sz w:val="20"/>
                <w:szCs w:val="20"/>
                <w:color w:val="auto"/>
              </w:rPr>
            </w:pPr>
            <w:r>
              <w:rPr>
                <w:rFonts w:ascii="Arial" w:cs="Arial" w:eastAsia="Arial" w:hAnsi="Arial"/>
                <w:sz w:val="17"/>
                <w:szCs w:val="17"/>
                <w:b w:val="1"/>
                <w:bCs w:val="1"/>
                <w:color w:val="00539B"/>
              </w:rPr>
              <w:t>$</w:t>
            </w:r>
          </w:p>
        </w:tc>
        <w:tc>
          <w:tcPr>
            <w:tcW w:w="1120" w:type="dxa"/>
            <w:vAlign w:val="bottom"/>
            <w:tcBorders>
              <w:bottom w:val="single" w:sz="8" w:color="auto"/>
            </w:tcBorders>
          </w:tcPr>
          <w:p>
            <w:pPr>
              <w:jc w:val="right"/>
              <w:ind w:right="96"/>
              <w:spacing w:after="0"/>
              <w:rPr>
                <w:sz w:val="20"/>
                <w:szCs w:val="20"/>
                <w:color w:val="auto"/>
              </w:rPr>
            </w:pPr>
            <w:r>
              <w:rPr>
                <w:rFonts w:ascii="Arial" w:cs="Arial" w:eastAsia="Arial" w:hAnsi="Arial"/>
                <w:sz w:val="17"/>
                <w:szCs w:val="17"/>
                <w:b w:val="1"/>
                <w:bCs w:val="1"/>
                <w:color w:val="00539B"/>
              </w:rPr>
              <w:t>(98)</w:t>
            </w:r>
          </w:p>
        </w:tc>
        <w:tc>
          <w:tcPr>
            <w:tcW w:w="540" w:type="dxa"/>
            <w:vAlign w:val="bottom"/>
            <w:tcBorders>
              <w:bottom w:val="single" w:sz="8" w:color="auto"/>
            </w:tcBorders>
          </w:tcPr>
          <w:p>
            <w:pPr>
              <w:jc w:val="right"/>
              <w:ind w:right="356"/>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tcPr>
          <w:p>
            <w:pPr>
              <w:jc w:val="right"/>
              <w:ind w:right="136"/>
              <w:spacing w:after="0"/>
              <w:rPr>
                <w:sz w:val="20"/>
                <w:szCs w:val="20"/>
                <w:color w:val="auto"/>
              </w:rPr>
            </w:pPr>
            <w:r>
              <w:rPr>
                <w:rFonts w:ascii="Arial" w:cs="Arial" w:eastAsia="Arial" w:hAnsi="Arial"/>
                <w:sz w:val="17"/>
                <w:szCs w:val="17"/>
                <w:color w:val="auto"/>
              </w:rPr>
              <w:t>2,037</w:t>
            </w:r>
          </w:p>
        </w:tc>
        <w:tc>
          <w:tcPr>
            <w:tcW w:w="0" w:type="dxa"/>
            <w:vAlign w:val="bottom"/>
          </w:tcPr>
          <w:p>
            <w:pPr>
              <w:spacing w:after="0"/>
              <w:rPr>
                <w:sz w:val="1"/>
                <w:szCs w:val="1"/>
                <w:color w:val="auto"/>
              </w:rPr>
            </w:pPr>
          </w:p>
        </w:tc>
      </w:tr>
      <w:tr>
        <w:trPr>
          <w:trHeight w:val="220"/>
        </w:trPr>
        <w:tc>
          <w:tcPr>
            <w:tcW w:w="4480" w:type="dxa"/>
            <w:vAlign w:val="bottom"/>
            <w:tcBorders>
              <w:bottom w:val="single" w:sz="8" w:color="auto"/>
            </w:tcBorders>
          </w:tcPr>
          <w:p>
            <w:pPr>
              <w:ind w:left="340"/>
              <w:spacing w:after="0"/>
              <w:rPr>
                <w:sz w:val="20"/>
                <w:szCs w:val="20"/>
                <w:color w:val="auto"/>
              </w:rPr>
            </w:pPr>
            <w:r>
              <w:rPr>
                <w:rFonts w:ascii="Arial" w:cs="Arial" w:eastAsia="Arial" w:hAnsi="Arial"/>
                <w:sz w:val="17"/>
                <w:szCs w:val="17"/>
                <w:b w:val="1"/>
                <w:bCs w:val="1"/>
                <w:color w:val="auto"/>
              </w:rPr>
              <w:t>Total income tax benefit (expense)</w:t>
            </w:r>
          </w:p>
        </w:tc>
        <w:tc>
          <w:tcPr>
            <w:tcW w:w="560" w:type="dxa"/>
            <w:vAlign w:val="bottom"/>
            <w:tcBorders>
              <w:bottom w:val="single" w:sz="8" w:color="auto"/>
            </w:tcBorders>
          </w:tcPr>
          <w:p>
            <w:pPr>
              <w:jc w:val="right"/>
              <w:ind w:right="356"/>
              <w:spacing w:after="0"/>
              <w:rPr>
                <w:sz w:val="20"/>
                <w:szCs w:val="20"/>
                <w:color w:val="auto"/>
              </w:rPr>
            </w:pPr>
            <w:r>
              <w:rPr>
                <w:rFonts w:ascii="Arial" w:cs="Arial" w:eastAsia="Arial" w:hAnsi="Arial"/>
                <w:sz w:val="17"/>
                <w:szCs w:val="17"/>
                <w:b w:val="1"/>
                <w:bCs w:val="1"/>
                <w:color w:val="00539B"/>
              </w:rPr>
              <w:t>$</w:t>
            </w:r>
          </w:p>
        </w:tc>
        <w:tc>
          <w:tcPr>
            <w:tcW w:w="114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b w:val="1"/>
                <w:bCs w:val="1"/>
                <w:color w:val="00539B"/>
              </w:rPr>
              <w:t>(467)</w:t>
            </w:r>
          </w:p>
        </w:tc>
        <w:tc>
          <w:tcPr>
            <w:tcW w:w="560" w:type="dxa"/>
            <w:vAlign w:val="bottom"/>
            <w:tcBorders>
              <w:bottom w:val="single" w:sz="8" w:color="auto"/>
            </w:tcBorders>
          </w:tcPr>
          <w:p>
            <w:pPr>
              <w:jc w:val="right"/>
              <w:ind w:right="376"/>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(1,231)</w:t>
            </w:r>
          </w:p>
        </w:tc>
        <w:tc>
          <w:tcPr>
            <w:tcW w:w="580" w:type="dxa"/>
            <w:vAlign w:val="bottom"/>
            <w:tcBorders>
              <w:bottom w:val="single" w:sz="8" w:color="auto"/>
            </w:tcBorders>
          </w:tcPr>
          <w:p>
            <w:pPr>
              <w:jc w:val="right"/>
              <w:ind w:right="376"/>
              <w:spacing w:after="0"/>
              <w:rPr>
                <w:sz w:val="20"/>
                <w:szCs w:val="20"/>
                <w:color w:val="auto"/>
              </w:rPr>
            </w:pPr>
            <w:r>
              <w:rPr>
                <w:rFonts w:ascii="Arial" w:cs="Arial" w:eastAsia="Arial" w:hAnsi="Arial"/>
                <w:sz w:val="17"/>
                <w:szCs w:val="17"/>
                <w:b w:val="1"/>
                <w:bCs w:val="1"/>
                <w:color w:val="00539B"/>
              </w:rPr>
              <w:t>$</w:t>
            </w:r>
          </w:p>
        </w:tc>
        <w:tc>
          <w:tcPr>
            <w:tcW w:w="1120" w:type="dxa"/>
            <w:vAlign w:val="bottom"/>
            <w:tcBorders>
              <w:bottom w:val="single" w:sz="8" w:color="auto"/>
            </w:tcBorders>
          </w:tcPr>
          <w:p>
            <w:pPr>
              <w:jc w:val="right"/>
              <w:ind w:right="96"/>
              <w:spacing w:after="0"/>
              <w:rPr>
                <w:sz w:val="20"/>
                <w:szCs w:val="20"/>
                <w:color w:val="auto"/>
              </w:rPr>
            </w:pPr>
            <w:r>
              <w:rPr>
                <w:rFonts w:ascii="Arial" w:cs="Arial" w:eastAsia="Arial" w:hAnsi="Arial"/>
                <w:sz w:val="17"/>
                <w:szCs w:val="17"/>
                <w:b w:val="1"/>
                <w:bCs w:val="1"/>
                <w:color w:val="00539B"/>
              </w:rPr>
              <w:t>(938)</w:t>
            </w:r>
          </w:p>
        </w:tc>
        <w:tc>
          <w:tcPr>
            <w:tcW w:w="540" w:type="dxa"/>
            <w:vAlign w:val="bottom"/>
            <w:tcBorders>
              <w:bottom w:val="single" w:sz="8" w:color="auto"/>
            </w:tcBorders>
          </w:tcPr>
          <w:p>
            <w:pPr>
              <w:jc w:val="right"/>
              <w:ind w:right="356"/>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tcPr>
          <w:p>
            <w:pPr>
              <w:jc w:val="right"/>
              <w:ind w:right="136"/>
              <w:spacing w:after="0"/>
              <w:rPr>
                <w:sz w:val="20"/>
                <w:szCs w:val="20"/>
                <w:color w:val="auto"/>
              </w:rPr>
            </w:pPr>
            <w:r>
              <w:rPr>
                <w:rFonts w:ascii="Arial" w:cs="Arial" w:eastAsia="Arial" w:hAnsi="Arial"/>
                <w:sz w:val="17"/>
                <w:szCs w:val="17"/>
                <w:color w:val="auto"/>
              </w:rPr>
              <w:t>562</w:t>
            </w:r>
          </w:p>
        </w:tc>
        <w:tc>
          <w:tcPr>
            <w:tcW w:w="0" w:type="dxa"/>
            <w:vAlign w:val="bottom"/>
          </w:tcPr>
          <w:p>
            <w:pPr>
              <w:spacing w:after="0"/>
              <w:rPr>
                <w:sz w:val="1"/>
                <w:szCs w:val="1"/>
                <w:color w:val="auto"/>
              </w:rPr>
            </w:pPr>
          </w:p>
        </w:tc>
      </w:tr>
      <w:tr>
        <w:trPr>
          <w:trHeight w:val="207"/>
        </w:trPr>
        <w:tc>
          <w:tcPr>
            <w:tcW w:w="44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Net income</w:t>
            </w:r>
          </w:p>
        </w:tc>
        <w:tc>
          <w:tcPr>
            <w:tcW w:w="560" w:type="dxa"/>
            <w:vAlign w:val="bottom"/>
            <w:tcBorders>
              <w:bottom w:val="single" w:sz="8" w:color="auto"/>
            </w:tcBorders>
          </w:tcPr>
          <w:p>
            <w:pPr>
              <w:jc w:val="right"/>
              <w:ind w:right="356"/>
              <w:spacing w:after="0"/>
              <w:rPr>
                <w:sz w:val="20"/>
                <w:szCs w:val="20"/>
                <w:color w:val="auto"/>
              </w:rPr>
            </w:pPr>
            <w:r>
              <w:rPr>
                <w:rFonts w:ascii="Arial" w:cs="Arial" w:eastAsia="Arial" w:hAnsi="Arial"/>
                <w:sz w:val="17"/>
                <w:szCs w:val="17"/>
                <w:b w:val="1"/>
                <w:bCs w:val="1"/>
                <w:color w:val="00539B"/>
              </w:rPr>
              <w:t>$</w:t>
            </w:r>
          </w:p>
        </w:tc>
        <w:tc>
          <w:tcPr>
            <w:tcW w:w="114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b w:val="1"/>
                <w:bCs w:val="1"/>
                <w:color w:val="00539B"/>
              </w:rPr>
              <w:t>860</w:t>
            </w:r>
          </w:p>
        </w:tc>
        <w:tc>
          <w:tcPr>
            <w:tcW w:w="560" w:type="dxa"/>
            <w:vAlign w:val="bottom"/>
            <w:tcBorders>
              <w:bottom w:val="single" w:sz="8" w:color="auto"/>
            </w:tcBorders>
          </w:tcPr>
          <w:p>
            <w:pPr>
              <w:jc w:val="right"/>
              <w:ind w:right="376"/>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3,755</w:t>
            </w:r>
          </w:p>
        </w:tc>
        <w:tc>
          <w:tcPr>
            <w:tcW w:w="580" w:type="dxa"/>
            <w:vAlign w:val="bottom"/>
            <w:tcBorders>
              <w:bottom w:val="single" w:sz="8" w:color="auto"/>
            </w:tcBorders>
          </w:tcPr>
          <w:p>
            <w:pPr>
              <w:jc w:val="right"/>
              <w:ind w:right="376"/>
              <w:spacing w:after="0"/>
              <w:rPr>
                <w:sz w:val="20"/>
                <w:szCs w:val="20"/>
                <w:color w:val="auto"/>
              </w:rPr>
            </w:pPr>
            <w:r>
              <w:rPr>
                <w:rFonts w:ascii="Arial" w:cs="Arial" w:eastAsia="Arial" w:hAnsi="Arial"/>
                <w:sz w:val="17"/>
                <w:szCs w:val="17"/>
                <w:b w:val="1"/>
                <w:bCs w:val="1"/>
                <w:color w:val="00539B"/>
              </w:rPr>
              <w:t>$</w:t>
            </w:r>
          </w:p>
        </w:tc>
        <w:tc>
          <w:tcPr>
            <w:tcW w:w="1120" w:type="dxa"/>
            <w:vAlign w:val="bottom"/>
            <w:tcBorders>
              <w:bottom w:val="single" w:sz="8" w:color="auto"/>
            </w:tcBorders>
          </w:tcPr>
          <w:p>
            <w:pPr>
              <w:jc w:val="right"/>
              <w:ind w:right="136"/>
              <w:spacing w:after="0"/>
              <w:rPr>
                <w:sz w:val="20"/>
                <w:szCs w:val="20"/>
                <w:color w:val="auto"/>
              </w:rPr>
            </w:pPr>
            <w:r>
              <w:rPr>
                <w:rFonts w:ascii="Arial" w:cs="Arial" w:eastAsia="Arial" w:hAnsi="Arial"/>
                <w:sz w:val="17"/>
                <w:szCs w:val="17"/>
                <w:b w:val="1"/>
                <w:bCs w:val="1"/>
                <w:color w:val="00539B"/>
              </w:rPr>
              <w:t>2,123</w:t>
            </w:r>
          </w:p>
        </w:tc>
        <w:tc>
          <w:tcPr>
            <w:tcW w:w="540" w:type="dxa"/>
            <w:vAlign w:val="bottom"/>
            <w:tcBorders>
              <w:bottom w:val="single" w:sz="8" w:color="auto"/>
            </w:tcBorders>
          </w:tcPr>
          <w:p>
            <w:pPr>
              <w:jc w:val="right"/>
              <w:ind w:right="356"/>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tcPr>
          <w:p>
            <w:pPr>
              <w:jc w:val="right"/>
              <w:ind w:right="136"/>
              <w:spacing w:after="0"/>
              <w:rPr>
                <w:sz w:val="20"/>
                <w:szCs w:val="20"/>
                <w:color w:val="auto"/>
              </w:rPr>
            </w:pPr>
            <w:r>
              <w:rPr>
                <w:rFonts w:ascii="Arial" w:cs="Arial" w:eastAsia="Arial" w:hAnsi="Arial"/>
                <w:sz w:val="17"/>
                <w:szCs w:val="17"/>
                <w:color w:val="auto"/>
              </w:rPr>
              <w:t>8,631</w:t>
            </w:r>
          </w:p>
        </w:tc>
        <w:tc>
          <w:tcPr>
            <w:tcW w:w="0" w:type="dxa"/>
            <w:vAlign w:val="bottom"/>
          </w:tcPr>
          <w:p>
            <w:pPr>
              <w:spacing w:after="0"/>
              <w:rPr>
                <w:sz w:val="1"/>
                <w:szCs w:val="1"/>
                <w:color w:val="auto"/>
              </w:rPr>
            </w:pPr>
          </w:p>
        </w:tc>
      </w:tr>
      <w:tr>
        <w:trPr>
          <w:trHeight w:val="220"/>
        </w:trPr>
        <w:tc>
          <w:tcPr>
            <w:tcW w:w="44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Worldwide effective tax rate</w:t>
            </w:r>
          </w:p>
        </w:tc>
        <w:tc>
          <w:tcPr>
            <w:tcW w:w="5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35 %</w:t>
            </w:r>
          </w:p>
        </w:tc>
        <w:tc>
          <w:tcPr>
            <w:tcW w:w="5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25 %</w:t>
            </w:r>
          </w:p>
        </w:tc>
        <w:tc>
          <w:tcPr>
            <w:tcW w:w="5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31 %</w:t>
            </w:r>
          </w:p>
        </w:tc>
        <w:tc>
          <w:tcPr>
            <w:tcW w:w="5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bl>
    <w:p>
      <w:pPr>
        <w:spacing w:after="0" w:line="315" w:lineRule="exact"/>
        <w:rPr>
          <w:sz w:val="20"/>
          <w:szCs w:val="20"/>
          <w:color w:val="auto"/>
        </w:rPr>
      </w:pPr>
    </w:p>
    <w:p>
      <w:pPr>
        <w:jc w:val="both"/>
        <w:ind w:firstLine="240"/>
        <w:spacing w:after="0" w:line="251" w:lineRule="auto"/>
        <w:rPr>
          <w:sz w:val="20"/>
          <w:szCs w:val="20"/>
          <w:color w:val="auto"/>
        </w:rPr>
      </w:pPr>
      <w:r>
        <w:rPr>
          <w:rFonts w:ascii="Arial" w:cs="Arial" w:eastAsia="Arial" w:hAnsi="Arial"/>
          <w:sz w:val="17"/>
          <w:szCs w:val="17"/>
          <w:color w:val="auto"/>
        </w:rPr>
        <w:t>The 35%, 25%, and 31% worldwide effective tax rates for the three months ended June 30, 2023, three months ended June 30, 2022, and six months ended June 30, 2023, respectively, are primarily driven by Occidental's jurisdictional mix of income. U.S. income is taxed at a U.S. federal statutory rate of 21%, while international income is subject to tax at statutory rates as high as 55%. These effective rates differ from the negative 7% tax rate for income from continuing operations for the six months ended June 30, 2022, which was impacted by a tax benefit associated with Occidental's legal entity reorganization as described below.</w:t>
      </w:r>
    </w:p>
    <w:p>
      <w:pPr>
        <w:spacing w:after="0" w:line="293" w:lineRule="exact"/>
        <w:rPr>
          <w:sz w:val="20"/>
          <w:szCs w:val="20"/>
          <w:color w:val="auto"/>
        </w:rPr>
      </w:pPr>
    </w:p>
    <w:p>
      <w:pPr>
        <w:spacing w:after="0"/>
        <w:rPr>
          <w:sz w:val="20"/>
          <w:szCs w:val="20"/>
          <w:color w:val="auto"/>
        </w:rPr>
      </w:pPr>
      <w:r>
        <w:rPr>
          <w:rFonts w:ascii="Arial" w:cs="Arial" w:eastAsia="Arial" w:hAnsi="Arial"/>
          <w:sz w:val="20"/>
          <w:szCs w:val="20"/>
          <w:b w:val="1"/>
          <w:bCs w:val="1"/>
          <w:color w:val="00539B"/>
        </w:rPr>
        <w:t>LEGAL ENTITY REORGANIZATION</w:t>
      </w:r>
    </w:p>
    <w:p>
      <w:pPr>
        <w:spacing w:after="0" w:line="28" w:lineRule="exact"/>
        <w:rPr>
          <w:sz w:val="20"/>
          <w:szCs w:val="20"/>
          <w:color w:val="auto"/>
        </w:rPr>
      </w:pPr>
    </w:p>
    <w:p>
      <w:pPr>
        <w:jc w:val="both"/>
        <w:ind w:firstLine="320"/>
        <w:spacing w:after="0" w:line="245" w:lineRule="auto"/>
        <w:rPr>
          <w:sz w:val="20"/>
          <w:szCs w:val="20"/>
          <w:color w:val="auto"/>
        </w:rPr>
      </w:pPr>
      <w:r>
        <w:rPr>
          <w:rFonts w:ascii="Arial" w:cs="Arial" w:eastAsia="Arial" w:hAnsi="Arial"/>
          <w:sz w:val="17"/>
          <w:szCs w:val="17"/>
          <w:color w:val="auto"/>
        </w:rPr>
        <w:t>To align Occidental’s legal entity structure with the nature of its business activities after completing the acquisition of Anadarko and subsequent large scale post-acquisition divestiture program, management undertook a legal entity reorganization that was completed in the first quarter of 2022.</w:t>
      </w:r>
    </w:p>
    <w:p>
      <w:pPr>
        <w:spacing w:after="0" w:line="1" w:lineRule="exact"/>
        <w:rPr>
          <w:sz w:val="20"/>
          <w:szCs w:val="20"/>
          <w:color w:val="auto"/>
        </w:rPr>
      </w:pPr>
    </w:p>
    <w:p>
      <w:pPr>
        <w:jc w:val="both"/>
        <w:ind w:firstLine="320"/>
        <w:spacing w:after="0" w:line="252" w:lineRule="auto"/>
        <w:rPr>
          <w:sz w:val="20"/>
          <w:szCs w:val="20"/>
          <w:color w:val="auto"/>
        </w:rPr>
      </w:pPr>
      <w:r>
        <w:rPr>
          <w:rFonts w:ascii="Arial" w:cs="Arial" w:eastAsia="Arial" w:hAnsi="Arial"/>
          <w:sz w:val="17"/>
          <w:szCs w:val="17"/>
          <w:color w:val="auto"/>
        </w:rPr>
        <w:t>As a result of this legal entity reorganization, management made an adjustment to the tax basis in a portion of its operating assets, thus reducing Occidental’s deferred tax liabilities. Accordingly, for the year ended December 31, 2022, Occidental recorded a tax benefit of $2.7 billion in connection with this reorganization. The timing of any reduction in Occidental’s future cash taxes as a result of this legal entity reorganization will be dependent on a number of factors, including prevailing commodity prices, capital activity level and production mix. The legal entity reorganization transaction is currently under IRS review as part of Occidental’s 2022 federal tax audit.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715962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25" w:right="339" w:bottom="1440" w:gutter="0" w:footer="0" w:header="0"/>
        </w:sectPr>
      </w:pPr>
    </w:p>
    <w:bookmarkStart w:id="18" w:name="page19"/>
    <w:bookmarkEnd w:id="18"/>
    <w:p>
      <w:pPr>
        <w:ind w:left="20"/>
        <w:spacing w:after="0"/>
        <w:rPr>
          <w:sz w:val="20"/>
          <w:szCs w:val="20"/>
          <w:color w:val="auto"/>
        </w:rPr>
      </w:pPr>
      <w:r>
        <w:rPr>
          <w:rFonts w:ascii="Arial" w:cs="Arial" w:eastAsia="Arial" w:hAnsi="Arial"/>
          <w:sz w:val="25"/>
          <w:szCs w:val="25"/>
          <w:b w:val="1"/>
          <w:bCs w:val="1"/>
          <w:color w:val="00539B"/>
        </w:rPr>
        <w:t>NOTE 7 - ENVIRONMENTAL LIABILITIES AND EXPENDITURES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-180975</wp:posOffset>
            </wp:positionV>
            <wp:extent cx="713422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4225" cy="17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30480</wp:posOffset>
            </wp:positionV>
            <wp:extent cx="713422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pacing w:after="0" w:line="357" w:lineRule="exact"/>
        <w:rPr>
          <w:sz w:val="20"/>
          <w:szCs w:val="20"/>
          <w:color w:val="auto"/>
        </w:rPr>
      </w:pPr>
    </w:p>
    <w:p>
      <w:pPr>
        <w:jc w:val="both"/>
        <w:ind w:firstLine="240"/>
        <w:spacing w:after="0" w:line="252" w:lineRule="auto"/>
        <w:rPr>
          <w:sz w:val="20"/>
          <w:szCs w:val="20"/>
          <w:color w:val="auto"/>
        </w:rPr>
      </w:pPr>
      <w:r>
        <w:rPr>
          <w:rFonts w:ascii="Arial" w:cs="Arial" w:eastAsia="Arial" w:hAnsi="Arial"/>
          <w:sz w:val="17"/>
          <w:szCs w:val="17"/>
          <w:color w:val="auto"/>
        </w:rPr>
        <w:t>Occidental and its subsidiaries and their respective operations are subject to stringent federal, regional, state, provincial, tribal, local and international laws and regulations related to improving or maintaining environmental quality. The laws that require or address environmental remediation, including CERCLA and similar federal, regional, state, provincial, tribal, local and international laws, may apply retroactively and regardless of fault, the legality of the original activities or the current ownership or control of sites. Occidental or certain of its subsidiaries participate in or actively monitor a range of remedial activities and government or private proceedings under these laws with respect to alleged past practices at Third-Party, Currently Operated, and Closed or Non-Operated Sites. Remedial activities may include one or more of the following: investigation involving sampling, modeling, risk assessment or monitoring; clean-up measures including removal, treatment or disposal; or operation and maintenance of remedial systems. The environmental proceedings seek funding or performance of remediation and, in some cases, compensation for alleged property damage, natural resource damages, punitive damages, civil penalties, injunctive relief and government oversight costs.</w:t>
      </w: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b w:val="1"/>
          <w:bCs w:val="1"/>
          <w:color w:val="00539B"/>
        </w:rPr>
        <w:t>ENVIRONMENTAL REMEDIATION</w:t>
      </w:r>
    </w:p>
    <w:p>
      <w:pPr>
        <w:spacing w:after="0" w:line="28" w:lineRule="exact"/>
        <w:rPr>
          <w:sz w:val="20"/>
          <w:szCs w:val="20"/>
          <w:color w:val="auto"/>
        </w:rPr>
      </w:pPr>
    </w:p>
    <w:p>
      <w:pPr>
        <w:jc w:val="both"/>
        <w:ind w:firstLine="240"/>
        <w:spacing w:after="0" w:line="249" w:lineRule="auto"/>
        <w:rPr>
          <w:sz w:val="20"/>
          <w:szCs w:val="20"/>
          <w:color w:val="auto"/>
        </w:rPr>
      </w:pPr>
      <w:r>
        <w:rPr>
          <w:rFonts w:ascii="Arial" w:cs="Arial" w:eastAsia="Arial" w:hAnsi="Arial"/>
          <w:sz w:val="17"/>
          <w:szCs w:val="17"/>
          <w:color w:val="auto"/>
        </w:rPr>
        <w:t>As of June 30, 2023, certain Occidental subsidiaries participated in or monitored remedial activities or proceedings at 160 sites. The following table presents the current and non-current environmental remediation liabilities of such subsidiaries on a consolidated basis as of June 30, 2023. The current portion of $141 million is included in accrued liabilities and the remainder of $867 million is included in deferred credits and other liabilities - environmental remediation liabilities.</w:t>
      </w:r>
    </w:p>
    <w:p>
      <w:pPr>
        <w:spacing w:after="0" w:line="3" w:lineRule="exact"/>
        <w:rPr>
          <w:sz w:val="20"/>
          <w:szCs w:val="20"/>
          <w:color w:val="auto"/>
        </w:rPr>
      </w:pPr>
    </w:p>
    <w:p>
      <w:pPr>
        <w:jc w:val="both"/>
        <w:ind w:firstLine="240"/>
        <w:spacing w:after="0" w:line="254" w:lineRule="auto"/>
        <w:rPr>
          <w:sz w:val="20"/>
          <w:szCs w:val="20"/>
          <w:color w:val="auto"/>
        </w:rPr>
      </w:pPr>
      <w:r>
        <w:rPr>
          <w:rFonts w:ascii="Arial" w:cs="Arial" w:eastAsia="Arial" w:hAnsi="Arial"/>
          <w:sz w:val="17"/>
          <w:szCs w:val="17"/>
          <w:color w:val="auto"/>
        </w:rPr>
        <w:t>These environmental remediation sites are grouped into NPL Sites and the following three categories of non-NPL Sites—Third-Party Sites, Currently Operated Sites and Closed or Non-Operated Sites.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360" w:type="dxa"/>
            <w:vAlign w:val="bottom"/>
            <w:tcBorders>
              <w:top w:val="single" w:sz="8" w:color="auto"/>
            </w:tcBorders>
            <w:vMerge w:val="restart"/>
          </w:tcPr>
          <w:p>
            <w:pPr>
              <w:ind w:left="20"/>
              <w:spacing w:after="0"/>
              <w:rPr>
                <w:sz w:val="20"/>
                <w:szCs w:val="20"/>
                <w:color w:val="auto"/>
              </w:rPr>
            </w:pPr>
            <w:r>
              <w:rPr>
                <w:rFonts w:ascii="Arial" w:cs="Arial" w:eastAsia="Arial" w:hAnsi="Arial"/>
                <w:sz w:val="17"/>
                <w:szCs w:val="17"/>
                <w:i w:val="1"/>
                <w:iCs w:val="1"/>
                <w:color w:val="auto"/>
              </w:rPr>
              <w:t>millions, except number of sites</w:t>
            </w:r>
          </w:p>
        </w:tc>
        <w:tc>
          <w:tcPr>
            <w:tcW w:w="4300" w:type="dxa"/>
            <w:vAlign w:val="bottom"/>
            <w:tcBorders>
              <w:top w:val="single" w:sz="8" w:color="auto"/>
            </w:tcBorders>
            <w:vMerge w:val="restart"/>
          </w:tcPr>
          <w:p>
            <w:pPr>
              <w:jc w:val="right"/>
              <w:spacing w:after="0"/>
              <w:rPr>
                <w:sz w:val="20"/>
                <w:szCs w:val="20"/>
                <w:color w:val="auto"/>
              </w:rPr>
            </w:pPr>
            <w:r>
              <w:rPr>
                <w:rFonts w:ascii="Arial" w:cs="Arial" w:eastAsia="Arial" w:hAnsi="Arial"/>
                <w:sz w:val="17"/>
                <w:szCs w:val="17"/>
                <w:b w:val="1"/>
                <w:bCs w:val="1"/>
                <w:color w:val="auto"/>
              </w:rPr>
              <w:t>Number of Sites</w:t>
            </w:r>
          </w:p>
        </w:tc>
        <w:tc>
          <w:tcPr>
            <w:tcW w:w="34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jc w:val="right"/>
              <w:spacing w:after="0" w:line="173" w:lineRule="exact"/>
              <w:rPr>
                <w:sz w:val="20"/>
                <w:szCs w:val="20"/>
                <w:color w:val="auto"/>
              </w:rPr>
            </w:pPr>
            <w:r>
              <w:rPr>
                <w:rFonts w:ascii="Arial" w:cs="Arial" w:eastAsia="Arial" w:hAnsi="Arial"/>
                <w:sz w:val="17"/>
                <w:szCs w:val="17"/>
                <w:b w:val="1"/>
                <w:bCs w:val="1"/>
                <w:color w:val="auto"/>
              </w:rPr>
              <w:t>Remediation</w:t>
            </w:r>
          </w:p>
        </w:tc>
        <w:tc>
          <w:tcPr>
            <w:tcW w:w="0" w:type="dxa"/>
            <w:vAlign w:val="bottom"/>
          </w:tcPr>
          <w:p>
            <w:pPr>
              <w:spacing w:after="0"/>
              <w:rPr>
                <w:sz w:val="1"/>
                <w:szCs w:val="1"/>
                <w:color w:val="auto"/>
              </w:rPr>
            </w:pPr>
          </w:p>
        </w:tc>
      </w:tr>
      <w:tr>
        <w:trPr>
          <w:trHeight w:val="227"/>
        </w:trPr>
        <w:tc>
          <w:tcPr>
            <w:tcW w:w="5360" w:type="dxa"/>
            <w:vAlign w:val="bottom"/>
            <w:tcBorders>
              <w:bottom w:val="single" w:sz="8" w:color="auto"/>
            </w:tcBorders>
            <w:vMerge w:val="continue"/>
          </w:tcPr>
          <w:p>
            <w:pPr>
              <w:spacing w:after="0"/>
              <w:rPr>
                <w:sz w:val="19"/>
                <w:szCs w:val="19"/>
                <w:color w:val="auto"/>
              </w:rPr>
            </w:pPr>
          </w:p>
        </w:tc>
        <w:tc>
          <w:tcPr>
            <w:tcW w:w="4300" w:type="dxa"/>
            <w:vAlign w:val="bottom"/>
            <w:tcBorders>
              <w:bottom w:val="single" w:sz="8" w:color="auto"/>
            </w:tcBorders>
            <w:vMerge w:val="continue"/>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Balance</w:t>
            </w:r>
          </w:p>
        </w:tc>
        <w:tc>
          <w:tcPr>
            <w:tcW w:w="0" w:type="dxa"/>
            <w:vAlign w:val="bottom"/>
          </w:tcPr>
          <w:p>
            <w:pPr>
              <w:spacing w:after="0"/>
              <w:rPr>
                <w:sz w:val="1"/>
                <w:szCs w:val="1"/>
                <w:color w:val="auto"/>
              </w:rPr>
            </w:pPr>
          </w:p>
        </w:tc>
      </w:tr>
      <w:tr>
        <w:trPr>
          <w:trHeight w:val="211"/>
        </w:trPr>
        <w:tc>
          <w:tcPr>
            <w:tcW w:w="5360" w:type="dxa"/>
            <w:vAlign w:val="bottom"/>
          </w:tcPr>
          <w:p>
            <w:pPr>
              <w:ind w:left="20"/>
              <w:spacing w:after="0"/>
              <w:rPr>
                <w:sz w:val="20"/>
                <w:szCs w:val="20"/>
                <w:color w:val="auto"/>
              </w:rPr>
            </w:pPr>
            <w:r>
              <w:rPr>
                <w:rFonts w:ascii="Arial" w:cs="Arial" w:eastAsia="Arial" w:hAnsi="Arial"/>
                <w:sz w:val="17"/>
                <w:szCs w:val="17"/>
                <w:color w:val="auto"/>
              </w:rPr>
              <w:t>NPL Sites</w:t>
            </w:r>
          </w:p>
        </w:tc>
        <w:tc>
          <w:tcPr>
            <w:tcW w:w="4300" w:type="dxa"/>
            <w:vAlign w:val="bottom"/>
          </w:tcPr>
          <w:p>
            <w:pPr>
              <w:jc w:val="right"/>
              <w:spacing w:after="0"/>
              <w:rPr>
                <w:sz w:val="20"/>
                <w:szCs w:val="20"/>
                <w:color w:val="auto"/>
              </w:rPr>
            </w:pPr>
            <w:r>
              <w:rPr>
                <w:rFonts w:ascii="Arial" w:cs="Arial" w:eastAsia="Arial" w:hAnsi="Arial"/>
                <w:sz w:val="18"/>
                <w:szCs w:val="18"/>
                <w:b w:val="1"/>
                <w:bCs w:val="1"/>
                <w:color w:val="00539B"/>
              </w:rPr>
              <w:t>30</w:t>
            </w:r>
          </w:p>
        </w:tc>
        <w:tc>
          <w:tcPr>
            <w:tcW w:w="340" w:type="dxa"/>
            <w:vAlign w:val="bottom"/>
          </w:tcPr>
          <w:p>
            <w:pPr>
              <w:jc w:val="right"/>
              <w:ind w:right="131"/>
              <w:spacing w:after="0"/>
              <w:rPr>
                <w:sz w:val="20"/>
                <w:szCs w:val="20"/>
                <w:color w:val="auto"/>
              </w:rPr>
            </w:pPr>
            <w:r>
              <w:rPr>
                <w:rFonts w:ascii="Arial" w:cs="Arial" w:eastAsia="Arial" w:hAnsi="Arial"/>
                <w:sz w:val="18"/>
                <w:szCs w:val="18"/>
                <w:b w:val="1"/>
                <w:bCs w:val="1"/>
                <w:color w:val="00539B"/>
                <w:w w:val="99"/>
              </w:rPr>
              <w:t>$</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00539B"/>
              </w:rPr>
              <w:t>438</w:t>
            </w:r>
          </w:p>
        </w:tc>
        <w:tc>
          <w:tcPr>
            <w:tcW w:w="0" w:type="dxa"/>
            <w:vAlign w:val="bottom"/>
          </w:tcPr>
          <w:p>
            <w:pPr>
              <w:spacing w:after="0"/>
              <w:rPr>
                <w:sz w:val="1"/>
                <w:szCs w:val="1"/>
                <w:color w:val="auto"/>
              </w:rPr>
            </w:pPr>
          </w:p>
        </w:tc>
      </w:tr>
      <w:tr>
        <w:trPr>
          <w:trHeight w:val="227"/>
        </w:trPr>
        <w:tc>
          <w:tcPr>
            <w:tcW w:w="5360" w:type="dxa"/>
            <w:vAlign w:val="bottom"/>
          </w:tcPr>
          <w:p>
            <w:pPr>
              <w:ind w:left="20"/>
              <w:spacing w:after="0"/>
              <w:rPr>
                <w:sz w:val="20"/>
                <w:szCs w:val="20"/>
                <w:color w:val="auto"/>
              </w:rPr>
            </w:pPr>
            <w:r>
              <w:rPr>
                <w:rFonts w:ascii="Arial" w:cs="Arial" w:eastAsia="Arial" w:hAnsi="Arial"/>
                <w:sz w:val="17"/>
                <w:szCs w:val="17"/>
                <w:color w:val="auto"/>
              </w:rPr>
              <w:t>Third-Party Sites</w:t>
            </w:r>
          </w:p>
        </w:tc>
        <w:tc>
          <w:tcPr>
            <w:tcW w:w="4300" w:type="dxa"/>
            <w:vAlign w:val="bottom"/>
          </w:tcPr>
          <w:p>
            <w:pPr>
              <w:jc w:val="right"/>
              <w:spacing w:after="0"/>
              <w:rPr>
                <w:sz w:val="20"/>
                <w:szCs w:val="20"/>
                <w:color w:val="auto"/>
              </w:rPr>
            </w:pPr>
            <w:r>
              <w:rPr>
                <w:rFonts w:ascii="Arial" w:cs="Arial" w:eastAsia="Arial" w:hAnsi="Arial"/>
                <w:sz w:val="18"/>
                <w:szCs w:val="18"/>
                <w:b w:val="1"/>
                <w:bCs w:val="1"/>
                <w:color w:val="00539B"/>
              </w:rPr>
              <w:t>66</w:t>
            </w: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00539B"/>
              </w:rPr>
              <w:t>217</w:t>
            </w:r>
          </w:p>
        </w:tc>
        <w:tc>
          <w:tcPr>
            <w:tcW w:w="0" w:type="dxa"/>
            <w:vAlign w:val="bottom"/>
          </w:tcPr>
          <w:p>
            <w:pPr>
              <w:spacing w:after="0"/>
              <w:rPr>
                <w:sz w:val="1"/>
                <w:szCs w:val="1"/>
                <w:color w:val="auto"/>
              </w:rPr>
            </w:pPr>
          </w:p>
        </w:tc>
      </w:tr>
      <w:tr>
        <w:trPr>
          <w:trHeight w:val="240"/>
        </w:trPr>
        <w:tc>
          <w:tcPr>
            <w:tcW w:w="5360" w:type="dxa"/>
            <w:vAlign w:val="bottom"/>
          </w:tcPr>
          <w:p>
            <w:pPr>
              <w:ind w:left="20"/>
              <w:spacing w:after="0"/>
              <w:rPr>
                <w:sz w:val="20"/>
                <w:szCs w:val="20"/>
                <w:color w:val="auto"/>
              </w:rPr>
            </w:pPr>
            <w:r>
              <w:rPr>
                <w:rFonts w:ascii="Arial" w:cs="Arial" w:eastAsia="Arial" w:hAnsi="Arial"/>
                <w:sz w:val="17"/>
                <w:szCs w:val="17"/>
                <w:color w:val="auto"/>
              </w:rPr>
              <w:t>Currently Operated Sites</w:t>
            </w:r>
          </w:p>
        </w:tc>
        <w:tc>
          <w:tcPr>
            <w:tcW w:w="4300" w:type="dxa"/>
            <w:vAlign w:val="bottom"/>
          </w:tcPr>
          <w:p>
            <w:pPr>
              <w:jc w:val="right"/>
              <w:spacing w:after="0"/>
              <w:rPr>
                <w:sz w:val="20"/>
                <w:szCs w:val="20"/>
                <w:color w:val="auto"/>
              </w:rPr>
            </w:pPr>
            <w:r>
              <w:rPr>
                <w:rFonts w:ascii="Arial" w:cs="Arial" w:eastAsia="Arial" w:hAnsi="Arial"/>
                <w:sz w:val="18"/>
                <w:szCs w:val="18"/>
                <w:b w:val="1"/>
                <w:bCs w:val="1"/>
                <w:color w:val="00539B"/>
              </w:rPr>
              <w:t>13</w:t>
            </w:r>
          </w:p>
        </w:tc>
        <w:tc>
          <w:tcPr>
            <w:tcW w:w="3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00539B"/>
              </w:rPr>
              <w:t>101</w:t>
            </w:r>
          </w:p>
        </w:tc>
        <w:tc>
          <w:tcPr>
            <w:tcW w:w="0" w:type="dxa"/>
            <w:vAlign w:val="bottom"/>
          </w:tcPr>
          <w:p>
            <w:pPr>
              <w:spacing w:after="0"/>
              <w:rPr>
                <w:sz w:val="1"/>
                <w:szCs w:val="1"/>
                <w:color w:val="auto"/>
              </w:rPr>
            </w:pPr>
          </w:p>
        </w:tc>
      </w:tr>
      <w:tr>
        <w:trPr>
          <w:trHeight w:val="236"/>
        </w:trPr>
        <w:tc>
          <w:tcPr>
            <w:tcW w:w="53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Closed or Non-Operated Sites</w:t>
            </w:r>
          </w:p>
        </w:tc>
        <w:tc>
          <w:tcPr>
            <w:tcW w:w="4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00539B"/>
              </w:rPr>
              <w:t>51</w:t>
            </w:r>
          </w:p>
        </w:tc>
        <w:tc>
          <w:tcPr>
            <w:tcW w:w="3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00539B"/>
              </w:rPr>
              <w:t>252</w:t>
            </w:r>
          </w:p>
        </w:tc>
        <w:tc>
          <w:tcPr>
            <w:tcW w:w="0" w:type="dxa"/>
            <w:vAlign w:val="bottom"/>
          </w:tcPr>
          <w:p>
            <w:pPr>
              <w:spacing w:after="0"/>
              <w:rPr>
                <w:sz w:val="1"/>
                <w:szCs w:val="1"/>
                <w:color w:val="auto"/>
              </w:rPr>
            </w:pPr>
          </w:p>
        </w:tc>
      </w:tr>
      <w:tr>
        <w:trPr>
          <w:trHeight w:val="220"/>
        </w:trPr>
        <w:tc>
          <w:tcPr>
            <w:tcW w:w="53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Total</w:t>
            </w:r>
          </w:p>
        </w:tc>
        <w:tc>
          <w:tcPr>
            <w:tcW w:w="4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00539B"/>
              </w:rPr>
              <w:t>160</w:t>
            </w:r>
          </w:p>
        </w:tc>
        <w:tc>
          <w:tcPr>
            <w:tcW w:w="34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b w:val="1"/>
                <w:bCs w:val="1"/>
                <w:color w:val="00539B"/>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00539B"/>
              </w:rPr>
              <w:t>1,008</w:t>
            </w:r>
          </w:p>
        </w:tc>
        <w:tc>
          <w:tcPr>
            <w:tcW w:w="0" w:type="dxa"/>
            <w:vAlign w:val="bottom"/>
          </w:tcPr>
          <w:p>
            <w:pPr>
              <w:spacing w:after="0"/>
              <w:rPr>
                <w:sz w:val="1"/>
                <w:szCs w:val="1"/>
                <w:color w:val="auto"/>
              </w:rPr>
            </w:pPr>
          </w:p>
        </w:tc>
      </w:tr>
    </w:tbl>
    <w:p>
      <w:pPr>
        <w:spacing w:after="0" w:line="315" w:lineRule="exact"/>
        <w:rPr>
          <w:sz w:val="20"/>
          <w:szCs w:val="20"/>
          <w:color w:val="auto"/>
        </w:rPr>
      </w:pPr>
    </w:p>
    <w:p>
      <w:pPr>
        <w:jc w:val="both"/>
        <w:ind w:firstLine="240"/>
        <w:spacing w:after="0" w:line="253" w:lineRule="auto"/>
        <w:rPr>
          <w:sz w:val="20"/>
          <w:szCs w:val="20"/>
          <w:color w:val="auto"/>
        </w:rPr>
      </w:pPr>
      <w:r>
        <w:rPr>
          <w:rFonts w:ascii="Arial" w:cs="Arial" w:eastAsia="Arial" w:hAnsi="Arial"/>
          <w:sz w:val="17"/>
          <w:szCs w:val="17"/>
          <w:color w:val="auto"/>
        </w:rPr>
        <w:t>As of June 30, 2023, environmental remediation liabilities of Occidental subsidiaries exceeded $10 million each at 16 of the 160 sites described above, and 95 of the sites had liabilities from $0 to $1 million each. Based on current estimates, Occidental expects its subsidiaries to expend funds corresponding to approximately 40% of the period-end remediation balance over the next three to four years with the remainder over the subsequent 10 or more years.</w:t>
      </w:r>
    </w:p>
    <w:p>
      <w:pPr>
        <w:spacing w:after="0" w:line="2" w:lineRule="exact"/>
        <w:rPr>
          <w:sz w:val="20"/>
          <w:szCs w:val="20"/>
          <w:color w:val="auto"/>
        </w:rPr>
      </w:pPr>
    </w:p>
    <w:p>
      <w:pPr>
        <w:jc w:val="both"/>
        <w:ind w:firstLine="240"/>
        <w:spacing w:after="0" w:line="250" w:lineRule="auto"/>
        <w:rPr>
          <w:sz w:val="20"/>
          <w:szCs w:val="20"/>
          <w:color w:val="auto"/>
        </w:rPr>
      </w:pPr>
      <w:r>
        <w:rPr>
          <w:rFonts w:ascii="Arial" w:cs="Arial" w:eastAsia="Arial" w:hAnsi="Arial"/>
          <w:sz w:val="17"/>
          <w:szCs w:val="17"/>
          <w:color w:val="auto"/>
        </w:rPr>
        <w:t>Occidental believes its range of reasonably possible additional losses of its subsidiaries beyond those amounts currently recorded for environmental remediation for the 160 environmental sites in the table above could be up to $2.7 billion. The status of Occidental's involvement with the sites and related significant assumptions, including those sites indemnified by Maxus, has not changed materially since December 31, 2022.</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color w:val="00539B"/>
        </w:rPr>
        <w:t>MAXUS ENVIRONMENTAL SITES</w:t>
      </w:r>
    </w:p>
    <w:p>
      <w:pPr>
        <w:spacing w:after="0" w:line="42" w:lineRule="exact"/>
        <w:rPr>
          <w:sz w:val="20"/>
          <w:szCs w:val="20"/>
          <w:color w:val="auto"/>
        </w:rPr>
      </w:pPr>
    </w:p>
    <w:p>
      <w:pPr>
        <w:jc w:val="both"/>
        <w:ind w:firstLine="240"/>
        <w:spacing w:after="0" w:line="249" w:lineRule="auto"/>
        <w:rPr>
          <w:sz w:val="20"/>
          <w:szCs w:val="20"/>
          <w:color w:val="auto"/>
        </w:rPr>
      </w:pPr>
      <w:r>
        <w:rPr>
          <w:rFonts w:ascii="Arial" w:cs="Arial" w:eastAsia="Arial" w:hAnsi="Arial"/>
          <w:sz w:val="17"/>
          <w:szCs w:val="17"/>
          <w:color w:val="auto"/>
        </w:rPr>
        <w:t xml:space="preserve">A significant portion of aggregate estimates of environmental remediation liabilities and reasonably possible additional losses described above relates to the former Diamond Shamrock Chemicals Company (DSCC). When OxyChem acquired DSCC in 1986, Maxus agreed to indemnify OxyChem for a number of environmental sites, including the Diamond Alkali Superfund Site (DASS). In June 2016, Maxus and several affiliated companies filed for Chapter 11 bankruptcy in the U.S. Bankruptcy Court for the District of Delaware. Prior to filing for bankruptcy, Maxus defended and indemnified OxyChem in connection with remediation costs and other liabilities associated with the sites subject to the indemnity. Any additional recovery of indemnified costs would come from the proceeds of litigation brought by the Maxus Liquidating Trust (Trust). For additional information on the Trust, see </w:t>
      </w:r>
      <w:r>
        <w:rPr>
          <w:rFonts w:ascii="Arial" w:cs="Arial" w:eastAsia="Arial" w:hAnsi="Arial"/>
          <w:sz w:val="17"/>
          <w:szCs w:val="17"/>
          <w:u w:val="single" w:color="auto"/>
          <w:color w:val="auto"/>
        </w:rPr>
        <w:t>Note 8 - Lawsuits, Claims, Commitments and Contingencies</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715962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25"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i w:val="1"/>
          <w:iCs w:val="1"/>
          <w:color w:val="00539B"/>
        </w:rPr>
        <w:t>DIAMOND ALKALI SUPERFUND SITE</w:t>
      </w:r>
    </w:p>
    <w:p>
      <w:pPr>
        <w:spacing w:after="0" w:line="23" w:lineRule="exact"/>
        <w:rPr>
          <w:sz w:val="20"/>
          <w:szCs w:val="20"/>
          <w:color w:val="auto"/>
        </w:rPr>
      </w:pPr>
    </w:p>
    <w:p>
      <w:pPr>
        <w:ind w:left="240"/>
        <w:spacing w:after="0"/>
        <w:rPr>
          <w:sz w:val="20"/>
          <w:szCs w:val="20"/>
          <w:color w:val="auto"/>
        </w:rPr>
      </w:pPr>
      <w:r>
        <w:rPr>
          <w:rFonts w:ascii="Arial" w:cs="Arial" w:eastAsia="Arial" w:hAnsi="Arial"/>
          <w:sz w:val="17"/>
          <w:szCs w:val="17"/>
          <w:color w:val="auto"/>
        </w:rPr>
        <w:t>The EPA has organized the DASS into four Operable Units (OUs) for evaluating, selecting and implementing remediation under CERCLA.</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OxyChem’s current activities in each OU are summarized below, many of which are performed on OxyChem’s behalf by Glenn Springs Holdings, Inc.</w:t>
      </w:r>
    </w:p>
    <w:p>
      <w:pPr>
        <w:spacing w:after="0" w:line="5" w:lineRule="exact"/>
        <w:rPr>
          <w:sz w:val="20"/>
          <w:szCs w:val="20"/>
          <w:color w:val="auto"/>
        </w:rPr>
      </w:pPr>
    </w:p>
    <w:p>
      <w:pPr>
        <w:jc w:val="both"/>
        <w:ind w:firstLine="240"/>
        <w:spacing w:after="0" w:line="251" w:lineRule="auto"/>
        <w:rPr>
          <w:sz w:val="20"/>
          <w:szCs w:val="20"/>
          <w:color w:val="auto"/>
        </w:rPr>
      </w:pPr>
      <w:r>
        <w:rPr>
          <w:rFonts w:ascii="Arial" w:cs="Arial" w:eastAsia="Arial" w:hAnsi="Arial"/>
          <w:sz w:val="17"/>
          <w:szCs w:val="17"/>
          <w:b w:val="1"/>
          <w:bCs w:val="1"/>
          <w:color w:val="auto"/>
        </w:rPr>
        <w:t xml:space="preserve">OU1 </w:t>
      </w:r>
      <w:r>
        <w:rPr>
          <w:rFonts w:ascii="Arial" w:cs="Arial" w:eastAsia="Arial" w:hAnsi="Arial"/>
          <w:sz w:val="17"/>
          <w:szCs w:val="17"/>
          <w:color w:val="auto"/>
        </w:rPr>
        <w:t>– The Former Diamond Alkali Plant at 80-120 Lister Avenue in Newark, New Jersey: Maxus and its affiliates implemented an interim remedy</w:t>
      </w:r>
      <w:r>
        <w:rPr>
          <w:rFonts w:ascii="Arial" w:cs="Arial" w:eastAsia="Arial" w:hAnsi="Arial"/>
          <w:sz w:val="17"/>
          <w:szCs w:val="17"/>
          <w:b w:val="1"/>
          <w:bCs w:val="1"/>
          <w:color w:val="auto"/>
        </w:rPr>
        <w:t xml:space="preserve"> </w:t>
      </w:r>
      <w:r>
        <w:rPr>
          <w:rFonts w:ascii="Arial" w:cs="Arial" w:eastAsia="Arial" w:hAnsi="Arial"/>
          <w:sz w:val="17"/>
          <w:szCs w:val="17"/>
          <w:color w:val="auto"/>
        </w:rPr>
        <w:t>of OU1 pursuant to a 1990 Consent Decree (OU1 Consent Decree), for which OxyChem currently performs maintenance and monitoring. The EPA is conducting a periodic evaluation of the interim remedy for OU1.</w:t>
      </w:r>
    </w:p>
    <w:p>
      <w:pPr>
        <w:jc w:val="both"/>
        <w:ind w:firstLine="240"/>
        <w:spacing w:after="0" w:line="247" w:lineRule="auto"/>
        <w:rPr>
          <w:sz w:val="20"/>
          <w:szCs w:val="20"/>
          <w:color w:val="auto"/>
        </w:rPr>
      </w:pPr>
      <w:r>
        <w:rPr>
          <w:rFonts w:ascii="Arial" w:cs="Arial" w:eastAsia="Arial" w:hAnsi="Arial"/>
          <w:sz w:val="17"/>
          <w:szCs w:val="17"/>
          <w:b w:val="1"/>
          <w:bCs w:val="1"/>
          <w:color w:val="auto"/>
        </w:rPr>
        <w:t xml:space="preserve">OU2 </w:t>
      </w:r>
      <w:r>
        <w:rPr>
          <w:rFonts w:ascii="Arial" w:cs="Arial" w:eastAsia="Arial" w:hAnsi="Arial"/>
          <w:sz w:val="17"/>
          <w:szCs w:val="17"/>
          <w:color w:val="auto"/>
        </w:rPr>
        <w:t>– The Lower 8.3 Miles of the Lower Passaic River: In March 2016, the EPA issued a Record of Decision (ROD) specifying remedial actions</w:t>
      </w:r>
      <w:r>
        <w:rPr>
          <w:rFonts w:ascii="Arial" w:cs="Arial" w:eastAsia="Arial" w:hAnsi="Arial"/>
          <w:sz w:val="17"/>
          <w:szCs w:val="17"/>
          <w:b w:val="1"/>
          <w:bCs w:val="1"/>
          <w:color w:val="auto"/>
        </w:rPr>
        <w:t xml:space="preserve"> </w:t>
      </w:r>
      <w:r>
        <w:rPr>
          <w:rFonts w:ascii="Arial" w:cs="Arial" w:eastAsia="Arial" w:hAnsi="Arial"/>
          <w:sz w:val="17"/>
          <w:szCs w:val="17"/>
          <w:color w:val="auto"/>
        </w:rPr>
        <w:t>required for OU2. During the third quarter of 2016, and following Maxus’s bankruptcy filing, OxyChem and the EPA entered into an Administrative Order on Consent (AOC) to complete the design of the remedy selected in the OU2 ROD. At that time, the EPA sent notice letters to approximately 100 parties notifying them that they were potentially responsible to pay the costs to implement the remedy in OU2 and announced that it would pursue similar agreements with other potentially responsible parties. In June 2018, OxyChem filed a complaint under CERCLA in the Federal District Court in the State of New Jersey (District Court) against numerous potentially responsible parties seeking contribution and cost recovery of amounts incurred or to be incurred to comply with the AOC and the OU2 ROD, or to perform other remediation activities related to the DASS (2018 Contribution Action). The 2018 Contribution Action remains pending, but is stayed. The District Court has not adjudicated OxyChem’s relative share of responsibility for those costs. The EPA has estimated the cost to remediate OU2 to be approximately $1.4 billion.</w:t>
      </w:r>
    </w:p>
    <w:p>
      <w:pPr>
        <w:spacing w:after="0" w:line="7" w:lineRule="exact"/>
        <w:rPr>
          <w:sz w:val="20"/>
          <w:szCs w:val="20"/>
          <w:color w:val="auto"/>
        </w:rPr>
      </w:pPr>
    </w:p>
    <w:p>
      <w:pPr>
        <w:jc w:val="both"/>
        <w:ind w:firstLine="240"/>
        <w:spacing w:after="0" w:line="250" w:lineRule="auto"/>
        <w:rPr>
          <w:sz w:val="20"/>
          <w:szCs w:val="20"/>
          <w:color w:val="auto"/>
        </w:rPr>
      </w:pPr>
      <w:r>
        <w:rPr>
          <w:rFonts w:ascii="Arial" w:cs="Arial" w:eastAsia="Arial" w:hAnsi="Arial"/>
          <w:sz w:val="17"/>
          <w:szCs w:val="17"/>
          <w:b w:val="1"/>
          <w:bCs w:val="1"/>
          <w:color w:val="auto"/>
        </w:rPr>
        <w:t xml:space="preserve">OU3 </w:t>
      </w:r>
      <w:r>
        <w:rPr>
          <w:rFonts w:ascii="Arial" w:cs="Arial" w:eastAsia="Arial" w:hAnsi="Arial"/>
          <w:sz w:val="17"/>
          <w:szCs w:val="17"/>
          <w:color w:val="auto"/>
        </w:rPr>
        <w:t>– Newark Bay Study Area, including Newark Bay and Portions of the Hackensack River, Arthur Kill, and Kill van Kull: Maxus and its affiliates</w:t>
      </w:r>
      <w:r>
        <w:rPr>
          <w:rFonts w:ascii="Arial" w:cs="Arial" w:eastAsia="Arial" w:hAnsi="Arial"/>
          <w:sz w:val="17"/>
          <w:szCs w:val="17"/>
          <w:b w:val="1"/>
          <w:bCs w:val="1"/>
          <w:color w:val="auto"/>
        </w:rPr>
        <w:t xml:space="preserve"> </w:t>
      </w:r>
      <w:r>
        <w:rPr>
          <w:rFonts w:ascii="Arial" w:cs="Arial" w:eastAsia="Arial" w:hAnsi="Arial"/>
          <w:sz w:val="17"/>
          <w:szCs w:val="17"/>
          <w:color w:val="auto"/>
        </w:rPr>
        <w:t>initiated a remedial investigation and feasibility study of OU3 pursuant to a 2004 AOC which was amended in 2010. OxyChem is currently performing feasibility study activities in OU3.</w:t>
      </w:r>
    </w:p>
    <w:p>
      <w:pPr>
        <w:jc w:val="both"/>
        <w:ind w:firstLine="240"/>
        <w:spacing w:after="0" w:line="264" w:lineRule="auto"/>
        <w:rPr>
          <w:sz w:val="20"/>
          <w:szCs w:val="20"/>
          <w:color w:val="auto"/>
        </w:rPr>
      </w:pPr>
      <w:r>
        <w:rPr>
          <w:rFonts w:ascii="Arial" w:cs="Arial" w:eastAsia="Arial" w:hAnsi="Arial"/>
          <w:sz w:val="16"/>
          <w:szCs w:val="16"/>
          <w:b w:val="1"/>
          <w:bCs w:val="1"/>
          <w:color w:val="auto"/>
        </w:rPr>
        <w:t xml:space="preserve">OU4 </w:t>
      </w:r>
      <w:r>
        <w:rPr>
          <w:rFonts w:ascii="Arial" w:cs="Arial" w:eastAsia="Arial" w:hAnsi="Arial"/>
          <w:sz w:val="16"/>
          <w:szCs w:val="16"/>
          <w:color w:val="auto"/>
        </w:rPr>
        <w:t>– The 17-mile Lower Passaic River Study Area, comprising OU2 and the Upper 9 Miles of the Lower Passaic River: In September 2021, the</w:t>
      </w:r>
      <w:r>
        <w:rPr>
          <w:rFonts w:ascii="Arial" w:cs="Arial" w:eastAsia="Arial" w:hAnsi="Arial"/>
          <w:sz w:val="16"/>
          <w:szCs w:val="16"/>
          <w:b w:val="1"/>
          <w:bCs w:val="1"/>
          <w:color w:val="auto"/>
        </w:rPr>
        <w:t xml:space="preserve"> </w:t>
      </w:r>
      <w:r>
        <w:rPr>
          <w:rFonts w:ascii="Arial" w:cs="Arial" w:eastAsia="Arial" w:hAnsi="Arial"/>
          <w:sz w:val="16"/>
          <w:szCs w:val="16"/>
          <w:color w:val="auto"/>
        </w:rPr>
        <w:t>EPA issued a ROD selecting an interim remedy for the portion of OU4 that excludes OU2, and is located upstream from the Lister Avenue Plant site for which OxyChem inherited legal responsibility. The EPA had estimated the cost to remediate OU4, excluding OU2, to be approximately $440 million. The District Court has not adjudicated OxyChem's relative share of responsibility for costs under the OU4 ROD. To provide continued, efficient remediation progress, in January 2022, OxyChem offered to design and implement the interim remedy for OU4 subject to certain conditions, including a condition that the EPA would not seek to bar OxyChem’s right to pursue contribution or cost recovery from any other parties that are potentially responsible to pay for the OU4 interim remedy. In March 2022, the EPA sent a notice letter to OxyChem and other parties requesting good faith offers to implement the selected remedies at OU2 and OU4. OxyChem submitted a good faith offer in June 2022, reaffirming the offer to design the remedy for OU4 and offering to enter into additional sequential agreements to remediate OU2 and OU4, subject to similar conditions, including that the EPA not seek to bar OxyChem from pursuing contribution or cost recovery from other responsible parties. The EPA did not accept OxyChem's June 2022 offer. In March 2023, the EPA issued a Unilateral Administrative Order (OU4 UAO) in which it directed and ordered OxyChem to design the EPA’s selected interim remedy for OU4 and to provide approximately $93 million in financial assurance to secure its performance. OxyChem has commenced work to design the interim remedy in compliance with the OU4 UAO. As a result of OxyChem incurring costs to implement the OU4 UAO, and the EPA's proposal to bar OxyChem's contribution claims against the settling parties, including those asserted in the 2018 Contribution Action, OxyChem filed a cost recovery action under CERCLA in March 2023 in the District Court against multiple parties (2023 Cost Recovery Action).</w:t>
      </w:r>
    </w:p>
    <w:p>
      <w:pPr>
        <w:spacing w:after="0" w:line="6" w:lineRule="exact"/>
        <w:rPr>
          <w:sz w:val="20"/>
          <w:szCs w:val="20"/>
          <w:color w:val="auto"/>
        </w:rPr>
      </w:pPr>
    </w:p>
    <w:p>
      <w:pPr>
        <w:jc w:val="both"/>
        <w:ind w:firstLine="240"/>
        <w:spacing w:after="0" w:line="250" w:lineRule="auto"/>
        <w:rPr>
          <w:sz w:val="20"/>
          <w:szCs w:val="20"/>
          <w:color w:val="auto"/>
        </w:rPr>
      </w:pPr>
      <w:r>
        <w:rPr>
          <w:rFonts w:ascii="Arial" w:cs="Arial" w:eastAsia="Arial" w:hAnsi="Arial"/>
          <w:sz w:val="17"/>
          <w:szCs w:val="17"/>
          <w:b w:val="1"/>
          <w:bCs w:val="1"/>
          <w:color w:val="auto"/>
        </w:rPr>
        <w:t xml:space="preserve">Natural Resource Trustees </w:t>
      </w:r>
      <w:r>
        <w:rPr>
          <w:rFonts w:ascii="Arial" w:cs="Arial" w:eastAsia="Arial" w:hAnsi="Arial"/>
          <w:sz w:val="17"/>
          <w:szCs w:val="17"/>
          <w:color w:val="auto"/>
        </w:rPr>
        <w:t>– In addition to the activities of the EPA and OxyChem in the OUs described above, federal and state natural resource</w:t>
      </w:r>
      <w:r>
        <w:rPr>
          <w:rFonts w:ascii="Arial" w:cs="Arial" w:eastAsia="Arial" w:hAnsi="Arial"/>
          <w:sz w:val="17"/>
          <w:szCs w:val="17"/>
          <w:b w:val="1"/>
          <w:bCs w:val="1"/>
          <w:color w:val="auto"/>
        </w:rPr>
        <w:t xml:space="preserve"> </w:t>
      </w:r>
      <w:r>
        <w:rPr>
          <w:rFonts w:ascii="Arial" w:cs="Arial" w:eastAsia="Arial" w:hAnsi="Arial"/>
          <w:sz w:val="17"/>
          <w:szCs w:val="17"/>
          <w:color w:val="auto"/>
        </w:rPr>
        <w:t>trustees are assessing natural resources in the Lower Passaic River and Greater Newark Bay to evaluate potential claims for natural resource damages.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539B"/>
        </w:rPr>
        <w:t>ALDEN LEEDS LITIGATION</w:t>
      </w:r>
    </w:p>
    <w:p>
      <w:pPr>
        <w:spacing w:after="0" w:line="23" w:lineRule="exact"/>
        <w:rPr>
          <w:sz w:val="20"/>
          <w:szCs w:val="20"/>
          <w:color w:val="auto"/>
        </w:rPr>
      </w:pPr>
    </w:p>
    <w:p>
      <w:pPr>
        <w:jc w:val="both"/>
        <w:ind w:firstLine="240"/>
        <w:spacing w:after="0" w:line="248" w:lineRule="auto"/>
        <w:rPr>
          <w:sz w:val="20"/>
          <w:szCs w:val="20"/>
          <w:color w:val="auto"/>
        </w:rPr>
      </w:pPr>
      <w:r>
        <w:rPr>
          <w:rFonts w:ascii="Arial" w:cs="Arial" w:eastAsia="Arial" w:hAnsi="Arial"/>
          <w:sz w:val="17"/>
          <w:szCs w:val="17"/>
          <w:color w:val="auto"/>
        </w:rPr>
        <w:t xml:space="preserve">In December 2022, the EPA and the DOJ filed a proposed Consent Decree in the </w:t>
      </w:r>
      <w:r>
        <w:rPr>
          <w:rFonts w:ascii="Arial" w:cs="Arial" w:eastAsia="Arial" w:hAnsi="Arial"/>
          <w:sz w:val="17"/>
          <w:szCs w:val="17"/>
          <w:i w:val="1"/>
          <w:iCs w:val="1"/>
          <w:color w:val="auto"/>
        </w:rPr>
        <w:t>Alden Leeds</w:t>
      </w:r>
      <w:r>
        <w:rPr>
          <w:rFonts w:ascii="Arial" w:cs="Arial" w:eastAsia="Arial" w:hAnsi="Arial"/>
          <w:sz w:val="17"/>
          <w:szCs w:val="17"/>
          <w:color w:val="auto"/>
        </w:rPr>
        <w:t xml:space="preserve"> litigation seeking court approval to settle with 85 parties for a total of $150 million and release them from liability for remediation costs in DASS OU2 and OU4, which OxyChem believes is based on a disproportionate allocation of responsibility to OxyChem despite overwhelming evidence regarding the responsibility of others, and, among other infirmities, is contrary to site-specific sampling and other relevant evidence concerning the liability of the settling parties. The EPA and the DOJ also seek entry of an order that would bar OxyChem from pursuing contribution against those parties for remediation costs OxyChem has incurred or may incur in the future to design and implement the remedies in OU2 and OU4.</w:t>
      </w:r>
    </w:p>
    <w:p>
      <w:pPr>
        <w:spacing w:after="0" w:line="2" w:lineRule="exact"/>
        <w:rPr>
          <w:sz w:val="20"/>
          <w:szCs w:val="20"/>
          <w:color w:val="auto"/>
        </w:rPr>
      </w:pPr>
    </w:p>
    <w:p>
      <w:pPr>
        <w:jc w:val="both"/>
        <w:ind w:firstLine="240"/>
        <w:spacing w:after="0" w:line="233" w:lineRule="auto"/>
        <w:rPr>
          <w:sz w:val="20"/>
          <w:szCs w:val="20"/>
          <w:color w:val="auto"/>
        </w:rPr>
      </w:pPr>
      <w:r>
        <w:rPr>
          <w:rFonts w:ascii="Arial" w:cs="Arial" w:eastAsia="Arial" w:hAnsi="Arial"/>
          <w:sz w:val="17"/>
          <w:szCs w:val="17"/>
          <w:color w:val="auto"/>
        </w:rPr>
        <w:t xml:space="preserve">In April 2023, the District Court granted OxyChem's request to intervene and participate in the </w:t>
      </w:r>
      <w:r>
        <w:rPr>
          <w:rFonts w:ascii="Arial" w:cs="Arial" w:eastAsia="Arial" w:hAnsi="Arial"/>
          <w:sz w:val="17"/>
          <w:szCs w:val="17"/>
          <w:i w:val="1"/>
          <w:iCs w:val="1"/>
          <w:color w:val="auto"/>
        </w:rPr>
        <w:t>Alden Leeds</w:t>
      </w:r>
      <w:r>
        <w:rPr>
          <w:rFonts w:ascii="Arial" w:cs="Arial" w:eastAsia="Arial" w:hAnsi="Arial"/>
          <w:sz w:val="17"/>
          <w:szCs w:val="17"/>
          <w:color w:val="auto"/>
        </w:rPr>
        <w:t xml:space="preserve"> litigation as a party. OxyChem intends to challenge the proposed settlement vigorously and to seek contribution and cost recovery from other potentially responsible parties for remediation costs it has incurred or may incur at the DASS. Based upon extensive comments to the proposed settlement, the DOJ requested to inform the District Court by September 22, 2023 whether it will proceed with the settlement, modify it, or withdraw the proposed settlement. Consequently, the District Court has ordered the DOJ to notify it by no later than September 22, 2023 how it intends to proceed, after which the District Court will put in</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715962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77" w:right="339" w:bottom="1440" w:gutter="0" w:footer="0" w:header="0"/>
        </w:sectPr>
      </w:pPr>
    </w:p>
    <w:bookmarkStart w:id="20" w:name="page21"/>
    <w:bookmarkEnd w:id="20"/>
    <w:p>
      <w:pPr>
        <w:jc w:val="both"/>
        <w:spacing w:after="0" w:line="235" w:lineRule="auto"/>
        <w:rPr>
          <w:sz w:val="20"/>
          <w:szCs w:val="20"/>
          <w:color w:val="auto"/>
        </w:rPr>
      </w:pPr>
      <w:r>
        <w:rPr>
          <w:rFonts w:ascii="Arial" w:cs="Arial" w:eastAsia="Arial" w:hAnsi="Arial"/>
          <w:sz w:val="17"/>
          <w:szCs w:val="17"/>
          <w:color w:val="auto"/>
        </w:rPr>
        <w:t>place a briefing schedule. OxyChem does not know when the District Court will rule on the propriety of the proposed settlement, if the DOJ continues to pursue the settlement. If the proposed settlement is approved by the District Court and not overturned on appeal, then, notwithstanding OxyChem’s vigorous, good faith effort to contest the settlement proposed in the Alden Leeds litigation, the EPA could attempt to compel OxyChem to bear substantially all of the estimated cost to design and implement the OU2 and OU4 remedies, which could have a material adverse impact on OxyChem and Occidental’s consolidated results of operations in the period recorded.</w:t>
      </w:r>
    </w:p>
    <w:p>
      <w:pPr>
        <w:spacing w:after="0" w:line="2" w:lineRule="exact"/>
        <w:rPr>
          <w:sz w:val="20"/>
          <w:szCs w:val="20"/>
          <w:color w:val="auto"/>
        </w:rPr>
      </w:pPr>
    </w:p>
    <w:p>
      <w:pPr>
        <w:jc w:val="both"/>
        <w:ind w:firstLine="240"/>
        <w:spacing w:after="0" w:line="250" w:lineRule="auto"/>
        <w:rPr>
          <w:sz w:val="20"/>
          <w:szCs w:val="20"/>
          <w:color w:val="auto"/>
        </w:rPr>
      </w:pPr>
      <w:r>
        <w:rPr>
          <w:rFonts w:ascii="Arial" w:cs="Arial" w:eastAsia="Arial" w:hAnsi="Arial"/>
          <w:sz w:val="17"/>
          <w:szCs w:val="17"/>
          <w:color w:val="auto"/>
        </w:rPr>
        <w:t xml:space="preserve">While the remedies for OU2 and OU4 are expected to take over ten years to complete, the EPA may seek to require OxyChem to provide additional financial assurance. In the OU4 UAO, the EPA directed OxyChem to post financial assurance in the amount of approximately $93 million. Subject to all defenses, OxyChem has complied with this directive. The amount of any additional financial assurance is not subject to estimation at this time. It is uncertain when or to what extent the EPA may take action to compel OxyChem to perform further remediation in OU2 or OU4 or the amount of financial assurance the EPA may attempt to require OxyChem to post. For further information on the </w:t>
      </w:r>
      <w:r>
        <w:rPr>
          <w:rFonts w:ascii="Arial" w:cs="Arial" w:eastAsia="Arial" w:hAnsi="Arial"/>
          <w:sz w:val="17"/>
          <w:szCs w:val="17"/>
          <w:i w:val="1"/>
          <w:iCs w:val="1"/>
          <w:color w:val="auto"/>
        </w:rPr>
        <w:t>Alden Leeds</w:t>
      </w:r>
      <w:r>
        <w:rPr>
          <w:rFonts w:ascii="Arial" w:cs="Arial" w:eastAsia="Arial" w:hAnsi="Arial"/>
          <w:sz w:val="17"/>
          <w:szCs w:val="17"/>
          <w:color w:val="auto"/>
        </w:rPr>
        <w:t xml:space="preserve"> litigation, see </w:t>
      </w:r>
      <w:r>
        <w:rPr>
          <w:rFonts w:ascii="Arial" w:cs="Arial" w:eastAsia="Arial" w:hAnsi="Arial"/>
          <w:sz w:val="17"/>
          <w:szCs w:val="17"/>
          <w:u w:val="single" w:color="auto"/>
          <w:color w:val="auto"/>
        </w:rPr>
        <w:t>Note 8 - Lawsuits,</w:t>
      </w:r>
      <w:r>
        <w:rPr>
          <w:rFonts w:ascii="Arial" w:cs="Arial" w:eastAsia="Arial" w:hAnsi="Arial"/>
          <w:sz w:val="17"/>
          <w:szCs w:val="17"/>
          <w:color w:val="auto"/>
        </w:rPr>
        <w:t xml:space="preserve"> </w:t>
      </w:r>
      <w:r>
        <w:rPr>
          <w:rFonts w:ascii="Arial" w:cs="Arial" w:eastAsia="Arial" w:hAnsi="Arial"/>
          <w:sz w:val="17"/>
          <w:szCs w:val="17"/>
          <w:u w:val="single" w:color="auto"/>
          <w:color w:val="auto"/>
        </w:rPr>
        <w:t>Claims, Commitments and Contingencies</w:t>
      </w:r>
      <w:r>
        <w:rPr>
          <w:rFonts w:ascii="Arial" w:cs="Arial" w:eastAsia="Arial" w:hAnsi="Arial"/>
          <w:sz w:val="17"/>
          <w:szCs w:val="17"/>
          <w:color w:val="auto"/>
        </w:rPr>
        <w:t>.</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539B"/>
        </w:rPr>
        <w:t>OTHER INFORMATION</w:t>
      </w:r>
    </w:p>
    <w:p>
      <w:pPr>
        <w:spacing w:after="0" w:line="23" w:lineRule="exact"/>
        <w:rPr>
          <w:sz w:val="20"/>
          <w:szCs w:val="20"/>
          <w:color w:val="auto"/>
        </w:rPr>
      </w:pPr>
    </w:p>
    <w:p>
      <w:pPr>
        <w:jc w:val="both"/>
        <w:ind w:firstLine="240"/>
        <w:spacing w:after="0" w:line="246" w:lineRule="auto"/>
        <w:rPr>
          <w:sz w:val="20"/>
          <w:szCs w:val="20"/>
          <w:color w:val="auto"/>
        </w:rPr>
      </w:pPr>
      <w:r>
        <w:rPr>
          <w:rFonts w:ascii="Arial" w:cs="Arial" w:eastAsia="Arial" w:hAnsi="Arial"/>
          <w:sz w:val="17"/>
          <w:szCs w:val="17"/>
          <w:color w:val="auto"/>
        </w:rPr>
        <w:t>For the DASS, OxyChem has accrued a reserve relating to its estimated allocable share of the costs to perform the maintenance and monitoring required in the OU1 Consent Decree, the design and implementation of remedies selected in the OU2 ROD and AOC and the OU4 ROD and OU4 UAO, and the remedial investigation and feasibility study required in OU3.</w:t>
      </w:r>
    </w:p>
    <w:p>
      <w:pPr>
        <w:spacing w:after="0" w:line="2" w:lineRule="exact"/>
        <w:rPr>
          <w:sz w:val="20"/>
          <w:szCs w:val="20"/>
          <w:color w:val="auto"/>
        </w:rPr>
      </w:pPr>
    </w:p>
    <w:p>
      <w:pPr>
        <w:jc w:val="both"/>
        <w:ind w:firstLine="240"/>
        <w:spacing w:after="0" w:line="248" w:lineRule="auto"/>
        <w:rPr>
          <w:sz w:val="20"/>
          <w:szCs w:val="20"/>
          <w:color w:val="auto"/>
        </w:rPr>
      </w:pPr>
      <w:r>
        <w:rPr>
          <w:rFonts w:ascii="Arial" w:cs="Arial" w:eastAsia="Arial" w:hAnsi="Arial"/>
          <w:sz w:val="17"/>
          <w:szCs w:val="17"/>
          <w:color w:val="auto"/>
        </w:rPr>
        <w:t>OxyChem’s accrued environmental remediation reserve does not reflect the potential for additional remediation costs or natural resource damages for the DASS that OxyChem believes are not reasonably estimable. OxyChem’s ultimate liability at the DASS may be higher or lower than the reserved amount and the reasonably possible additional losses, and is subject to final design plans, further action by the EPA and natural resource trustees, and the resolution of OxyChem's allocable share with other potentially responsible parties, among other factors.</w:t>
      </w:r>
    </w:p>
    <w:p>
      <w:pPr>
        <w:spacing w:after="0" w:line="3" w:lineRule="exact"/>
        <w:rPr>
          <w:sz w:val="20"/>
          <w:szCs w:val="20"/>
          <w:color w:val="auto"/>
        </w:rPr>
      </w:pPr>
    </w:p>
    <w:p>
      <w:pPr>
        <w:jc w:val="both"/>
        <w:ind w:firstLine="240"/>
        <w:spacing w:after="0" w:line="258" w:lineRule="auto"/>
        <w:rPr>
          <w:sz w:val="20"/>
          <w:szCs w:val="20"/>
          <w:color w:val="auto"/>
        </w:rPr>
      </w:pPr>
      <w:r>
        <w:rPr>
          <w:rFonts w:ascii="Arial" w:cs="Arial" w:eastAsia="Arial" w:hAnsi="Arial"/>
          <w:sz w:val="17"/>
          <w:szCs w:val="17"/>
          <w:color w:val="auto"/>
        </w:rPr>
        <w:t>OxyChem continues to evaluate the estimated costs currently recorded for remediation at the DASS and other Maxus-indemnified sites, as well as the range of reasonably possible additional losses beyond those amounts currently recorded. Given the complexity and extent of the remediation efforts, estimates of the remediation costs may increase or decrease over time as new information becomes available.</w:t>
      </w:r>
    </w:p>
    <w:p>
      <w:pPr>
        <w:spacing w:after="0" w:line="255"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00539B"/>
        </w:rPr>
        <w:t>NOTE 8 - LAWSUITS, CLAIMS, COMMITMENTS AND CONTINGENCIES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-180975</wp:posOffset>
            </wp:positionV>
            <wp:extent cx="713422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4225" cy="17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30480</wp:posOffset>
            </wp:positionV>
            <wp:extent cx="713422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pacing w:after="0" w:line="351" w:lineRule="exact"/>
        <w:rPr>
          <w:sz w:val="20"/>
          <w:szCs w:val="20"/>
          <w:color w:val="auto"/>
        </w:rPr>
      </w:pPr>
    </w:p>
    <w:p>
      <w:pPr>
        <w:spacing w:after="0"/>
        <w:rPr>
          <w:sz w:val="20"/>
          <w:szCs w:val="20"/>
          <w:color w:val="auto"/>
        </w:rPr>
      </w:pPr>
      <w:r>
        <w:rPr>
          <w:rFonts w:ascii="Arial" w:cs="Arial" w:eastAsia="Arial" w:hAnsi="Arial"/>
          <w:sz w:val="20"/>
          <w:szCs w:val="20"/>
          <w:b w:val="1"/>
          <w:bCs w:val="1"/>
          <w:color w:val="00539B"/>
        </w:rPr>
        <w:t>LEGAL MATTERS</w:t>
      </w:r>
    </w:p>
    <w:p>
      <w:pPr>
        <w:spacing w:after="0" w:line="42" w:lineRule="exact"/>
        <w:rPr>
          <w:sz w:val="20"/>
          <w:szCs w:val="20"/>
          <w:color w:val="auto"/>
        </w:rPr>
      </w:pPr>
    </w:p>
    <w:p>
      <w:pPr>
        <w:jc w:val="both"/>
        <w:ind w:firstLine="240"/>
        <w:spacing w:after="0" w:line="247" w:lineRule="auto"/>
        <w:rPr>
          <w:sz w:val="20"/>
          <w:szCs w:val="20"/>
          <w:color w:val="auto"/>
        </w:rPr>
      </w:pPr>
      <w:r>
        <w:rPr>
          <w:rFonts w:ascii="Arial" w:cs="Arial" w:eastAsia="Arial" w:hAnsi="Arial"/>
          <w:sz w:val="17"/>
          <w:szCs w:val="17"/>
          <w:color w:val="auto"/>
        </w:rPr>
        <w:t>Occidental or certain of its subsidiaries are involved, in the normal course of business, in lawsuits, claims and other proceedings that seek, among other things, compensation for alleged personal injury, breach of contract, property damage or other losses, punitive damages, civil penalties, or injunctive or declaratory relief. Occidental or certain of its subsidiaries are also involved in proceedings under CERCLA and similar federal, regional, state, provincial, tribal, local and international environmental laws. These environmental proceedings seek funding or performance of remediation and, in some cases, compensation for alleged property damage, natural resource damages, punitive damages, civil penalties, injunctive relief and government oversight costs. Usually Occidental or such subsidiaries are among many companies in these environmental proceedings and have to date been successful in sharing remediation costs with other financially sound companies. Further, some lawsuits, claims and other proceedings involve acquired or disposed assets with respect to which a third party or Occidental or its subsidiary retains liability or indemnifies the other party for conditions that existed prior to the transaction.</w:t>
      </w:r>
    </w:p>
    <w:p>
      <w:pPr>
        <w:spacing w:after="0" w:line="4" w:lineRule="exact"/>
        <w:rPr>
          <w:sz w:val="20"/>
          <w:szCs w:val="20"/>
          <w:color w:val="auto"/>
        </w:rPr>
      </w:pPr>
    </w:p>
    <w:p>
      <w:pPr>
        <w:jc w:val="both"/>
        <w:ind w:firstLine="240"/>
        <w:spacing w:after="0" w:line="249" w:lineRule="auto"/>
        <w:rPr>
          <w:sz w:val="20"/>
          <w:szCs w:val="20"/>
          <w:color w:val="auto"/>
        </w:rPr>
      </w:pPr>
      <w:r>
        <w:rPr>
          <w:rFonts w:ascii="Arial" w:cs="Arial" w:eastAsia="Arial" w:hAnsi="Arial"/>
          <w:sz w:val="17"/>
          <w:szCs w:val="17"/>
          <w:color w:val="auto"/>
        </w:rPr>
        <w:t>In accordance with applicable accounting guidance, Occidental or its subsidiaries accrue reserves for outstanding lawsuits, claims and other proceedings when it is probable that a liability has been incurred and the liability can be reasonably estimated. Reserves for matters, other than for the arbitration award (disclosed below), tax matters and disputes or environmental remediation, that satisfy these criteria as of June 30, 2023 and 2022 were not material to Occidental’s Consolidated Condensed Balance Sheets.</w:t>
      </w:r>
    </w:p>
    <w:p>
      <w:pPr>
        <w:spacing w:after="0" w:line="3" w:lineRule="exact"/>
        <w:rPr>
          <w:sz w:val="20"/>
          <w:szCs w:val="20"/>
          <w:color w:val="auto"/>
        </w:rPr>
      </w:pPr>
    </w:p>
    <w:p>
      <w:pPr>
        <w:jc w:val="both"/>
        <w:ind w:firstLine="240"/>
        <w:spacing w:after="0" w:line="273" w:lineRule="auto"/>
        <w:rPr>
          <w:sz w:val="20"/>
          <w:szCs w:val="20"/>
          <w:color w:val="auto"/>
        </w:rPr>
      </w:pPr>
      <w:r>
        <w:rPr>
          <w:rFonts w:ascii="Arial" w:cs="Arial" w:eastAsia="Arial" w:hAnsi="Arial"/>
          <w:sz w:val="16"/>
          <w:szCs w:val="16"/>
          <w:color w:val="auto"/>
        </w:rPr>
        <w:t>If unfavorable outcomes of these matters were to occur, future results of operations or cash flows for any particular quarterly or annual period could be materially adversely affected. Occidental’s estimates are based on information known about legal matters and its experience in contesting, litigating and settling similar matters. Occidental reassesses the probability and estimability of contingent losses as new information becomes available.</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color w:val="00539B"/>
        </w:rPr>
        <w:t>ANDES ARBITRATION</w:t>
      </w:r>
    </w:p>
    <w:p>
      <w:pPr>
        <w:spacing w:after="0" w:line="28" w:lineRule="exact"/>
        <w:rPr>
          <w:sz w:val="20"/>
          <w:szCs w:val="20"/>
          <w:color w:val="auto"/>
        </w:rPr>
      </w:pPr>
    </w:p>
    <w:p>
      <w:pPr>
        <w:jc w:val="both"/>
        <w:ind w:firstLine="240"/>
        <w:spacing w:after="0" w:line="250" w:lineRule="auto"/>
        <w:rPr>
          <w:sz w:val="20"/>
          <w:szCs w:val="20"/>
          <w:color w:val="auto"/>
        </w:rPr>
      </w:pPr>
      <w:r>
        <w:rPr>
          <w:rFonts w:ascii="Arial" w:cs="Arial" w:eastAsia="Arial" w:hAnsi="Arial"/>
          <w:sz w:val="17"/>
          <w:szCs w:val="17"/>
          <w:color w:val="auto"/>
        </w:rPr>
        <w:t>In 2016, Occidental received payments from the Republic of Ecuador of approximately $1.0 billion pursuant to a November 2015 arbitration award for Ecuador’s 2006 expropriation of Occidental’s Participation Contract for Block 15. The awarded amount represented a recovery of Occidental's 60% of the value of Block 15. In 2017, Andes commenced an</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715962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82" w:right="339" w:bottom="1440" w:gutter="0" w:footer="0" w:header="0"/>
        </w:sectPr>
      </w:pPr>
    </w:p>
    <w:bookmarkStart w:id="21" w:name="page22"/>
    <w:bookmarkEnd w:id="21"/>
    <w:p>
      <w:pPr>
        <w:jc w:val="both"/>
        <w:spacing w:after="0" w:line="250" w:lineRule="auto"/>
        <w:rPr>
          <w:sz w:val="20"/>
          <w:szCs w:val="20"/>
          <w:color w:val="auto"/>
        </w:rPr>
      </w:pPr>
      <w:r>
        <w:rPr>
          <w:rFonts w:ascii="Arial" w:cs="Arial" w:eastAsia="Arial" w:hAnsi="Arial"/>
          <w:sz w:val="17"/>
          <w:szCs w:val="17"/>
          <w:color w:val="auto"/>
        </w:rPr>
        <w:t>arbitration, against OEPC, claiming it is entitled to a 40% share of the judgment amount obtained by Occidental. Occidental contended that Andes is not entitled to any of the amounts paid under the 2015 arbitration award because Occidental’s recovery was limited to Occidental’s own 60% economic interest in the block. In March 2021, the arbitration tribunal issued an award in favor of Andes and against OEPC in the amount of $391 million plus interest. In June 2021, OEPC filed a motion to vacate the award due to concerns regarding the validity of the award. In December 2021, the U.S. District Court for the Southern District of New York confirmed the arbitration award, plus prejudgment interest, in the aggregate amount of $558 million. OEPC appealed the judgment. In June 2023, the U.S. Court of Appeals for the Second Circuit confirmed the District Court's ruling with respect to the arbitration award but overturned the District Court's decision to add prejudgment interest in the amount of $166 million, ordering the District Court to recalculate the interest amount. On July 13, 2023, OEPC filed a motion for rehearing en banc in the Second Circuit because, in its view, the Second Circuit ruling is contrary to Supreme Court and other Second Circuit precedent. Andes has also filed state court claims in New York and Delaware against OEPC, OPC and OXY USA to attempt to recover on its judgment against OEPC during the pendency of the appeal. The New York state court action against OPC was dismissed with prejudice in March 2023, and Andes filed its notice of appeal in April 2023. Andes also continues to attempt to recover on its judgment in New York federal court and in Delaware state court. All Occidental entities are vigorously defending against these actions. In addition, OEPC commenced an arbitration against Andes to recover significant additional claims not addressed by the prior arbitration tribunal relating to Andes' 40% share of costs, liabilities, losses and expenses due under the farmout agreement and joint operating agreement to which Andes and OEPC are parties. In July 2023, a majority of the arbitration tribunal declined to award any costs to OEPC based upon the doctrine of res judicata. One arbitrator dissented.</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b w:val="1"/>
          <w:bCs w:val="1"/>
          <w:color w:val="00539B"/>
        </w:rPr>
        <w:t>ALDEN LEEDS AND OTHER LITIGATION</w:t>
      </w:r>
    </w:p>
    <w:p>
      <w:pPr>
        <w:spacing w:after="0" w:line="28" w:lineRule="exact"/>
        <w:rPr>
          <w:sz w:val="20"/>
          <w:szCs w:val="20"/>
          <w:color w:val="auto"/>
        </w:rPr>
      </w:pPr>
    </w:p>
    <w:p>
      <w:pPr>
        <w:jc w:val="both"/>
        <w:ind w:firstLine="240"/>
        <w:spacing w:after="0" w:line="248" w:lineRule="auto"/>
        <w:rPr>
          <w:sz w:val="20"/>
          <w:szCs w:val="20"/>
          <w:color w:val="auto"/>
        </w:rPr>
      </w:pPr>
      <w:r>
        <w:rPr>
          <w:rFonts w:ascii="Arial" w:cs="Arial" w:eastAsia="Arial" w:hAnsi="Arial"/>
          <w:sz w:val="17"/>
          <w:szCs w:val="17"/>
          <w:color w:val="auto"/>
        </w:rPr>
        <w:t xml:space="preserve">In December 2022, the EPA and the DOJ filed a proposed Consent Decree with the District Court in the </w:t>
      </w:r>
      <w:r>
        <w:rPr>
          <w:rFonts w:ascii="Arial" w:cs="Arial" w:eastAsia="Arial" w:hAnsi="Arial"/>
          <w:sz w:val="17"/>
          <w:szCs w:val="17"/>
          <w:i w:val="1"/>
          <w:iCs w:val="1"/>
          <w:color w:val="auto"/>
        </w:rPr>
        <w:t>Alden Leeds</w:t>
      </w:r>
      <w:r>
        <w:rPr>
          <w:rFonts w:ascii="Arial" w:cs="Arial" w:eastAsia="Arial" w:hAnsi="Arial"/>
          <w:sz w:val="17"/>
          <w:szCs w:val="17"/>
          <w:color w:val="auto"/>
        </w:rPr>
        <w:t xml:space="preserve"> litigation seeking court approval of a proposed settlement in which the EPA seeks to release 85 potentially responsible parties from all remediation costs in OU2 and OU4 of the DASS for approximately $150 million. OxyChem believes the proposed settlement relies, improperly, on an allocation report prepared by an EPA contractor in which the contractor purported to assign a disproportionate share of the responsibility for remediation costs in OU2 and OU4 to OxyChem. In the proposed settlement, the EPA also seeks to bar OxyChem from pursuing contribution claims against the 85 settling parties for remediation costs in OU2 and OU4, including those asserted in OxyChem’s 2018 Contribution Action. The 2018 Contribution Action is currently stayed. The proposed settlement does not address the liability of any party with respect to OU3 or natural resource damages. OxyChem intends to contest the proposed settlement vigorously. As discussed above in </w:t>
      </w:r>
      <w:r>
        <w:rPr>
          <w:rFonts w:ascii="Arial" w:cs="Arial" w:eastAsia="Arial" w:hAnsi="Arial"/>
          <w:sz w:val="17"/>
          <w:szCs w:val="17"/>
          <w:u w:val="single" w:color="auto"/>
          <w:color w:val="auto"/>
        </w:rPr>
        <w:t>Note 7 – Environmental Liabilities and Expenditures</w:t>
      </w:r>
      <w:r>
        <w:rPr>
          <w:rFonts w:ascii="Arial" w:cs="Arial" w:eastAsia="Arial" w:hAnsi="Arial"/>
          <w:sz w:val="17"/>
          <w:szCs w:val="17"/>
          <w:color w:val="auto"/>
        </w:rPr>
        <w:t>, in March 2023, the EPA issued the OU4 UAO, which directs OxyChem to design the remedy for OU4. Subject to its defenses, OxyChem is complying with this order. Based upon the OU4 UAO, OxyChem also filed its 2023 Cost Recovery Action against multiple parties to recover costs incurred or that will be incurred to comply with the OU4 UAO.</w:t>
      </w:r>
    </w:p>
    <w:p>
      <w:pPr>
        <w:spacing w:after="0" w:line="6" w:lineRule="exact"/>
        <w:rPr>
          <w:sz w:val="20"/>
          <w:szCs w:val="20"/>
          <w:color w:val="auto"/>
        </w:rPr>
      </w:pPr>
    </w:p>
    <w:p>
      <w:pPr>
        <w:jc w:val="both"/>
        <w:ind w:firstLine="240"/>
        <w:spacing w:after="0" w:line="249" w:lineRule="auto"/>
        <w:rPr>
          <w:sz w:val="20"/>
          <w:szCs w:val="20"/>
          <w:color w:val="auto"/>
        </w:rPr>
      </w:pPr>
      <w:r>
        <w:rPr>
          <w:rFonts w:ascii="Arial" w:cs="Arial" w:eastAsia="Arial" w:hAnsi="Arial"/>
          <w:sz w:val="17"/>
          <w:szCs w:val="17"/>
          <w:color w:val="auto"/>
        </w:rPr>
        <w:t>The proposed EPA settlement was subject to a public comment period that closed in March 2023. Based upon extensive comments to the proposed settlement, the DOJ requested to inform the District Court by September 22, 2023 whether it will proceed with the settlement, modify it, or withdraw the proposed settlement. OxyChem believes the proposed settlement exceeds the EPA’s statutory authority and is based on a flawed allocation process. OxyChem also believes that process was unreasonably limited in scope and unreliably based on voluntary reporting by the settling parties, instead of sworn evidence, publicly available sampling results and historical documents reflecting the operating history and disposal practices of the 85 parties that the EPA proposes to release as part of this settlement. OxyChem expects to show that the EPA’s proposed settlement does not fairly and reasonably reflect the settling parties’ contribution of hazardous substances to the DASS and, among other things, incorrectly attributes to OxyChem substances that were contributed by one or more of the 85 settling parties.</w:t>
      </w:r>
    </w:p>
    <w:p>
      <w:pPr>
        <w:spacing w:after="0" w:line="5" w:lineRule="exact"/>
        <w:rPr>
          <w:sz w:val="20"/>
          <w:szCs w:val="20"/>
          <w:color w:val="auto"/>
        </w:rPr>
      </w:pPr>
    </w:p>
    <w:p>
      <w:pPr>
        <w:jc w:val="both"/>
        <w:ind w:firstLine="240"/>
        <w:spacing w:after="0" w:line="250" w:lineRule="auto"/>
        <w:rPr>
          <w:sz w:val="20"/>
          <w:szCs w:val="20"/>
          <w:color w:val="auto"/>
        </w:rPr>
      </w:pPr>
      <w:r>
        <w:rPr>
          <w:rFonts w:ascii="Arial" w:cs="Arial" w:eastAsia="Arial" w:hAnsi="Arial"/>
          <w:sz w:val="17"/>
          <w:szCs w:val="17"/>
          <w:color w:val="auto"/>
        </w:rPr>
        <w:t xml:space="preserve">OxyChem's request to intervene in the </w:t>
      </w:r>
      <w:r>
        <w:rPr>
          <w:rFonts w:ascii="Arial" w:cs="Arial" w:eastAsia="Arial" w:hAnsi="Arial"/>
          <w:sz w:val="17"/>
          <w:szCs w:val="17"/>
          <w:i w:val="1"/>
          <w:iCs w:val="1"/>
          <w:color w:val="auto"/>
        </w:rPr>
        <w:t>Alden Leeds</w:t>
      </w:r>
      <w:r>
        <w:rPr>
          <w:rFonts w:ascii="Arial" w:cs="Arial" w:eastAsia="Arial" w:hAnsi="Arial"/>
          <w:sz w:val="17"/>
          <w:szCs w:val="17"/>
          <w:color w:val="auto"/>
        </w:rPr>
        <w:t xml:space="preserve"> litigation has been granted. This intervention will allow OxyChem to protect its rights under federal law to challenge the proposed settlement, as well as the allocation report and process upon which the settlement is based. In the 2018 Contribution Action and 2023 Cost Recovery Action, OxyChem also intends to defend and prosecute vigorously its right to seek contribution and cost recovery from all potentially responsible parties to pay remediation costs in the DASS and to seek a judicial allocation of responsibility under CERCLA. As the </w:t>
      </w:r>
      <w:r>
        <w:rPr>
          <w:rFonts w:ascii="Arial" w:cs="Arial" w:eastAsia="Arial" w:hAnsi="Arial"/>
          <w:sz w:val="17"/>
          <w:szCs w:val="17"/>
          <w:i w:val="1"/>
          <w:iCs w:val="1"/>
          <w:color w:val="auto"/>
        </w:rPr>
        <w:t>Alden Leeds</w:t>
      </w:r>
      <w:r>
        <w:rPr>
          <w:rFonts w:ascii="Arial" w:cs="Arial" w:eastAsia="Arial" w:hAnsi="Arial"/>
          <w:sz w:val="17"/>
          <w:szCs w:val="17"/>
          <w:color w:val="auto"/>
        </w:rPr>
        <w:t xml:space="preserve"> litigation is in its early stages, OxyChem is unable to estimate the timing of the District Court’s decision, its outcome, or the outcome of any appeals from the District Court’s decision.</w:t>
      </w: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b w:val="1"/>
          <w:bCs w:val="1"/>
          <w:color w:val="00539B"/>
        </w:rPr>
        <w:t>MAXUS LIQUIDATING TRUST</w:t>
      </w:r>
    </w:p>
    <w:p>
      <w:pPr>
        <w:spacing w:after="0" w:line="28" w:lineRule="exact"/>
        <w:rPr>
          <w:sz w:val="20"/>
          <w:szCs w:val="20"/>
          <w:color w:val="auto"/>
        </w:rPr>
      </w:pPr>
    </w:p>
    <w:p>
      <w:pPr>
        <w:jc w:val="both"/>
        <w:ind w:firstLine="240"/>
        <w:spacing w:after="0" w:line="252" w:lineRule="auto"/>
        <w:rPr>
          <w:sz w:val="20"/>
          <w:szCs w:val="20"/>
          <w:color w:val="auto"/>
        </w:rPr>
      </w:pPr>
      <w:r>
        <w:rPr>
          <w:rFonts w:ascii="Arial" w:cs="Arial" w:eastAsia="Arial" w:hAnsi="Arial"/>
          <w:sz w:val="17"/>
          <w:szCs w:val="17"/>
          <w:color w:val="auto"/>
        </w:rPr>
        <w:t xml:space="preserve">As described in </w:t>
      </w:r>
      <w:r>
        <w:rPr>
          <w:rFonts w:ascii="Arial" w:cs="Arial" w:eastAsia="Arial" w:hAnsi="Arial"/>
          <w:sz w:val="17"/>
          <w:szCs w:val="17"/>
          <w:u w:val="single" w:color="auto"/>
          <w:color w:val="auto"/>
        </w:rPr>
        <w:t>Note 7 – Environmental Liabilities and Expenditures</w:t>
      </w:r>
      <w:r>
        <w:rPr>
          <w:rFonts w:ascii="Arial" w:cs="Arial" w:eastAsia="Arial" w:hAnsi="Arial"/>
          <w:sz w:val="17"/>
          <w:szCs w:val="17"/>
          <w:color w:val="auto"/>
        </w:rPr>
        <w:t>, Maxus was contractually obligated to indemnify, defend, and hold harmless OxyChem against environmental liabilities arising from the former operations of DSCC. In June 2016, Maxus filed for bankruptcy protection in the U.S. Bankruptcy Court for the District of Delaware (the Bankruptcy Court). In June 2017, the Bankruptcy Court approved a Plan of Liquidation to liquidate Maxus and create the Trust for the benefit of Maxus’ creditors, including OxyChem, to pursue claims against Maxus’ current and former parents, YPF and Repsol, certain</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715962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82" w:right="339" w:bottom="1440" w:gutter="0" w:footer="0" w:header="0"/>
        </w:sectPr>
      </w:pPr>
    </w:p>
    <w:bookmarkStart w:id="22" w:name="page23"/>
    <w:bookmarkEnd w:id="22"/>
    <w:p>
      <w:pPr>
        <w:jc w:val="both"/>
        <w:spacing w:after="0" w:line="253" w:lineRule="auto"/>
        <w:rPr>
          <w:sz w:val="20"/>
          <w:szCs w:val="20"/>
          <w:color w:val="auto"/>
        </w:rPr>
      </w:pPr>
      <w:r>
        <w:rPr>
          <w:rFonts w:ascii="Arial" w:cs="Arial" w:eastAsia="Arial" w:hAnsi="Arial"/>
          <w:sz w:val="17"/>
          <w:szCs w:val="17"/>
          <w:color w:val="auto"/>
        </w:rPr>
        <w:t>of their respective subsidiaries and affiliates, and others to satisfy claims by OxyChem and other creditors for past and future remediation and other costs. In July 2017, the court-approved Plan of Liquidation became final, and the Trust became effective. Pursuant to the Plan, the Trust is governed by an independent trustee and is not controlled by OxyChem. The Plan authorizes the Trust to distribute any assets it recovers from such litigation claims to the Trust’s beneficiaries, which include OxyChem and other creditors, in accordance with the Plan and governing Trust Agreement.</w:t>
      </w:r>
    </w:p>
    <w:p>
      <w:pPr>
        <w:spacing w:after="0" w:line="2" w:lineRule="exact"/>
        <w:rPr>
          <w:sz w:val="20"/>
          <w:szCs w:val="20"/>
          <w:color w:val="auto"/>
        </w:rPr>
      </w:pPr>
    </w:p>
    <w:p>
      <w:pPr>
        <w:jc w:val="both"/>
        <w:ind w:firstLine="240"/>
        <w:spacing w:after="0" w:line="249" w:lineRule="auto"/>
        <w:rPr>
          <w:sz w:val="20"/>
          <w:szCs w:val="20"/>
          <w:color w:val="auto"/>
        </w:rPr>
      </w:pPr>
      <w:r>
        <w:rPr>
          <w:rFonts w:ascii="Arial" w:cs="Arial" w:eastAsia="Arial" w:hAnsi="Arial"/>
          <w:sz w:val="17"/>
          <w:szCs w:val="17"/>
          <w:color w:val="auto"/>
        </w:rPr>
        <w:t>In June 2018, the Trust filed its complaint against YPF and Repsol in the Bankruptcy Court asserting claims based upon, among other things, fraudulent transfer and alter ego. During 2019, the Bankruptcy Court denied Repsol's and YPF's motions to dismiss the complaint as well as their motions to move the case to a different court. These rulings were upheld on appeal. The Trust, YPF and Repsol each filed motions for summary judgment, and the Bankruptcy Court denied all but one motion in the second quarter of 2022. The Bankruptcy Court’s summary judgment decision indicated that, at trial, the Trust must establish a causal link between its claimed damages and the alter ego conduct of YPF and Repsol. In April 2023, the Trust, YPF and Repsol reached an agreement to resolve the claims pending in the Bankruptcy Court. Related agreements were executed among the United States Government, YPF and Repsol as well as among OxyChem, YPF and Repsol. YPF and Repsol are required to pay the Trust $575 million, which the Trust will distribute according to the Plan. The agreements have been approved and no settlement objections were lodged. The settlement became final August 1, 2023. OxyChem expects to recover proceeds of approximately $350 million by the end of the year. OxyChem adjusted its valuation allowance established against its claims against Maxus, resulting in a gain of approximately $260 million on the remeasurement of the valuation allowance in the second quarter of 2023.</w:t>
      </w: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b w:val="1"/>
          <w:bCs w:val="1"/>
          <w:color w:val="00539B"/>
        </w:rPr>
        <w:t>TAX MATTERS AND DISPUTES</w:t>
      </w:r>
    </w:p>
    <w:p>
      <w:pPr>
        <w:spacing w:after="0" w:line="28" w:lineRule="exact"/>
        <w:rPr>
          <w:sz w:val="20"/>
          <w:szCs w:val="20"/>
          <w:color w:val="auto"/>
        </w:rPr>
      </w:pPr>
    </w:p>
    <w:p>
      <w:pPr>
        <w:jc w:val="both"/>
        <w:ind w:firstLine="240"/>
        <w:spacing w:after="0" w:line="249" w:lineRule="auto"/>
        <w:rPr>
          <w:sz w:val="20"/>
          <w:szCs w:val="20"/>
          <w:color w:val="auto"/>
        </w:rPr>
      </w:pPr>
      <w:r>
        <w:rPr>
          <w:rFonts w:ascii="Arial" w:cs="Arial" w:eastAsia="Arial" w:hAnsi="Arial"/>
          <w:sz w:val="17"/>
          <w:szCs w:val="17"/>
          <w:color w:val="auto"/>
        </w:rPr>
        <w:t>During the course of its operations, Occidental is subject to audit by tax authorities for varying periods in various federal, state, local and international tax jurisdictions. Tax years through 2020 for U.S. federal income tax purposes have been audited by the IRS pursuant to its Compliance Assurance Program and subsequent taxable years are currently under review. Tax years through 2014 have been audited for state income tax purposes. Significant audit matters in international jurisdictions have been resolved through 2010. During the course of tax audits, disputes have arisen and other disputes may arise as to facts and matters of law.</w:t>
      </w:r>
    </w:p>
    <w:p>
      <w:pPr>
        <w:jc w:val="both"/>
        <w:ind w:firstLine="240"/>
        <w:spacing w:after="0" w:line="249" w:lineRule="auto"/>
        <w:rPr>
          <w:sz w:val="20"/>
          <w:szCs w:val="20"/>
          <w:color w:val="auto"/>
        </w:rPr>
      </w:pPr>
      <w:r>
        <w:rPr>
          <w:rFonts w:ascii="Arial" w:cs="Arial" w:eastAsia="Arial" w:hAnsi="Arial"/>
          <w:sz w:val="17"/>
          <w:szCs w:val="17"/>
          <w:color w:val="auto"/>
        </w:rPr>
        <w:t>For Anadarko, its taxable years through 2014 and tax year 2016 for U.S. federal tax purposes have been audited by the IRS. Tax years through 2010 have been audited for state income tax purposes. There is one outstanding significant tax matter in an international jurisdiction related to a discontinued operation. As stated above, during the course of tax audits, disputes have arisen and other disputes may arise as to facts and matters of law.</w:t>
      </w:r>
    </w:p>
    <w:p>
      <w:pPr>
        <w:spacing w:after="0" w:line="3" w:lineRule="exact"/>
        <w:rPr>
          <w:sz w:val="20"/>
          <w:szCs w:val="20"/>
          <w:color w:val="auto"/>
        </w:rPr>
      </w:pPr>
    </w:p>
    <w:p>
      <w:pPr>
        <w:jc w:val="both"/>
        <w:ind w:firstLine="240"/>
        <w:spacing w:after="0" w:line="245" w:lineRule="auto"/>
        <w:rPr>
          <w:sz w:val="20"/>
          <w:szCs w:val="20"/>
          <w:color w:val="auto"/>
        </w:rPr>
      </w:pPr>
      <w:r>
        <w:rPr>
          <w:rFonts w:ascii="Arial" w:cs="Arial" w:eastAsia="Arial" w:hAnsi="Arial"/>
          <w:sz w:val="17"/>
          <w:szCs w:val="17"/>
          <w:color w:val="auto"/>
        </w:rPr>
        <w:t>Other than the dispute discussed below, Occidental believes that the resolution of these outstanding tax disputes would not have a material adverse effect on its consolidated financial position or results of operations.</w:t>
      </w:r>
    </w:p>
    <w:p>
      <w:pPr>
        <w:spacing w:after="0" w:line="1" w:lineRule="exact"/>
        <w:rPr>
          <w:sz w:val="20"/>
          <w:szCs w:val="20"/>
          <w:color w:val="auto"/>
        </w:rPr>
      </w:pPr>
    </w:p>
    <w:p>
      <w:pPr>
        <w:jc w:val="both"/>
        <w:ind w:firstLine="240"/>
        <w:spacing w:after="0" w:line="264" w:lineRule="auto"/>
        <w:rPr>
          <w:sz w:val="20"/>
          <w:szCs w:val="20"/>
          <w:color w:val="auto"/>
        </w:rPr>
      </w:pPr>
      <w:r>
        <w:rPr>
          <w:rFonts w:ascii="Arial" w:cs="Arial" w:eastAsia="Arial" w:hAnsi="Arial"/>
          <w:sz w:val="16"/>
          <w:szCs w:val="16"/>
          <w:color w:val="auto"/>
        </w:rPr>
        <w:t>Anadarko received an $881 million tentative refund in 2016 related to its $5.2 billion Tronox Adversary Proceeding settlement payment in 2015. In September 2018, Anadarko received a statutory notice of deficiency from the IRS disallowing the net operating loss carryback and rejecting Anadarko’s refund claim. As a result, Anadarko filed a petition with the U.S. Tax Court to dispute the disallowances in November 2018. Trial was held in May 2023. The parties will file simultaneous post-trial briefs on September 1, 2023 and December 7, 2023. Closing arguments are scheduled for January 30, 2024. An opinion by the Tax Court could be issued any time after the closing arguments are completed. If any tax liability is due as a result of the Tax Court’s opinion, it must be fully bonded or paid in full within 90 days of the entry of decision by the Tax Court. If an appeal is not pursued by Anadarko, any resulting tax deficiency will be assessed by the IRS and would be due within 30 days of receiving a formal notice of tax assessment.</w:t>
      </w:r>
    </w:p>
    <w:p>
      <w:pPr>
        <w:jc w:val="both"/>
        <w:ind w:firstLine="240"/>
        <w:spacing w:after="0" w:line="251" w:lineRule="auto"/>
        <w:rPr>
          <w:sz w:val="20"/>
          <w:szCs w:val="20"/>
          <w:color w:val="auto"/>
        </w:rPr>
      </w:pPr>
      <w:r>
        <w:rPr>
          <w:rFonts w:ascii="Arial" w:cs="Arial" w:eastAsia="Arial" w:hAnsi="Arial"/>
          <w:sz w:val="17"/>
          <w:szCs w:val="17"/>
          <w:color w:val="auto"/>
        </w:rPr>
        <w:t>In accordance with ASC 740’s guidance on the accounting for uncertain tax positions, Occidental has recorded no tax benefit on the tentative cash tax refund of $881 million. As a result, should Occidental not ultimately prevail on the issue, there would be no additional tax expense recorded relative to this position for financial statement purposes other than future interest. However, in that event, as of June 30, 2023, Occidental would be required to repay approximately $1.4 billion in federal taxes, $28 million in state taxes and accrued interest of $493 million. A liability for this amount plus interest is included in deferred credits and other liabilities - other.</w:t>
      </w:r>
    </w:p>
    <w:p>
      <w:pPr>
        <w:spacing w:after="0" w:line="224" w:lineRule="exact"/>
        <w:rPr>
          <w:sz w:val="20"/>
          <w:szCs w:val="20"/>
          <w:color w:val="auto"/>
        </w:rPr>
      </w:pPr>
    </w:p>
    <w:p>
      <w:pPr>
        <w:spacing w:after="0"/>
        <w:rPr>
          <w:sz w:val="20"/>
          <w:szCs w:val="20"/>
          <w:color w:val="auto"/>
        </w:rPr>
      </w:pPr>
      <w:r>
        <w:rPr>
          <w:rFonts w:ascii="Arial" w:cs="Arial" w:eastAsia="Arial" w:hAnsi="Arial"/>
          <w:sz w:val="20"/>
          <w:szCs w:val="20"/>
          <w:b w:val="1"/>
          <w:bCs w:val="1"/>
          <w:color w:val="00539B"/>
        </w:rPr>
        <w:t>INDEMNITIES TO THIRD PARTIES</w:t>
      </w:r>
    </w:p>
    <w:p>
      <w:pPr>
        <w:spacing w:after="0" w:line="28" w:lineRule="exact"/>
        <w:rPr>
          <w:sz w:val="20"/>
          <w:szCs w:val="20"/>
          <w:color w:val="auto"/>
        </w:rPr>
      </w:pPr>
    </w:p>
    <w:p>
      <w:pPr>
        <w:jc w:val="both"/>
        <w:ind w:firstLine="240"/>
        <w:spacing w:after="0" w:line="248" w:lineRule="auto"/>
        <w:rPr>
          <w:sz w:val="20"/>
          <w:szCs w:val="20"/>
          <w:color w:val="auto"/>
        </w:rPr>
      </w:pPr>
      <w:r>
        <w:rPr>
          <w:rFonts w:ascii="Arial" w:cs="Arial" w:eastAsia="Arial" w:hAnsi="Arial"/>
          <w:sz w:val="17"/>
          <w:szCs w:val="17"/>
          <w:color w:val="auto"/>
        </w:rPr>
        <w:t>Occidental, its subsidiaries, or both, have indemnified various parties against specified liabilities those parties might incur in the future in connection with purchases and other transactions that they have entered into with Occidental or its subsidiaries. These indemnities usually are contingent upon the other party incurring liabilities that reach specified thresholds. As of June 30, 2023, Occidental is not aware of circumstances that it believes would reasonably be expected to lead to indemnity claims that would result in payments materially in excess of reserves.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715962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82" w:right="339" w:bottom="1440" w:gutter="0" w:footer="0" w:header="0"/>
        </w:sectPr>
      </w:pPr>
    </w:p>
    <w:bookmarkStart w:id="23" w:name="page24"/>
    <w:bookmarkEnd w:id="23"/>
    <w:p>
      <w:pPr>
        <w:ind w:left="20"/>
        <w:spacing w:after="0"/>
        <w:rPr>
          <w:sz w:val="20"/>
          <w:szCs w:val="20"/>
          <w:color w:val="auto"/>
        </w:rPr>
      </w:pPr>
      <w:r>
        <w:rPr>
          <w:rFonts w:ascii="Arial" w:cs="Arial" w:eastAsia="Arial" w:hAnsi="Arial"/>
          <w:sz w:val="25"/>
          <w:szCs w:val="25"/>
          <w:b w:val="1"/>
          <w:bCs w:val="1"/>
          <w:color w:val="00539B"/>
        </w:rPr>
        <w:t>NOTE 9 - EARNINGS PER SHARE AND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-180975</wp:posOffset>
            </wp:positionV>
            <wp:extent cx="713422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4225" cy="17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30480</wp:posOffset>
            </wp:positionV>
            <wp:extent cx="713422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pacing w:after="0" w:line="357" w:lineRule="exact"/>
        <w:rPr>
          <w:sz w:val="20"/>
          <w:szCs w:val="20"/>
          <w:color w:val="auto"/>
        </w:rPr>
      </w:pPr>
    </w:p>
    <w:p>
      <w:pPr>
        <w:ind w:left="240"/>
        <w:spacing w:after="0"/>
        <w:rPr>
          <w:sz w:val="20"/>
          <w:szCs w:val="20"/>
          <w:color w:val="auto"/>
        </w:rPr>
      </w:pPr>
      <w:r>
        <w:rPr>
          <w:rFonts w:ascii="Arial" w:cs="Arial" w:eastAsia="Arial" w:hAnsi="Arial"/>
          <w:sz w:val="17"/>
          <w:szCs w:val="17"/>
          <w:color w:val="auto"/>
        </w:rPr>
        <w:t>The following table presents the calculation of basic and diluted EPS attributable to common stockholders: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000" w:type="dxa"/>
            <w:vAlign w:val="bottom"/>
            <w:tcBorders>
              <w:top w:val="single" w:sz="8" w:color="auto"/>
              <w:bottom w:val="single" w:sz="8" w:color="auto"/>
            </w:tcBorders>
            <w:vMerge w:val="restart"/>
          </w:tcPr>
          <w:p>
            <w:pPr>
              <w:ind w:left="20"/>
              <w:spacing w:after="0"/>
              <w:rPr>
                <w:sz w:val="20"/>
                <w:szCs w:val="20"/>
                <w:color w:val="auto"/>
              </w:rPr>
            </w:pPr>
            <w:r>
              <w:rPr>
                <w:rFonts w:ascii="Arial" w:cs="Arial" w:eastAsia="Arial" w:hAnsi="Arial"/>
                <w:sz w:val="17"/>
                <w:szCs w:val="17"/>
                <w:i w:val="1"/>
                <w:iCs w:val="1"/>
                <w:color w:val="auto"/>
              </w:rPr>
              <w:t>millions except per-share amounts</w:t>
            </w:r>
          </w:p>
        </w:tc>
        <w:tc>
          <w:tcPr>
            <w:tcW w:w="460" w:type="dxa"/>
            <w:vAlign w:val="bottom"/>
            <w:tcBorders>
              <w:top w:val="single" w:sz="8" w:color="auto"/>
              <w:bottom w:val="single" w:sz="8" w:color="auto"/>
            </w:tcBorders>
          </w:tcPr>
          <w:p>
            <w:pPr>
              <w:spacing w:after="0"/>
              <w:rPr>
                <w:sz w:val="19"/>
                <w:szCs w:val="19"/>
                <w:color w:val="auto"/>
              </w:rPr>
            </w:pPr>
          </w:p>
        </w:tc>
        <w:tc>
          <w:tcPr>
            <w:tcW w:w="27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Three months ended June 30,</w:t>
            </w:r>
          </w:p>
        </w:tc>
        <w:tc>
          <w:tcPr>
            <w:tcW w:w="480" w:type="dxa"/>
            <w:vAlign w:val="bottom"/>
            <w:tcBorders>
              <w:top w:val="single" w:sz="8" w:color="auto"/>
              <w:bottom w:val="single" w:sz="8" w:color="auto"/>
            </w:tcBorders>
          </w:tcPr>
          <w:p>
            <w:pPr>
              <w:spacing w:after="0"/>
              <w:rPr>
                <w:sz w:val="19"/>
                <w:szCs w:val="19"/>
                <w:color w:val="auto"/>
              </w:rPr>
            </w:pPr>
          </w:p>
        </w:tc>
        <w:tc>
          <w:tcPr>
            <w:tcW w:w="25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Six months ended June 30,</w:t>
            </w:r>
          </w:p>
        </w:tc>
        <w:tc>
          <w:tcPr>
            <w:tcW w:w="0" w:type="dxa"/>
            <w:vAlign w:val="bottom"/>
          </w:tcPr>
          <w:p>
            <w:pPr>
              <w:spacing w:after="0"/>
              <w:rPr>
                <w:sz w:val="1"/>
                <w:szCs w:val="1"/>
                <w:color w:val="auto"/>
              </w:rPr>
            </w:pPr>
          </w:p>
        </w:tc>
      </w:tr>
      <w:tr>
        <w:trPr>
          <w:trHeight w:val="207"/>
        </w:trPr>
        <w:tc>
          <w:tcPr>
            <w:tcW w:w="5000" w:type="dxa"/>
            <w:vAlign w:val="bottom"/>
            <w:tcBorders>
              <w:bottom w:val="single" w:sz="8" w:color="auto"/>
            </w:tcBorders>
            <w:vMerge w:val="continue"/>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2023</w:t>
            </w:r>
          </w:p>
        </w:tc>
        <w:tc>
          <w:tcPr>
            <w:tcW w:w="5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2022</w:t>
            </w:r>
          </w:p>
        </w:tc>
        <w:tc>
          <w:tcPr>
            <w:tcW w:w="4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2023</w:t>
            </w:r>
          </w:p>
        </w:tc>
        <w:tc>
          <w:tcPr>
            <w:tcW w:w="5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2022</w:t>
            </w:r>
          </w:p>
        </w:tc>
        <w:tc>
          <w:tcPr>
            <w:tcW w:w="0" w:type="dxa"/>
            <w:vAlign w:val="bottom"/>
          </w:tcPr>
          <w:p>
            <w:pPr>
              <w:spacing w:after="0"/>
              <w:rPr>
                <w:sz w:val="1"/>
                <w:szCs w:val="1"/>
                <w:color w:val="auto"/>
              </w:rPr>
            </w:pPr>
          </w:p>
        </w:tc>
      </w:tr>
      <w:tr>
        <w:trPr>
          <w:trHeight w:val="207"/>
        </w:trPr>
        <w:tc>
          <w:tcPr>
            <w:tcW w:w="5000" w:type="dxa"/>
            <w:vAlign w:val="bottom"/>
          </w:tcPr>
          <w:p>
            <w:pPr>
              <w:ind w:left="220"/>
              <w:spacing w:after="0"/>
              <w:rPr>
                <w:sz w:val="20"/>
                <w:szCs w:val="20"/>
                <w:color w:val="auto"/>
              </w:rPr>
            </w:pPr>
            <w:r>
              <w:rPr>
                <w:rFonts w:ascii="Arial" w:cs="Arial" w:eastAsia="Arial" w:hAnsi="Arial"/>
                <w:sz w:val="17"/>
                <w:szCs w:val="17"/>
                <w:color w:val="auto"/>
              </w:rPr>
              <w:t>Net income</w:t>
            </w:r>
          </w:p>
        </w:tc>
        <w:tc>
          <w:tcPr>
            <w:tcW w:w="460" w:type="dxa"/>
            <w:vAlign w:val="bottom"/>
          </w:tcPr>
          <w:p>
            <w:pPr>
              <w:jc w:val="right"/>
              <w:ind w:right="256"/>
              <w:spacing w:after="0"/>
              <w:rPr>
                <w:sz w:val="20"/>
                <w:szCs w:val="20"/>
                <w:color w:val="auto"/>
              </w:rPr>
            </w:pPr>
            <w:r>
              <w:rPr>
                <w:rFonts w:ascii="Arial" w:cs="Arial" w:eastAsia="Arial" w:hAnsi="Arial"/>
                <w:sz w:val="17"/>
                <w:szCs w:val="17"/>
                <w:b w:val="1"/>
                <w:bCs w:val="1"/>
                <w:color w:val="00539B"/>
              </w:rPr>
              <w:t>$</w:t>
            </w:r>
          </w:p>
        </w:tc>
        <w:tc>
          <w:tcPr>
            <w:tcW w:w="1140" w:type="dxa"/>
            <w:vAlign w:val="bottom"/>
          </w:tcPr>
          <w:p>
            <w:pPr>
              <w:jc w:val="right"/>
              <w:spacing w:after="0"/>
              <w:rPr>
                <w:sz w:val="20"/>
                <w:szCs w:val="20"/>
                <w:color w:val="auto"/>
              </w:rPr>
            </w:pPr>
            <w:r>
              <w:rPr>
                <w:rFonts w:ascii="Arial" w:cs="Arial" w:eastAsia="Arial" w:hAnsi="Arial"/>
                <w:sz w:val="17"/>
                <w:szCs w:val="17"/>
                <w:b w:val="1"/>
                <w:bCs w:val="1"/>
                <w:color w:val="00539B"/>
              </w:rPr>
              <w:t>860</w:t>
            </w:r>
          </w:p>
        </w:tc>
        <w:tc>
          <w:tcPr>
            <w:tcW w:w="540" w:type="dxa"/>
            <w:vAlign w:val="bottom"/>
          </w:tcPr>
          <w:p>
            <w:pPr>
              <w:jc w:val="right"/>
              <w:ind w:right="336"/>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3,755</w:t>
            </w:r>
          </w:p>
        </w:tc>
        <w:tc>
          <w:tcPr>
            <w:tcW w:w="480" w:type="dxa"/>
            <w:vAlign w:val="bottom"/>
          </w:tcPr>
          <w:p>
            <w:pPr>
              <w:jc w:val="right"/>
              <w:ind w:right="276"/>
              <w:spacing w:after="0"/>
              <w:rPr>
                <w:sz w:val="20"/>
                <w:szCs w:val="20"/>
                <w:color w:val="auto"/>
              </w:rPr>
            </w:pPr>
            <w:r>
              <w:rPr>
                <w:rFonts w:ascii="Arial" w:cs="Arial" w:eastAsia="Arial" w:hAnsi="Arial"/>
                <w:sz w:val="17"/>
                <w:szCs w:val="17"/>
                <w:b w:val="1"/>
                <w:bCs w:val="1"/>
                <w:color w:val="00539B"/>
              </w:rPr>
              <w:t>$</w:t>
            </w:r>
          </w:p>
        </w:tc>
        <w:tc>
          <w:tcPr>
            <w:tcW w:w="1040" w:type="dxa"/>
            <w:vAlign w:val="bottom"/>
          </w:tcPr>
          <w:p>
            <w:pPr>
              <w:jc w:val="right"/>
              <w:ind w:right="36"/>
              <w:spacing w:after="0"/>
              <w:rPr>
                <w:sz w:val="20"/>
                <w:szCs w:val="20"/>
                <w:color w:val="auto"/>
              </w:rPr>
            </w:pPr>
            <w:r>
              <w:rPr>
                <w:rFonts w:ascii="Arial" w:cs="Arial" w:eastAsia="Arial" w:hAnsi="Arial"/>
                <w:sz w:val="17"/>
                <w:szCs w:val="17"/>
                <w:b w:val="1"/>
                <w:bCs w:val="1"/>
                <w:color w:val="00539B"/>
              </w:rPr>
              <w:t>2,123</w:t>
            </w:r>
          </w:p>
        </w:tc>
        <w:tc>
          <w:tcPr>
            <w:tcW w:w="520" w:type="dxa"/>
            <w:vAlign w:val="bottom"/>
          </w:tcPr>
          <w:p>
            <w:pPr>
              <w:jc w:val="right"/>
              <w:ind w:right="276"/>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8,631</w:t>
            </w:r>
          </w:p>
        </w:tc>
        <w:tc>
          <w:tcPr>
            <w:tcW w:w="0" w:type="dxa"/>
            <w:vAlign w:val="bottom"/>
          </w:tcPr>
          <w:p>
            <w:pPr>
              <w:spacing w:after="0"/>
              <w:rPr>
                <w:sz w:val="1"/>
                <w:szCs w:val="1"/>
                <w:color w:val="auto"/>
              </w:rPr>
            </w:pPr>
          </w:p>
        </w:tc>
      </w:tr>
      <w:tr>
        <w:trPr>
          <w:trHeight w:val="237"/>
        </w:trPr>
        <w:tc>
          <w:tcPr>
            <w:tcW w:w="5000" w:type="dxa"/>
            <w:vAlign w:val="bottom"/>
            <w:tcBorders>
              <w:bottom w:val="single" w:sz="8" w:color="auto"/>
            </w:tcBorders>
          </w:tcPr>
          <w:p>
            <w:pPr>
              <w:ind w:left="340"/>
              <w:spacing w:after="0"/>
              <w:rPr>
                <w:sz w:val="20"/>
                <w:szCs w:val="20"/>
                <w:color w:val="auto"/>
              </w:rPr>
            </w:pPr>
            <w:r>
              <w:rPr>
                <w:rFonts w:ascii="Arial" w:cs="Arial" w:eastAsia="Arial" w:hAnsi="Arial"/>
                <w:sz w:val="17"/>
                <w:szCs w:val="17"/>
                <w:color w:val="auto"/>
              </w:rPr>
              <w:t>Less: Preferred stock dividends and redemption premiums</w:t>
            </w:r>
          </w:p>
        </w:tc>
        <w:tc>
          <w:tcPr>
            <w:tcW w:w="4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(255)</w:t>
            </w:r>
          </w:p>
        </w:tc>
        <w:tc>
          <w:tcPr>
            <w:tcW w:w="5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(200)</w:t>
            </w:r>
          </w:p>
        </w:tc>
        <w:tc>
          <w:tcPr>
            <w:tcW w:w="4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(535)</w:t>
            </w:r>
          </w:p>
        </w:tc>
        <w:tc>
          <w:tcPr>
            <w:tcW w:w="5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(400)</w:t>
            </w:r>
          </w:p>
        </w:tc>
        <w:tc>
          <w:tcPr>
            <w:tcW w:w="0" w:type="dxa"/>
            <w:vAlign w:val="bottom"/>
          </w:tcPr>
          <w:p>
            <w:pPr>
              <w:spacing w:after="0"/>
              <w:rPr>
                <w:sz w:val="1"/>
                <w:szCs w:val="1"/>
                <w:color w:val="auto"/>
              </w:rPr>
            </w:pPr>
          </w:p>
        </w:tc>
      </w:tr>
      <w:tr>
        <w:trPr>
          <w:trHeight w:val="196"/>
        </w:trPr>
        <w:tc>
          <w:tcPr>
            <w:tcW w:w="5000" w:type="dxa"/>
            <w:vAlign w:val="bottom"/>
          </w:tcPr>
          <w:p>
            <w:pPr>
              <w:ind w:left="220"/>
              <w:spacing w:after="0"/>
              <w:rPr>
                <w:sz w:val="20"/>
                <w:szCs w:val="20"/>
                <w:color w:val="auto"/>
              </w:rPr>
            </w:pPr>
            <w:r>
              <w:rPr>
                <w:rFonts w:ascii="Arial" w:cs="Arial" w:eastAsia="Arial" w:hAnsi="Arial"/>
                <w:sz w:val="17"/>
                <w:szCs w:val="17"/>
                <w:color w:val="auto"/>
              </w:rPr>
              <w:t>Net income attributable to common stock</w:t>
            </w:r>
          </w:p>
        </w:tc>
        <w:tc>
          <w:tcPr>
            <w:tcW w:w="460" w:type="dxa"/>
            <w:vAlign w:val="bottom"/>
          </w:tcPr>
          <w:p>
            <w:pPr>
              <w:jc w:val="right"/>
              <w:ind w:right="256"/>
              <w:spacing w:after="0"/>
              <w:rPr>
                <w:sz w:val="20"/>
                <w:szCs w:val="20"/>
                <w:color w:val="auto"/>
              </w:rPr>
            </w:pPr>
            <w:r>
              <w:rPr>
                <w:rFonts w:ascii="Arial" w:cs="Arial" w:eastAsia="Arial" w:hAnsi="Arial"/>
                <w:sz w:val="17"/>
                <w:szCs w:val="17"/>
                <w:b w:val="1"/>
                <w:bCs w:val="1"/>
                <w:color w:val="00539B"/>
              </w:rPr>
              <w:t>$</w:t>
            </w:r>
          </w:p>
        </w:tc>
        <w:tc>
          <w:tcPr>
            <w:tcW w:w="1140" w:type="dxa"/>
            <w:vAlign w:val="bottom"/>
          </w:tcPr>
          <w:p>
            <w:pPr>
              <w:jc w:val="right"/>
              <w:spacing w:after="0"/>
              <w:rPr>
                <w:sz w:val="20"/>
                <w:szCs w:val="20"/>
                <w:color w:val="auto"/>
              </w:rPr>
            </w:pPr>
            <w:r>
              <w:rPr>
                <w:rFonts w:ascii="Arial" w:cs="Arial" w:eastAsia="Arial" w:hAnsi="Arial"/>
                <w:sz w:val="17"/>
                <w:szCs w:val="17"/>
                <w:b w:val="1"/>
                <w:bCs w:val="1"/>
                <w:color w:val="00539B"/>
              </w:rPr>
              <w:t>605</w:t>
            </w:r>
          </w:p>
        </w:tc>
        <w:tc>
          <w:tcPr>
            <w:tcW w:w="540" w:type="dxa"/>
            <w:vAlign w:val="bottom"/>
          </w:tcPr>
          <w:p>
            <w:pPr>
              <w:jc w:val="right"/>
              <w:ind w:right="336"/>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3,555</w:t>
            </w:r>
          </w:p>
        </w:tc>
        <w:tc>
          <w:tcPr>
            <w:tcW w:w="480" w:type="dxa"/>
            <w:vAlign w:val="bottom"/>
          </w:tcPr>
          <w:p>
            <w:pPr>
              <w:jc w:val="right"/>
              <w:ind w:right="276"/>
              <w:spacing w:after="0"/>
              <w:rPr>
                <w:sz w:val="20"/>
                <w:szCs w:val="20"/>
                <w:color w:val="auto"/>
              </w:rPr>
            </w:pPr>
            <w:r>
              <w:rPr>
                <w:rFonts w:ascii="Arial" w:cs="Arial" w:eastAsia="Arial" w:hAnsi="Arial"/>
                <w:sz w:val="17"/>
                <w:szCs w:val="17"/>
                <w:b w:val="1"/>
                <w:bCs w:val="1"/>
                <w:color w:val="00539B"/>
              </w:rPr>
              <w:t>$</w:t>
            </w:r>
          </w:p>
        </w:tc>
        <w:tc>
          <w:tcPr>
            <w:tcW w:w="1040" w:type="dxa"/>
            <w:vAlign w:val="bottom"/>
          </w:tcPr>
          <w:p>
            <w:pPr>
              <w:jc w:val="right"/>
              <w:ind w:right="36"/>
              <w:spacing w:after="0"/>
              <w:rPr>
                <w:sz w:val="20"/>
                <w:szCs w:val="20"/>
                <w:color w:val="auto"/>
              </w:rPr>
            </w:pPr>
            <w:r>
              <w:rPr>
                <w:rFonts w:ascii="Arial" w:cs="Arial" w:eastAsia="Arial" w:hAnsi="Arial"/>
                <w:sz w:val="17"/>
                <w:szCs w:val="17"/>
                <w:b w:val="1"/>
                <w:bCs w:val="1"/>
                <w:color w:val="00539B"/>
              </w:rPr>
              <w:t>1,588</w:t>
            </w:r>
          </w:p>
        </w:tc>
        <w:tc>
          <w:tcPr>
            <w:tcW w:w="520" w:type="dxa"/>
            <w:vAlign w:val="bottom"/>
          </w:tcPr>
          <w:p>
            <w:pPr>
              <w:jc w:val="right"/>
              <w:ind w:right="276"/>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8,231</w:t>
            </w:r>
          </w:p>
        </w:tc>
        <w:tc>
          <w:tcPr>
            <w:tcW w:w="0" w:type="dxa"/>
            <w:vAlign w:val="bottom"/>
          </w:tcPr>
          <w:p>
            <w:pPr>
              <w:spacing w:after="0"/>
              <w:rPr>
                <w:sz w:val="1"/>
                <w:szCs w:val="1"/>
                <w:color w:val="auto"/>
              </w:rPr>
            </w:pPr>
          </w:p>
        </w:tc>
      </w:tr>
      <w:tr>
        <w:trPr>
          <w:trHeight w:val="237"/>
        </w:trPr>
        <w:tc>
          <w:tcPr>
            <w:tcW w:w="5000" w:type="dxa"/>
            <w:vAlign w:val="bottom"/>
            <w:tcBorders>
              <w:bottom w:val="single" w:sz="8" w:color="auto"/>
            </w:tcBorders>
          </w:tcPr>
          <w:p>
            <w:pPr>
              <w:ind w:left="340"/>
              <w:spacing w:after="0"/>
              <w:rPr>
                <w:sz w:val="20"/>
                <w:szCs w:val="20"/>
                <w:color w:val="auto"/>
              </w:rPr>
            </w:pPr>
            <w:r>
              <w:rPr>
                <w:rFonts w:ascii="Arial" w:cs="Arial" w:eastAsia="Arial" w:hAnsi="Arial"/>
                <w:sz w:val="17"/>
                <w:szCs w:val="17"/>
                <w:color w:val="auto"/>
              </w:rPr>
              <w:t>Less: Net income allocated to participating securities</w:t>
            </w:r>
          </w:p>
        </w:tc>
        <w:tc>
          <w:tcPr>
            <w:tcW w:w="4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(4)</w:t>
            </w:r>
          </w:p>
        </w:tc>
        <w:tc>
          <w:tcPr>
            <w:tcW w:w="5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w:t>
            </w:r>
          </w:p>
        </w:tc>
        <w:tc>
          <w:tcPr>
            <w:tcW w:w="4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(10)</w:t>
            </w:r>
          </w:p>
        </w:tc>
        <w:tc>
          <w:tcPr>
            <w:tcW w:w="5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(59)</w:t>
            </w:r>
          </w:p>
        </w:tc>
        <w:tc>
          <w:tcPr>
            <w:tcW w:w="0" w:type="dxa"/>
            <w:vAlign w:val="bottom"/>
          </w:tcPr>
          <w:p>
            <w:pPr>
              <w:spacing w:after="0"/>
              <w:rPr>
                <w:sz w:val="1"/>
                <w:szCs w:val="1"/>
                <w:color w:val="auto"/>
              </w:rPr>
            </w:pPr>
          </w:p>
        </w:tc>
      </w:tr>
      <w:tr>
        <w:trPr>
          <w:trHeight w:val="223"/>
        </w:trPr>
        <w:tc>
          <w:tcPr>
            <w:tcW w:w="500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Net income, net of participating securities</w:t>
            </w:r>
          </w:p>
        </w:tc>
        <w:tc>
          <w:tcPr>
            <w:tcW w:w="460" w:type="dxa"/>
            <w:vAlign w:val="bottom"/>
            <w:tcBorders>
              <w:bottom w:val="single" w:sz="8" w:color="auto"/>
            </w:tcBorders>
          </w:tcPr>
          <w:p>
            <w:pPr>
              <w:jc w:val="right"/>
              <w:ind w:right="256"/>
              <w:spacing w:after="0"/>
              <w:rPr>
                <w:sz w:val="20"/>
                <w:szCs w:val="20"/>
                <w:color w:val="auto"/>
              </w:rPr>
            </w:pPr>
            <w:r>
              <w:rPr>
                <w:rFonts w:ascii="Arial" w:cs="Arial" w:eastAsia="Arial" w:hAnsi="Arial"/>
                <w:sz w:val="17"/>
                <w:szCs w:val="17"/>
                <w:b w:val="1"/>
                <w:bCs w:val="1"/>
                <w:color w:val="00539B"/>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601</w:t>
            </w:r>
          </w:p>
        </w:tc>
        <w:tc>
          <w:tcPr>
            <w:tcW w:w="540" w:type="dxa"/>
            <w:vAlign w:val="bottom"/>
            <w:tcBorders>
              <w:bottom w:val="single" w:sz="8" w:color="auto"/>
            </w:tcBorders>
          </w:tcPr>
          <w:p>
            <w:pPr>
              <w:jc w:val="right"/>
              <w:ind w:right="336"/>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3,527</w:t>
            </w:r>
          </w:p>
        </w:tc>
        <w:tc>
          <w:tcPr>
            <w:tcW w:w="480" w:type="dxa"/>
            <w:vAlign w:val="bottom"/>
            <w:tcBorders>
              <w:bottom w:val="single" w:sz="8" w:color="auto"/>
            </w:tcBorders>
          </w:tcPr>
          <w:p>
            <w:pPr>
              <w:jc w:val="right"/>
              <w:ind w:right="276"/>
              <w:spacing w:after="0"/>
              <w:rPr>
                <w:sz w:val="20"/>
                <w:szCs w:val="20"/>
                <w:color w:val="auto"/>
              </w:rPr>
            </w:pPr>
            <w:r>
              <w:rPr>
                <w:rFonts w:ascii="Arial" w:cs="Arial" w:eastAsia="Arial" w:hAnsi="Arial"/>
                <w:sz w:val="17"/>
                <w:szCs w:val="17"/>
                <w:b w:val="1"/>
                <w:bCs w:val="1"/>
                <w:color w:val="00539B"/>
              </w:rPr>
              <w:t>$</w:t>
            </w:r>
          </w:p>
        </w:tc>
        <w:tc>
          <w:tcPr>
            <w:tcW w:w="104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b w:val="1"/>
                <w:bCs w:val="1"/>
                <w:color w:val="00539B"/>
              </w:rPr>
              <w:t>1,578</w:t>
            </w:r>
          </w:p>
        </w:tc>
        <w:tc>
          <w:tcPr>
            <w:tcW w:w="520" w:type="dxa"/>
            <w:vAlign w:val="bottom"/>
            <w:tcBorders>
              <w:bottom w:val="single" w:sz="8" w:color="auto"/>
            </w:tcBorders>
          </w:tcPr>
          <w:p>
            <w:pPr>
              <w:jc w:val="right"/>
              <w:ind w:right="276"/>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8,172</w:t>
            </w:r>
          </w:p>
        </w:tc>
        <w:tc>
          <w:tcPr>
            <w:tcW w:w="0" w:type="dxa"/>
            <w:vAlign w:val="bottom"/>
          </w:tcPr>
          <w:p>
            <w:pPr>
              <w:spacing w:after="0"/>
              <w:rPr>
                <w:sz w:val="1"/>
                <w:szCs w:val="1"/>
                <w:color w:val="auto"/>
              </w:rPr>
            </w:pPr>
          </w:p>
        </w:tc>
      </w:tr>
      <w:tr>
        <w:trPr>
          <w:trHeight w:val="207"/>
        </w:trPr>
        <w:tc>
          <w:tcPr>
            <w:tcW w:w="500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Weighted-average number of basic shares</w:t>
            </w:r>
          </w:p>
        </w:tc>
        <w:tc>
          <w:tcPr>
            <w:tcW w:w="4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889.3</w:t>
            </w:r>
          </w:p>
        </w:tc>
        <w:tc>
          <w:tcPr>
            <w:tcW w:w="5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939.2</w:t>
            </w:r>
          </w:p>
        </w:tc>
        <w:tc>
          <w:tcPr>
            <w:tcW w:w="4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895.6</w:t>
            </w:r>
          </w:p>
        </w:tc>
        <w:tc>
          <w:tcPr>
            <w:tcW w:w="5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938.3</w:t>
            </w:r>
          </w:p>
        </w:tc>
        <w:tc>
          <w:tcPr>
            <w:tcW w:w="0" w:type="dxa"/>
            <w:vAlign w:val="bottom"/>
          </w:tcPr>
          <w:p>
            <w:pPr>
              <w:spacing w:after="0"/>
              <w:rPr>
                <w:sz w:val="1"/>
                <w:szCs w:val="1"/>
                <w:color w:val="auto"/>
              </w:rPr>
            </w:pPr>
          </w:p>
        </w:tc>
      </w:tr>
      <w:tr>
        <w:trPr>
          <w:trHeight w:val="220"/>
        </w:trPr>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Basic income per common share</w:t>
            </w:r>
          </w:p>
        </w:tc>
        <w:tc>
          <w:tcPr>
            <w:tcW w:w="460" w:type="dxa"/>
            <w:vAlign w:val="bottom"/>
            <w:tcBorders>
              <w:bottom w:val="single" w:sz="8" w:color="auto"/>
            </w:tcBorders>
          </w:tcPr>
          <w:p>
            <w:pPr>
              <w:jc w:val="right"/>
              <w:ind w:right="256"/>
              <w:spacing w:after="0"/>
              <w:rPr>
                <w:sz w:val="20"/>
                <w:szCs w:val="20"/>
                <w:color w:val="auto"/>
              </w:rPr>
            </w:pPr>
            <w:r>
              <w:rPr>
                <w:rFonts w:ascii="Arial" w:cs="Arial" w:eastAsia="Arial" w:hAnsi="Arial"/>
                <w:sz w:val="17"/>
                <w:szCs w:val="17"/>
                <w:b w:val="1"/>
                <w:bCs w:val="1"/>
                <w:color w:val="00539B"/>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0.68</w:t>
            </w:r>
          </w:p>
        </w:tc>
        <w:tc>
          <w:tcPr>
            <w:tcW w:w="540" w:type="dxa"/>
            <w:vAlign w:val="bottom"/>
            <w:tcBorders>
              <w:bottom w:val="single" w:sz="8" w:color="auto"/>
            </w:tcBorders>
          </w:tcPr>
          <w:p>
            <w:pPr>
              <w:jc w:val="right"/>
              <w:ind w:right="336"/>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3.76</w:t>
            </w:r>
          </w:p>
        </w:tc>
        <w:tc>
          <w:tcPr>
            <w:tcW w:w="480" w:type="dxa"/>
            <w:vAlign w:val="bottom"/>
            <w:tcBorders>
              <w:bottom w:val="single" w:sz="8" w:color="auto"/>
            </w:tcBorders>
          </w:tcPr>
          <w:p>
            <w:pPr>
              <w:jc w:val="right"/>
              <w:ind w:right="276"/>
              <w:spacing w:after="0"/>
              <w:rPr>
                <w:sz w:val="20"/>
                <w:szCs w:val="20"/>
                <w:color w:val="auto"/>
              </w:rPr>
            </w:pPr>
            <w:r>
              <w:rPr>
                <w:rFonts w:ascii="Arial" w:cs="Arial" w:eastAsia="Arial" w:hAnsi="Arial"/>
                <w:sz w:val="17"/>
                <w:szCs w:val="17"/>
                <w:b w:val="1"/>
                <w:bCs w:val="1"/>
                <w:color w:val="00539B"/>
              </w:rPr>
              <w:t>$</w:t>
            </w:r>
          </w:p>
        </w:tc>
        <w:tc>
          <w:tcPr>
            <w:tcW w:w="104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b w:val="1"/>
                <w:bCs w:val="1"/>
                <w:color w:val="00539B"/>
              </w:rPr>
              <w:t>1.76</w:t>
            </w:r>
          </w:p>
        </w:tc>
        <w:tc>
          <w:tcPr>
            <w:tcW w:w="520" w:type="dxa"/>
            <w:vAlign w:val="bottom"/>
            <w:tcBorders>
              <w:bottom w:val="single" w:sz="8" w:color="auto"/>
            </w:tcBorders>
          </w:tcPr>
          <w:p>
            <w:pPr>
              <w:jc w:val="right"/>
              <w:ind w:right="276"/>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8.71</w:t>
            </w:r>
          </w:p>
        </w:tc>
        <w:tc>
          <w:tcPr>
            <w:tcW w:w="0" w:type="dxa"/>
            <w:vAlign w:val="bottom"/>
          </w:tcPr>
          <w:p>
            <w:pPr>
              <w:spacing w:after="0"/>
              <w:rPr>
                <w:sz w:val="1"/>
                <w:szCs w:val="1"/>
                <w:color w:val="auto"/>
              </w:rPr>
            </w:pPr>
          </w:p>
        </w:tc>
      </w:tr>
      <w:tr>
        <w:trPr>
          <w:trHeight w:val="207"/>
        </w:trPr>
        <w:tc>
          <w:tcPr>
            <w:tcW w:w="5000" w:type="dxa"/>
            <w:vAlign w:val="bottom"/>
          </w:tcPr>
          <w:p>
            <w:pPr>
              <w:ind w:left="240"/>
              <w:spacing w:after="0"/>
              <w:rPr>
                <w:sz w:val="20"/>
                <w:szCs w:val="20"/>
                <w:color w:val="auto"/>
              </w:rPr>
            </w:pPr>
            <w:r>
              <w:rPr>
                <w:rFonts w:ascii="Arial" w:cs="Arial" w:eastAsia="Arial" w:hAnsi="Arial"/>
                <w:sz w:val="17"/>
                <w:szCs w:val="17"/>
                <w:color w:val="auto"/>
              </w:rPr>
              <w:t>Net income attributable to common stock</w:t>
            </w:r>
          </w:p>
        </w:tc>
        <w:tc>
          <w:tcPr>
            <w:tcW w:w="460" w:type="dxa"/>
            <w:vAlign w:val="bottom"/>
          </w:tcPr>
          <w:p>
            <w:pPr>
              <w:jc w:val="right"/>
              <w:ind w:right="256"/>
              <w:spacing w:after="0"/>
              <w:rPr>
                <w:sz w:val="20"/>
                <w:szCs w:val="20"/>
                <w:color w:val="auto"/>
              </w:rPr>
            </w:pPr>
            <w:r>
              <w:rPr>
                <w:rFonts w:ascii="Arial" w:cs="Arial" w:eastAsia="Arial" w:hAnsi="Arial"/>
                <w:sz w:val="17"/>
                <w:szCs w:val="17"/>
                <w:b w:val="1"/>
                <w:bCs w:val="1"/>
                <w:color w:val="00539B"/>
              </w:rPr>
              <w:t>$</w:t>
            </w:r>
          </w:p>
        </w:tc>
        <w:tc>
          <w:tcPr>
            <w:tcW w:w="1140" w:type="dxa"/>
            <w:vAlign w:val="bottom"/>
          </w:tcPr>
          <w:p>
            <w:pPr>
              <w:jc w:val="right"/>
              <w:spacing w:after="0"/>
              <w:rPr>
                <w:sz w:val="20"/>
                <w:szCs w:val="20"/>
                <w:color w:val="auto"/>
              </w:rPr>
            </w:pPr>
            <w:r>
              <w:rPr>
                <w:rFonts w:ascii="Arial" w:cs="Arial" w:eastAsia="Arial" w:hAnsi="Arial"/>
                <w:sz w:val="17"/>
                <w:szCs w:val="17"/>
                <w:b w:val="1"/>
                <w:bCs w:val="1"/>
                <w:color w:val="00539B"/>
              </w:rPr>
              <w:t>605</w:t>
            </w:r>
          </w:p>
        </w:tc>
        <w:tc>
          <w:tcPr>
            <w:tcW w:w="540" w:type="dxa"/>
            <w:vAlign w:val="bottom"/>
          </w:tcPr>
          <w:p>
            <w:pPr>
              <w:jc w:val="right"/>
              <w:ind w:right="336"/>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3,555</w:t>
            </w:r>
          </w:p>
        </w:tc>
        <w:tc>
          <w:tcPr>
            <w:tcW w:w="480" w:type="dxa"/>
            <w:vAlign w:val="bottom"/>
          </w:tcPr>
          <w:p>
            <w:pPr>
              <w:jc w:val="right"/>
              <w:ind w:right="276"/>
              <w:spacing w:after="0"/>
              <w:rPr>
                <w:sz w:val="20"/>
                <w:szCs w:val="20"/>
                <w:color w:val="auto"/>
              </w:rPr>
            </w:pPr>
            <w:r>
              <w:rPr>
                <w:rFonts w:ascii="Arial" w:cs="Arial" w:eastAsia="Arial" w:hAnsi="Arial"/>
                <w:sz w:val="17"/>
                <w:szCs w:val="17"/>
                <w:b w:val="1"/>
                <w:bCs w:val="1"/>
                <w:color w:val="00539B"/>
              </w:rPr>
              <w:t>$</w:t>
            </w:r>
          </w:p>
        </w:tc>
        <w:tc>
          <w:tcPr>
            <w:tcW w:w="1040" w:type="dxa"/>
            <w:vAlign w:val="bottom"/>
          </w:tcPr>
          <w:p>
            <w:pPr>
              <w:jc w:val="right"/>
              <w:ind w:right="36"/>
              <w:spacing w:after="0"/>
              <w:rPr>
                <w:sz w:val="20"/>
                <w:szCs w:val="20"/>
                <w:color w:val="auto"/>
              </w:rPr>
            </w:pPr>
            <w:r>
              <w:rPr>
                <w:rFonts w:ascii="Arial" w:cs="Arial" w:eastAsia="Arial" w:hAnsi="Arial"/>
                <w:sz w:val="17"/>
                <w:szCs w:val="17"/>
                <w:b w:val="1"/>
                <w:bCs w:val="1"/>
                <w:color w:val="00539B"/>
              </w:rPr>
              <w:t>1,588</w:t>
            </w:r>
          </w:p>
        </w:tc>
        <w:tc>
          <w:tcPr>
            <w:tcW w:w="520" w:type="dxa"/>
            <w:vAlign w:val="bottom"/>
          </w:tcPr>
          <w:p>
            <w:pPr>
              <w:jc w:val="right"/>
              <w:ind w:right="276"/>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8,231</w:t>
            </w:r>
          </w:p>
        </w:tc>
        <w:tc>
          <w:tcPr>
            <w:tcW w:w="0" w:type="dxa"/>
            <w:vAlign w:val="bottom"/>
          </w:tcPr>
          <w:p>
            <w:pPr>
              <w:spacing w:after="0"/>
              <w:rPr>
                <w:sz w:val="1"/>
                <w:szCs w:val="1"/>
                <w:color w:val="auto"/>
              </w:rPr>
            </w:pPr>
          </w:p>
        </w:tc>
      </w:tr>
      <w:tr>
        <w:trPr>
          <w:trHeight w:val="226"/>
        </w:trPr>
        <w:tc>
          <w:tcPr>
            <w:tcW w:w="5000" w:type="dxa"/>
            <w:vAlign w:val="bottom"/>
            <w:tcBorders>
              <w:bottom w:val="single" w:sz="8" w:color="auto"/>
            </w:tcBorders>
          </w:tcPr>
          <w:p>
            <w:pPr>
              <w:ind w:left="340"/>
              <w:spacing w:after="0"/>
              <w:rPr>
                <w:sz w:val="20"/>
                <w:szCs w:val="20"/>
                <w:color w:val="auto"/>
              </w:rPr>
            </w:pPr>
            <w:r>
              <w:rPr>
                <w:rFonts w:ascii="Arial" w:cs="Arial" w:eastAsia="Arial" w:hAnsi="Arial"/>
                <w:sz w:val="17"/>
                <w:szCs w:val="17"/>
                <w:color w:val="auto"/>
              </w:rPr>
              <w:t>Less: Net income allocated to participating securities</w:t>
            </w:r>
          </w:p>
        </w:tc>
        <w:tc>
          <w:tcPr>
            <w:tcW w:w="4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(4)</w:t>
            </w:r>
          </w:p>
        </w:tc>
        <w:tc>
          <w:tcPr>
            <w:tcW w:w="5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w:t>
            </w:r>
          </w:p>
        </w:tc>
        <w:tc>
          <w:tcPr>
            <w:tcW w:w="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(10)</w:t>
            </w:r>
          </w:p>
        </w:tc>
        <w:tc>
          <w:tcPr>
            <w:tcW w:w="5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(56)</w:t>
            </w:r>
          </w:p>
        </w:tc>
        <w:tc>
          <w:tcPr>
            <w:tcW w:w="0" w:type="dxa"/>
            <w:vAlign w:val="bottom"/>
          </w:tcPr>
          <w:p>
            <w:pPr>
              <w:spacing w:after="0"/>
              <w:rPr>
                <w:sz w:val="1"/>
                <w:szCs w:val="1"/>
                <w:color w:val="auto"/>
              </w:rPr>
            </w:pPr>
          </w:p>
        </w:tc>
      </w:tr>
      <w:tr>
        <w:trPr>
          <w:trHeight w:val="220"/>
        </w:trPr>
        <w:tc>
          <w:tcPr>
            <w:tcW w:w="500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Net income, net of participating securities</w:t>
            </w:r>
          </w:p>
        </w:tc>
        <w:tc>
          <w:tcPr>
            <w:tcW w:w="460" w:type="dxa"/>
            <w:vAlign w:val="bottom"/>
            <w:tcBorders>
              <w:bottom w:val="single" w:sz="8" w:color="auto"/>
            </w:tcBorders>
          </w:tcPr>
          <w:p>
            <w:pPr>
              <w:jc w:val="right"/>
              <w:ind w:right="256"/>
              <w:spacing w:after="0"/>
              <w:rPr>
                <w:sz w:val="20"/>
                <w:szCs w:val="20"/>
                <w:color w:val="auto"/>
              </w:rPr>
            </w:pPr>
            <w:r>
              <w:rPr>
                <w:rFonts w:ascii="Arial" w:cs="Arial" w:eastAsia="Arial" w:hAnsi="Arial"/>
                <w:sz w:val="17"/>
                <w:szCs w:val="17"/>
                <w:b w:val="1"/>
                <w:bCs w:val="1"/>
                <w:color w:val="00539B"/>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601</w:t>
            </w:r>
          </w:p>
        </w:tc>
        <w:tc>
          <w:tcPr>
            <w:tcW w:w="540" w:type="dxa"/>
            <w:vAlign w:val="bottom"/>
            <w:tcBorders>
              <w:bottom w:val="single" w:sz="8" w:color="auto"/>
            </w:tcBorders>
          </w:tcPr>
          <w:p>
            <w:pPr>
              <w:jc w:val="right"/>
              <w:ind w:right="336"/>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3,529</w:t>
            </w:r>
          </w:p>
        </w:tc>
        <w:tc>
          <w:tcPr>
            <w:tcW w:w="480" w:type="dxa"/>
            <w:vAlign w:val="bottom"/>
            <w:tcBorders>
              <w:bottom w:val="single" w:sz="8" w:color="auto"/>
            </w:tcBorders>
          </w:tcPr>
          <w:p>
            <w:pPr>
              <w:jc w:val="right"/>
              <w:ind w:right="276"/>
              <w:spacing w:after="0"/>
              <w:rPr>
                <w:sz w:val="20"/>
                <w:szCs w:val="20"/>
                <w:color w:val="auto"/>
              </w:rPr>
            </w:pPr>
            <w:r>
              <w:rPr>
                <w:rFonts w:ascii="Arial" w:cs="Arial" w:eastAsia="Arial" w:hAnsi="Arial"/>
                <w:sz w:val="17"/>
                <w:szCs w:val="17"/>
                <w:b w:val="1"/>
                <w:bCs w:val="1"/>
                <w:color w:val="00539B"/>
              </w:rPr>
              <w:t>$</w:t>
            </w:r>
          </w:p>
        </w:tc>
        <w:tc>
          <w:tcPr>
            <w:tcW w:w="104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b w:val="1"/>
                <w:bCs w:val="1"/>
                <w:color w:val="00539B"/>
              </w:rPr>
              <w:t>1,578</w:t>
            </w:r>
          </w:p>
        </w:tc>
        <w:tc>
          <w:tcPr>
            <w:tcW w:w="520" w:type="dxa"/>
            <w:vAlign w:val="bottom"/>
            <w:tcBorders>
              <w:bottom w:val="single" w:sz="8" w:color="auto"/>
            </w:tcBorders>
          </w:tcPr>
          <w:p>
            <w:pPr>
              <w:jc w:val="right"/>
              <w:ind w:right="276"/>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8,175</w:t>
            </w:r>
          </w:p>
        </w:tc>
        <w:tc>
          <w:tcPr>
            <w:tcW w:w="0" w:type="dxa"/>
            <w:vAlign w:val="bottom"/>
          </w:tcPr>
          <w:p>
            <w:pPr>
              <w:spacing w:after="0"/>
              <w:rPr>
                <w:sz w:val="1"/>
                <w:szCs w:val="1"/>
                <w:color w:val="auto"/>
              </w:rPr>
            </w:pPr>
          </w:p>
        </w:tc>
      </w:tr>
      <w:tr>
        <w:trPr>
          <w:trHeight w:val="207"/>
        </w:trPr>
        <w:tc>
          <w:tcPr>
            <w:tcW w:w="5000" w:type="dxa"/>
            <w:vAlign w:val="bottom"/>
          </w:tcPr>
          <w:p>
            <w:pPr>
              <w:ind w:left="220"/>
              <w:spacing w:after="0"/>
              <w:rPr>
                <w:sz w:val="20"/>
                <w:szCs w:val="20"/>
                <w:color w:val="auto"/>
              </w:rPr>
            </w:pPr>
            <w:r>
              <w:rPr>
                <w:rFonts w:ascii="Arial" w:cs="Arial" w:eastAsia="Arial" w:hAnsi="Arial"/>
                <w:sz w:val="17"/>
                <w:szCs w:val="17"/>
                <w:color w:val="auto"/>
              </w:rPr>
              <w:t>Weighted-average number of basic shares</w:t>
            </w:r>
          </w:p>
        </w:tc>
        <w:tc>
          <w:tcPr>
            <w:tcW w:w="4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b w:val="1"/>
                <w:bCs w:val="1"/>
                <w:color w:val="00539B"/>
              </w:rPr>
              <w:t>889.3</w:t>
            </w:r>
          </w:p>
        </w:tc>
        <w:tc>
          <w:tcPr>
            <w:tcW w:w="5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939.2</w:t>
            </w:r>
          </w:p>
        </w:tc>
        <w:tc>
          <w:tcPr>
            <w:tcW w:w="480" w:type="dxa"/>
            <w:vAlign w:val="bottom"/>
          </w:tcPr>
          <w:p>
            <w:pPr>
              <w:spacing w:after="0"/>
              <w:rPr>
                <w:sz w:val="18"/>
                <w:szCs w:val="18"/>
                <w:color w:val="auto"/>
              </w:rPr>
            </w:pPr>
          </w:p>
        </w:tc>
        <w:tc>
          <w:tcPr>
            <w:tcW w:w="1040" w:type="dxa"/>
            <w:vAlign w:val="bottom"/>
          </w:tcPr>
          <w:p>
            <w:pPr>
              <w:jc w:val="right"/>
              <w:ind w:right="36"/>
              <w:spacing w:after="0"/>
              <w:rPr>
                <w:sz w:val="20"/>
                <w:szCs w:val="20"/>
                <w:color w:val="auto"/>
              </w:rPr>
            </w:pPr>
            <w:r>
              <w:rPr>
                <w:rFonts w:ascii="Arial" w:cs="Arial" w:eastAsia="Arial" w:hAnsi="Arial"/>
                <w:sz w:val="17"/>
                <w:szCs w:val="17"/>
                <w:b w:val="1"/>
                <w:bCs w:val="1"/>
                <w:color w:val="00539B"/>
              </w:rPr>
              <w:t>895.6</w:t>
            </w:r>
          </w:p>
        </w:tc>
        <w:tc>
          <w:tcPr>
            <w:tcW w:w="5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938.3</w:t>
            </w:r>
          </w:p>
        </w:tc>
        <w:tc>
          <w:tcPr>
            <w:tcW w:w="0" w:type="dxa"/>
            <w:vAlign w:val="bottom"/>
          </w:tcPr>
          <w:p>
            <w:pPr>
              <w:spacing w:after="0"/>
              <w:rPr>
                <w:sz w:val="1"/>
                <w:szCs w:val="1"/>
                <w:color w:val="auto"/>
              </w:rPr>
            </w:pPr>
          </w:p>
        </w:tc>
      </w:tr>
      <w:tr>
        <w:trPr>
          <w:trHeight w:val="226"/>
        </w:trPr>
        <w:tc>
          <w:tcPr>
            <w:tcW w:w="500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Dilutive securities</w:t>
            </w:r>
          </w:p>
        </w:tc>
        <w:tc>
          <w:tcPr>
            <w:tcW w:w="4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69.5</w:t>
            </w:r>
          </w:p>
        </w:tc>
        <w:tc>
          <w:tcPr>
            <w:tcW w:w="5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79.1</w:t>
            </w:r>
          </w:p>
        </w:tc>
        <w:tc>
          <w:tcPr>
            <w:tcW w:w="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b w:val="1"/>
                <w:bCs w:val="1"/>
                <w:color w:val="00539B"/>
              </w:rPr>
              <w:t>71.8</w:t>
            </w:r>
          </w:p>
        </w:tc>
        <w:tc>
          <w:tcPr>
            <w:tcW w:w="5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69.2</w:t>
            </w:r>
          </w:p>
        </w:tc>
        <w:tc>
          <w:tcPr>
            <w:tcW w:w="0" w:type="dxa"/>
            <w:vAlign w:val="bottom"/>
          </w:tcPr>
          <w:p>
            <w:pPr>
              <w:spacing w:after="0"/>
              <w:rPr>
                <w:sz w:val="1"/>
                <w:szCs w:val="1"/>
                <w:color w:val="auto"/>
              </w:rPr>
            </w:pPr>
          </w:p>
        </w:tc>
      </w:tr>
      <w:tr>
        <w:trPr>
          <w:trHeight w:val="220"/>
        </w:trPr>
        <w:tc>
          <w:tcPr>
            <w:tcW w:w="500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Dilutive effect of potentially dilutive securities</w:t>
            </w:r>
          </w:p>
        </w:tc>
        <w:tc>
          <w:tcPr>
            <w:tcW w:w="4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958.8</w:t>
            </w:r>
          </w:p>
        </w:tc>
        <w:tc>
          <w:tcPr>
            <w:tcW w:w="5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1,018.3</w:t>
            </w:r>
          </w:p>
        </w:tc>
        <w:tc>
          <w:tcPr>
            <w:tcW w:w="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b w:val="1"/>
                <w:bCs w:val="1"/>
                <w:color w:val="00539B"/>
              </w:rPr>
              <w:t>967.4</w:t>
            </w:r>
          </w:p>
        </w:tc>
        <w:tc>
          <w:tcPr>
            <w:tcW w:w="5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1,007.5</w:t>
            </w:r>
          </w:p>
        </w:tc>
        <w:tc>
          <w:tcPr>
            <w:tcW w:w="0" w:type="dxa"/>
            <w:vAlign w:val="bottom"/>
          </w:tcPr>
          <w:p>
            <w:pPr>
              <w:spacing w:after="0"/>
              <w:rPr>
                <w:sz w:val="1"/>
                <w:szCs w:val="1"/>
                <w:color w:val="auto"/>
              </w:rPr>
            </w:pPr>
          </w:p>
        </w:tc>
      </w:tr>
      <w:tr>
        <w:trPr>
          <w:trHeight w:val="220"/>
        </w:trPr>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Diluted income per common share</w:t>
            </w:r>
          </w:p>
        </w:tc>
        <w:tc>
          <w:tcPr>
            <w:tcW w:w="460" w:type="dxa"/>
            <w:vAlign w:val="bottom"/>
            <w:tcBorders>
              <w:bottom w:val="single" w:sz="8" w:color="auto"/>
            </w:tcBorders>
          </w:tcPr>
          <w:p>
            <w:pPr>
              <w:jc w:val="right"/>
              <w:ind w:right="256"/>
              <w:spacing w:after="0"/>
              <w:rPr>
                <w:sz w:val="20"/>
                <w:szCs w:val="20"/>
                <w:color w:val="auto"/>
              </w:rPr>
            </w:pPr>
            <w:r>
              <w:rPr>
                <w:rFonts w:ascii="Arial" w:cs="Arial" w:eastAsia="Arial" w:hAnsi="Arial"/>
                <w:sz w:val="17"/>
                <w:szCs w:val="17"/>
                <w:b w:val="1"/>
                <w:bCs w:val="1"/>
                <w:color w:val="00539B"/>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0.63</w:t>
            </w:r>
          </w:p>
        </w:tc>
        <w:tc>
          <w:tcPr>
            <w:tcW w:w="540" w:type="dxa"/>
            <w:vAlign w:val="bottom"/>
            <w:tcBorders>
              <w:bottom w:val="single" w:sz="8" w:color="auto"/>
            </w:tcBorders>
          </w:tcPr>
          <w:p>
            <w:pPr>
              <w:jc w:val="right"/>
              <w:ind w:right="336"/>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3.47</w:t>
            </w:r>
          </w:p>
        </w:tc>
        <w:tc>
          <w:tcPr>
            <w:tcW w:w="480" w:type="dxa"/>
            <w:vAlign w:val="bottom"/>
            <w:tcBorders>
              <w:bottom w:val="single" w:sz="8" w:color="auto"/>
            </w:tcBorders>
          </w:tcPr>
          <w:p>
            <w:pPr>
              <w:jc w:val="right"/>
              <w:ind w:right="276"/>
              <w:spacing w:after="0"/>
              <w:rPr>
                <w:sz w:val="20"/>
                <w:szCs w:val="20"/>
                <w:color w:val="auto"/>
              </w:rPr>
            </w:pPr>
            <w:r>
              <w:rPr>
                <w:rFonts w:ascii="Arial" w:cs="Arial" w:eastAsia="Arial" w:hAnsi="Arial"/>
                <w:sz w:val="17"/>
                <w:szCs w:val="17"/>
                <w:b w:val="1"/>
                <w:bCs w:val="1"/>
                <w:color w:val="00539B"/>
              </w:rPr>
              <w:t>$</w:t>
            </w:r>
          </w:p>
        </w:tc>
        <w:tc>
          <w:tcPr>
            <w:tcW w:w="104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b w:val="1"/>
                <w:bCs w:val="1"/>
                <w:color w:val="00539B"/>
              </w:rPr>
              <w:t>1.63</w:t>
            </w:r>
          </w:p>
        </w:tc>
        <w:tc>
          <w:tcPr>
            <w:tcW w:w="520" w:type="dxa"/>
            <w:vAlign w:val="bottom"/>
            <w:tcBorders>
              <w:bottom w:val="single" w:sz="8" w:color="auto"/>
            </w:tcBorders>
          </w:tcPr>
          <w:p>
            <w:pPr>
              <w:jc w:val="right"/>
              <w:ind w:right="276"/>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8.11</w:t>
            </w:r>
          </w:p>
        </w:tc>
        <w:tc>
          <w:tcPr>
            <w:tcW w:w="0" w:type="dxa"/>
            <w:vAlign w:val="bottom"/>
          </w:tcPr>
          <w:p>
            <w:pPr>
              <w:spacing w:after="0"/>
              <w:rPr>
                <w:sz w:val="1"/>
                <w:szCs w:val="1"/>
                <w:color w:val="auto"/>
              </w:rPr>
            </w:pPr>
          </w:p>
        </w:tc>
      </w:tr>
    </w:tbl>
    <w:p>
      <w:pPr>
        <w:spacing w:after="0" w:line="62" w:lineRule="exact"/>
        <w:rPr>
          <w:sz w:val="20"/>
          <w:szCs w:val="20"/>
          <w:color w:val="auto"/>
        </w:rPr>
      </w:pPr>
    </w:p>
    <w:p>
      <w:pPr>
        <w:jc w:val="both"/>
        <w:ind w:firstLine="240"/>
        <w:spacing w:after="0" w:line="254" w:lineRule="auto"/>
        <w:rPr>
          <w:sz w:val="20"/>
          <w:szCs w:val="20"/>
          <w:color w:val="auto"/>
        </w:rPr>
      </w:pPr>
      <w:r>
        <w:rPr>
          <w:rFonts w:ascii="Arial" w:cs="Arial" w:eastAsia="Arial" w:hAnsi="Arial"/>
          <w:sz w:val="17"/>
          <w:szCs w:val="17"/>
          <w:color w:val="auto"/>
        </w:rPr>
        <w:t>For the three and six months ended June 30, 2023 and 2022, there were no Occidental common stock warrants nor options that were excluded from diluted shares.</w:t>
      </w:r>
    </w:p>
    <w:p>
      <w:pPr>
        <w:spacing w:after="0" w:line="1" w:lineRule="exact"/>
        <w:rPr>
          <w:sz w:val="20"/>
          <w:szCs w:val="20"/>
          <w:color w:val="auto"/>
        </w:rPr>
      </w:pPr>
    </w:p>
    <w:p>
      <w:pPr>
        <w:jc w:val="both"/>
        <w:ind w:firstLine="240"/>
        <w:spacing w:after="0" w:line="267" w:lineRule="auto"/>
        <w:rPr>
          <w:sz w:val="20"/>
          <w:szCs w:val="20"/>
          <w:color w:val="auto"/>
        </w:rPr>
      </w:pPr>
      <w:r>
        <w:rPr>
          <w:rFonts w:ascii="Arial" w:cs="Arial" w:eastAsia="Arial" w:hAnsi="Arial"/>
          <w:sz w:val="17"/>
          <w:szCs w:val="17"/>
          <w:color w:val="auto"/>
        </w:rPr>
        <w:t>The following table presents Occidental's common share activity, including its $3.0 billion stock repurchase plan announced in February 2023, exercises of options and warrants, and other transactions in Occidental's common stock in 2023:</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240" w:type="dxa"/>
            <w:vAlign w:val="bottom"/>
            <w:tcBorders>
              <w:top w:val="single" w:sz="8" w:color="auto"/>
            </w:tcBorders>
            <w:vMerge w:val="restart"/>
          </w:tcPr>
          <w:p>
            <w:pPr>
              <w:ind w:left="20"/>
              <w:spacing w:after="0"/>
              <w:rPr>
                <w:sz w:val="20"/>
                <w:szCs w:val="20"/>
                <w:color w:val="auto"/>
              </w:rPr>
            </w:pPr>
            <w:r>
              <w:rPr>
                <w:rFonts w:ascii="Arial" w:cs="Arial" w:eastAsia="Arial" w:hAnsi="Arial"/>
                <w:sz w:val="17"/>
                <w:szCs w:val="17"/>
                <w:b w:val="1"/>
                <w:bCs w:val="1"/>
                <w:color w:val="auto"/>
              </w:rPr>
              <w:t>Period</w:t>
            </w:r>
          </w:p>
        </w:tc>
        <w:tc>
          <w:tcPr>
            <w:tcW w:w="3040" w:type="dxa"/>
            <w:vAlign w:val="bottom"/>
            <w:tcBorders>
              <w:top w:val="single" w:sz="8" w:color="auto"/>
            </w:tcBorders>
          </w:tcPr>
          <w:p>
            <w:pPr>
              <w:jc w:val="right"/>
              <w:ind w:right="616"/>
              <w:spacing w:after="0" w:line="173" w:lineRule="exact"/>
              <w:rPr>
                <w:sz w:val="20"/>
                <w:szCs w:val="20"/>
                <w:color w:val="auto"/>
              </w:rPr>
            </w:pPr>
            <w:r>
              <w:rPr>
                <w:rFonts w:ascii="Arial" w:cs="Arial" w:eastAsia="Arial" w:hAnsi="Arial"/>
                <w:sz w:val="17"/>
                <w:szCs w:val="17"/>
                <w:b w:val="1"/>
                <w:bCs w:val="1"/>
                <w:color w:val="auto"/>
              </w:rPr>
              <w:t>Exercise of Warrants and</w:t>
            </w:r>
          </w:p>
        </w:tc>
        <w:tc>
          <w:tcPr>
            <w:tcW w:w="1560" w:type="dxa"/>
            <w:vAlign w:val="bottom"/>
            <w:tcBorders>
              <w:top w:val="single" w:sz="8" w:color="auto"/>
            </w:tcBorders>
            <w:vMerge w:val="restart"/>
          </w:tcPr>
          <w:p>
            <w:pPr>
              <w:jc w:val="right"/>
              <w:spacing w:after="0"/>
              <w:rPr>
                <w:sz w:val="20"/>
                <w:szCs w:val="20"/>
                <w:color w:val="auto"/>
              </w:rPr>
            </w:pPr>
            <w:r>
              <w:rPr>
                <w:rFonts w:ascii="Arial" w:cs="Arial" w:eastAsia="Arial" w:hAnsi="Arial"/>
                <w:sz w:val="17"/>
                <w:szCs w:val="17"/>
                <w:b w:val="1"/>
                <w:bCs w:val="1"/>
                <w:color w:val="auto"/>
              </w:rPr>
              <w:t xml:space="preserve">Other </w:t>
            </w:r>
            <w:r>
              <w:rPr>
                <w:rFonts w:ascii="Arial" w:cs="Arial" w:eastAsia="Arial" w:hAnsi="Arial"/>
                <w:sz w:val="21"/>
                <w:szCs w:val="21"/>
                <w:b w:val="1"/>
                <w:bCs w:val="1"/>
                <w:color w:val="auto"/>
                <w:vertAlign w:val="superscript"/>
              </w:rPr>
              <w:t>(b)</w:t>
            </w:r>
          </w:p>
        </w:tc>
        <w:tc>
          <w:tcPr>
            <w:tcW w:w="2660" w:type="dxa"/>
            <w:vAlign w:val="bottom"/>
            <w:tcBorders>
              <w:top w:val="single" w:sz="8" w:color="auto"/>
            </w:tcBorders>
            <w:vMerge w:val="restart"/>
          </w:tcPr>
          <w:p>
            <w:pPr>
              <w:jc w:val="right"/>
              <w:ind w:right="416"/>
              <w:spacing w:after="0"/>
              <w:rPr>
                <w:sz w:val="20"/>
                <w:szCs w:val="20"/>
                <w:color w:val="auto"/>
              </w:rPr>
            </w:pPr>
            <w:r>
              <w:rPr>
                <w:rFonts w:ascii="Arial" w:cs="Arial" w:eastAsia="Arial" w:hAnsi="Arial"/>
                <w:sz w:val="17"/>
                <w:szCs w:val="17"/>
                <w:b w:val="1"/>
                <w:bCs w:val="1"/>
                <w:color w:val="auto"/>
              </w:rPr>
              <w:t>Treasury Stock Purchases</w:t>
            </w:r>
          </w:p>
        </w:tc>
        <w:tc>
          <w:tcPr>
            <w:tcW w:w="1740" w:type="dxa"/>
            <w:vAlign w:val="bottom"/>
            <w:tcBorders>
              <w:top w:val="single" w:sz="8" w:color="auto"/>
            </w:tcBorders>
          </w:tcPr>
          <w:p>
            <w:pPr>
              <w:jc w:val="right"/>
              <w:spacing w:after="0" w:line="173" w:lineRule="exact"/>
              <w:rPr>
                <w:sz w:val="20"/>
                <w:szCs w:val="20"/>
                <w:color w:val="auto"/>
              </w:rPr>
            </w:pPr>
            <w:r>
              <w:rPr>
                <w:rFonts w:ascii="Arial" w:cs="Arial" w:eastAsia="Arial" w:hAnsi="Arial"/>
                <w:sz w:val="17"/>
                <w:szCs w:val="17"/>
                <w:b w:val="1"/>
                <w:bCs w:val="1"/>
                <w:color w:val="auto"/>
              </w:rPr>
              <w:t>Common Stock</w:t>
            </w:r>
          </w:p>
        </w:tc>
        <w:tc>
          <w:tcPr>
            <w:tcW w:w="0" w:type="dxa"/>
            <w:vAlign w:val="bottom"/>
          </w:tcPr>
          <w:p>
            <w:pPr>
              <w:spacing w:after="0"/>
              <w:rPr>
                <w:sz w:val="1"/>
                <w:szCs w:val="1"/>
                <w:color w:val="auto"/>
              </w:rPr>
            </w:pPr>
          </w:p>
        </w:tc>
      </w:tr>
      <w:tr>
        <w:trPr>
          <w:trHeight w:val="227"/>
        </w:trPr>
        <w:tc>
          <w:tcPr>
            <w:tcW w:w="2240" w:type="dxa"/>
            <w:vAlign w:val="bottom"/>
            <w:tcBorders>
              <w:bottom w:val="single" w:sz="8" w:color="auto"/>
            </w:tcBorders>
            <w:vMerge w:val="continue"/>
          </w:tcPr>
          <w:p>
            <w:pPr>
              <w:spacing w:after="0"/>
              <w:rPr>
                <w:sz w:val="19"/>
                <w:szCs w:val="19"/>
                <w:color w:val="auto"/>
              </w:rPr>
            </w:pPr>
          </w:p>
        </w:tc>
        <w:tc>
          <w:tcPr>
            <w:tcW w:w="3040" w:type="dxa"/>
            <w:vAlign w:val="bottom"/>
            <w:tcBorders>
              <w:bottom w:val="single" w:sz="8" w:color="auto"/>
            </w:tcBorders>
          </w:tcPr>
          <w:p>
            <w:pPr>
              <w:jc w:val="right"/>
              <w:ind w:right="616"/>
              <w:spacing w:after="0" w:line="227" w:lineRule="exact"/>
              <w:rPr>
                <w:sz w:val="20"/>
                <w:szCs w:val="20"/>
                <w:color w:val="auto"/>
              </w:rPr>
            </w:pPr>
            <w:r>
              <w:rPr>
                <w:rFonts w:ascii="Arial" w:cs="Arial" w:eastAsia="Arial" w:hAnsi="Arial"/>
                <w:sz w:val="17"/>
                <w:szCs w:val="17"/>
                <w:b w:val="1"/>
                <w:bCs w:val="1"/>
                <w:color w:val="auto"/>
              </w:rPr>
              <w:t xml:space="preserve">Options </w:t>
            </w:r>
            <w:r>
              <w:rPr>
                <w:rFonts w:ascii="Arial" w:cs="Arial" w:eastAsia="Arial" w:hAnsi="Arial"/>
                <w:sz w:val="20"/>
                <w:szCs w:val="20"/>
                <w:b w:val="1"/>
                <w:bCs w:val="1"/>
                <w:color w:val="auto"/>
                <w:vertAlign w:val="superscript"/>
              </w:rPr>
              <w:t>(a)</w:t>
            </w:r>
          </w:p>
        </w:tc>
        <w:tc>
          <w:tcPr>
            <w:tcW w:w="1560" w:type="dxa"/>
            <w:vAlign w:val="bottom"/>
            <w:tcBorders>
              <w:bottom w:val="single" w:sz="8" w:color="auto"/>
            </w:tcBorders>
            <w:vMerge w:val="continue"/>
          </w:tcPr>
          <w:p>
            <w:pPr>
              <w:spacing w:after="0"/>
              <w:rPr>
                <w:sz w:val="19"/>
                <w:szCs w:val="19"/>
                <w:color w:val="auto"/>
              </w:rPr>
            </w:pPr>
          </w:p>
        </w:tc>
        <w:tc>
          <w:tcPr>
            <w:tcW w:w="2660" w:type="dxa"/>
            <w:vAlign w:val="bottom"/>
            <w:tcBorders>
              <w:bottom w:val="single" w:sz="8" w:color="auto"/>
            </w:tcBorders>
            <w:vMerge w:val="continue"/>
          </w:tcPr>
          <w:p>
            <w:pPr>
              <w:spacing w:after="0"/>
              <w:rPr>
                <w:sz w:val="19"/>
                <w:szCs w:val="19"/>
                <w:color w:val="auto"/>
              </w:rPr>
            </w:pPr>
          </w:p>
        </w:tc>
        <w:tc>
          <w:tcPr>
            <w:tcW w:w="1740" w:type="dxa"/>
            <w:vAlign w:val="bottom"/>
            <w:tcBorders>
              <w:bottom w:val="single" w:sz="8" w:color="auto"/>
            </w:tcBorders>
          </w:tcPr>
          <w:p>
            <w:pPr>
              <w:jc w:val="right"/>
              <w:spacing w:after="0" w:line="227" w:lineRule="exact"/>
              <w:rPr>
                <w:sz w:val="20"/>
                <w:szCs w:val="20"/>
                <w:color w:val="auto"/>
              </w:rPr>
            </w:pPr>
            <w:r>
              <w:rPr>
                <w:rFonts w:ascii="Arial" w:cs="Arial" w:eastAsia="Arial" w:hAnsi="Arial"/>
                <w:sz w:val="17"/>
                <w:szCs w:val="17"/>
                <w:b w:val="1"/>
                <w:bCs w:val="1"/>
                <w:color w:val="auto"/>
              </w:rPr>
              <w:t xml:space="preserve">Outstanding </w:t>
            </w:r>
            <w:r>
              <w:rPr>
                <w:rFonts w:ascii="Arial" w:cs="Arial" w:eastAsia="Arial" w:hAnsi="Arial"/>
                <w:sz w:val="21"/>
                <w:szCs w:val="21"/>
                <w:b w:val="1"/>
                <w:bCs w:val="1"/>
                <w:color w:val="auto"/>
                <w:vertAlign w:val="superscript"/>
              </w:rPr>
              <w:t>(c)</w:t>
            </w:r>
          </w:p>
        </w:tc>
        <w:tc>
          <w:tcPr>
            <w:tcW w:w="0" w:type="dxa"/>
            <w:vAlign w:val="bottom"/>
          </w:tcPr>
          <w:p>
            <w:pPr>
              <w:spacing w:after="0"/>
              <w:rPr>
                <w:sz w:val="1"/>
                <w:szCs w:val="1"/>
                <w:color w:val="auto"/>
              </w:rPr>
            </w:pPr>
          </w:p>
        </w:tc>
      </w:tr>
      <w:tr>
        <w:trPr>
          <w:trHeight w:val="208"/>
        </w:trPr>
        <w:tc>
          <w:tcPr>
            <w:tcW w:w="2240" w:type="dxa"/>
            <w:vAlign w:val="bottom"/>
          </w:tcPr>
          <w:p>
            <w:pPr>
              <w:ind w:left="20"/>
              <w:spacing w:after="0"/>
              <w:rPr>
                <w:sz w:val="20"/>
                <w:szCs w:val="20"/>
                <w:color w:val="auto"/>
              </w:rPr>
            </w:pPr>
            <w:r>
              <w:rPr>
                <w:rFonts w:ascii="Arial" w:cs="Arial" w:eastAsia="Arial" w:hAnsi="Arial"/>
                <w:sz w:val="17"/>
                <w:szCs w:val="17"/>
                <w:color w:val="auto"/>
              </w:rPr>
              <w:t>December 31, 2022</w:t>
            </w:r>
          </w:p>
        </w:tc>
        <w:tc>
          <w:tcPr>
            <w:tcW w:w="30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7"/>
                <w:szCs w:val="17"/>
                <w:color w:val="auto"/>
              </w:rPr>
              <w:t>899,858,944</w:t>
            </w:r>
          </w:p>
        </w:tc>
        <w:tc>
          <w:tcPr>
            <w:tcW w:w="0" w:type="dxa"/>
            <w:vAlign w:val="bottom"/>
          </w:tcPr>
          <w:p>
            <w:pPr>
              <w:spacing w:after="0"/>
              <w:rPr>
                <w:sz w:val="1"/>
                <w:szCs w:val="1"/>
                <w:color w:val="auto"/>
              </w:rPr>
            </w:pPr>
          </w:p>
        </w:tc>
      </w:tr>
      <w:tr>
        <w:trPr>
          <w:trHeight w:val="222"/>
        </w:trPr>
        <w:tc>
          <w:tcPr>
            <w:tcW w:w="2240" w:type="dxa"/>
            <w:vAlign w:val="bottom"/>
          </w:tcPr>
          <w:p>
            <w:pPr>
              <w:ind w:left="240"/>
              <w:spacing w:after="0"/>
              <w:rPr>
                <w:sz w:val="20"/>
                <w:szCs w:val="20"/>
                <w:color w:val="auto"/>
              </w:rPr>
            </w:pPr>
            <w:r>
              <w:rPr>
                <w:rFonts w:ascii="Arial" w:cs="Arial" w:eastAsia="Arial" w:hAnsi="Arial"/>
                <w:sz w:val="17"/>
                <w:szCs w:val="17"/>
                <w:color w:val="auto"/>
              </w:rPr>
              <w:t>First Quarter 2023</w:t>
            </w:r>
          </w:p>
        </w:tc>
        <w:tc>
          <w:tcPr>
            <w:tcW w:w="3040" w:type="dxa"/>
            <w:vAlign w:val="bottom"/>
          </w:tcPr>
          <w:p>
            <w:pPr>
              <w:jc w:val="right"/>
              <w:ind w:right="656"/>
              <w:spacing w:after="0"/>
              <w:rPr>
                <w:sz w:val="20"/>
                <w:szCs w:val="20"/>
                <w:color w:val="auto"/>
              </w:rPr>
            </w:pPr>
            <w:r>
              <w:rPr>
                <w:rFonts w:ascii="Arial" w:cs="Arial" w:eastAsia="Arial" w:hAnsi="Arial"/>
                <w:sz w:val="17"/>
                <w:szCs w:val="17"/>
                <w:color w:val="auto"/>
              </w:rPr>
              <w:t>268,371</w:t>
            </w:r>
          </w:p>
        </w:tc>
        <w:tc>
          <w:tcPr>
            <w:tcW w:w="1560" w:type="dxa"/>
            <w:vAlign w:val="bottom"/>
          </w:tcPr>
          <w:p>
            <w:pPr>
              <w:jc w:val="right"/>
              <w:ind w:right="16"/>
              <w:spacing w:after="0"/>
              <w:rPr>
                <w:sz w:val="20"/>
                <w:szCs w:val="20"/>
                <w:color w:val="auto"/>
              </w:rPr>
            </w:pPr>
            <w:r>
              <w:rPr>
                <w:rFonts w:ascii="Arial" w:cs="Arial" w:eastAsia="Arial" w:hAnsi="Arial"/>
                <w:sz w:val="17"/>
                <w:szCs w:val="17"/>
                <w:color w:val="auto"/>
              </w:rPr>
              <w:t>3,935,166</w:t>
            </w:r>
          </w:p>
        </w:tc>
        <w:tc>
          <w:tcPr>
            <w:tcW w:w="2660" w:type="dxa"/>
            <w:vAlign w:val="bottom"/>
          </w:tcPr>
          <w:p>
            <w:pPr>
              <w:jc w:val="right"/>
              <w:ind w:right="416"/>
              <w:spacing w:after="0"/>
              <w:rPr>
                <w:sz w:val="20"/>
                <w:szCs w:val="20"/>
                <w:color w:val="auto"/>
              </w:rPr>
            </w:pPr>
            <w:r>
              <w:rPr>
                <w:rFonts w:ascii="Arial" w:cs="Arial" w:eastAsia="Arial" w:hAnsi="Arial"/>
                <w:sz w:val="17"/>
                <w:szCs w:val="17"/>
                <w:color w:val="auto"/>
              </w:rPr>
              <w:t>(12,511,237)</w:t>
            </w:r>
          </w:p>
        </w:tc>
        <w:tc>
          <w:tcPr>
            <w:tcW w:w="1740" w:type="dxa"/>
            <w:vAlign w:val="bottom"/>
          </w:tcPr>
          <w:p>
            <w:pPr>
              <w:jc w:val="right"/>
              <w:spacing w:after="0"/>
              <w:rPr>
                <w:sz w:val="20"/>
                <w:szCs w:val="20"/>
                <w:color w:val="auto"/>
              </w:rPr>
            </w:pPr>
            <w:r>
              <w:rPr>
                <w:rFonts w:ascii="Arial" w:cs="Arial" w:eastAsia="Arial" w:hAnsi="Arial"/>
                <w:sz w:val="17"/>
                <w:szCs w:val="17"/>
                <w:color w:val="auto"/>
              </w:rPr>
              <w:t>891,551,244</w:t>
            </w:r>
          </w:p>
        </w:tc>
        <w:tc>
          <w:tcPr>
            <w:tcW w:w="0" w:type="dxa"/>
            <w:vAlign w:val="bottom"/>
          </w:tcPr>
          <w:p>
            <w:pPr>
              <w:spacing w:after="0"/>
              <w:rPr>
                <w:sz w:val="1"/>
                <w:szCs w:val="1"/>
                <w:color w:val="auto"/>
              </w:rPr>
            </w:pPr>
          </w:p>
        </w:tc>
      </w:tr>
      <w:tr>
        <w:trPr>
          <w:trHeight w:val="230"/>
        </w:trPr>
        <w:tc>
          <w:tcPr>
            <w:tcW w:w="2240" w:type="dxa"/>
            <w:vAlign w:val="bottom"/>
            <w:tcBorders>
              <w:bottom w:val="single" w:sz="8" w:color="auto"/>
            </w:tcBorders>
          </w:tcPr>
          <w:p>
            <w:pPr>
              <w:ind w:left="240"/>
              <w:spacing w:after="0"/>
              <w:rPr>
                <w:sz w:val="20"/>
                <w:szCs w:val="20"/>
                <w:color w:val="auto"/>
              </w:rPr>
            </w:pPr>
            <w:r>
              <w:rPr>
                <w:rFonts w:ascii="Arial" w:cs="Arial" w:eastAsia="Arial" w:hAnsi="Arial"/>
                <w:sz w:val="17"/>
                <w:szCs w:val="17"/>
                <w:b w:val="1"/>
                <w:bCs w:val="1"/>
                <w:color w:val="00539B"/>
              </w:rPr>
              <w:t>Second Quarter 2023</w:t>
            </w:r>
          </w:p>
        </w:tc>
        <w:tc>
          <w:tcPr>
            <w:tcW w:w="3040" w:type="dxa"/>
            <w:vAlign w:val="bottom"/>
            <w:tcBorders>
              <w:bottom w:val="single" w:sz="8" w:color="auto"/>
            </w:tcBorders>
          </w:tcPr>
          <w:p>
            <w:pPr>
              <w:jc w:val="right"/>
              <w:ind w:right="656"/>
              <w:spacing w:after="0"/>
              <w:rPr>
                <w:sz w:val="20"/>
                <w:szCs w:val="20"/>
                <w:color w:val="auto"/>
              </w:rPr>
            </w:pPr>
            <w:r>
              <w:rPr>
                <w:rFonts w:ascii="Arial" w:cs="Arial" w:eastAsia="Arial" w:hAnsi="Arial"/>
                <w:sz w:val="17"/>
                <w:szCs w:val="17"/>
                <w:b w:val="1"/>
                <w:bCs w:val="1"/>
                <w:color w:val="00539B"/>
              </w:rPr>
              <w:t>205,631</w:t>
            </w:r>
          </w:p>
        </w:tc>
        <w:tc>
          <w:tcPr>
            <w:tcW w:w="156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b w:val="1"/>
                <w:bCs w:val="1"/>
                <w:color w:val="00539B"/>
              </w:rPr>
              <w:t>158,473</w:t>
            </w:r>
          </w:p>
        </w:tc>
        <w:tc>
          <w:tcPr>
            <w:tcW w:w="2660" w:type="dxa"/>
            <w:vAlign w:val="bottom"/>
            <w:tcBorders>
              <w:bottom w:val="single" w:sz="8" w:color="auto"/>
            </w:tcBorders>
          </w:tcPr>
          <w:p>
            <w:pPr>
              <w:jc w:val="right"/>
              <w:ind w:right="416"/>
              <w:spacing w:after="0"/>
              <w:rPr>
                <w:sz w:val="20"/>
                <w:szCs w:val="20"/>
                <w:color w:val="auto"/>
              </w:rPr>
            </w:pPr>
            <w:r>
              <w:rPr>
                <w:rFonts w:ascii="Arial" w:cs="Arial" w:eastAsia="Arial" w:hAnsi="Arial"/>
                <w:sz w:val="17"/>
                <w:szCs w:val="17"/>
                <w:b w:val="1"/>
                <w:bCs w:val="1"/>
                <w:color w:val="00539B"/>
              </w:rPr>
              <w:t>(7,233,460)</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884,681,888</w:t>
            </w:r>
          </w:p>
        </w:tc>
        <w:tc>
          <w:tcPr>
            <w:tcW w:w="0" w:type="dxa"/>
            <w:vAlign w:val="bottom"/>
          </w:tcPr>
          <w:p>
            <w:pPr>
              <w:spacing w:after="0"/>
              <w:rPr>
                <w:sz w:val="1"/>
                <w:szCs w:val="1"/>
                <w:color w:val="auto"/>
              </w:rPr>
            </w:pPr>
          </w:p>
        </w:tc>
      </w:tr>
      <w:tr>
        <w:trPr>
          <w:trHeight w:val="220"/>
        </w:trPr>
        <w:tc>
          <w:tcPr>
            <w:tcW w:w="2240" w:type="dxa"/>
            <w:vAlign w:val="bottom"/>
            <w:tcBorders>
              <w:bottom w:val="single" w:sz="8" w:color="auto"/>
            </w:tcBorders>
          </w:tcPr>
          <w:p>
            <w:pPr>
              <w:ind w:left="240"/>
              <w:spacing w:after="0"/>
              <w:rPr>
                <w:sz w:val="20"/>
                <w:szCs w:val="20"/>
                <w:color w:val="auto"/>
              </w:rPr>
            </w:pPr>
            <w:r>
              <w:rPr>
                <w:rFonts w:ascii="Arial" w:cs="Arial" w:eastAsia="Arial" w:hAnsi="Arial"/>
                <w:sz w:val="17"/>
                <w:szCs w:val="17"/>
                <w:b w:val="1"/>
                <w:bCs w:val="1"/>
                <w:color w:val="00539B"/>
              </w:rPr>
              <w:t>Total 2023</w:t>
            </w:r>
          </w:p>
        </w:tc>
        <w:tc>
          <w:tcPr>
            <w:tcW w:w="3040" w:type="dxa"/>
            <w:vAlign w:val="bottom"/>
            <w:tcBorders>
              <w:bottom w:val="single" w:sz="8" w:color="auto"/>
            </w:tcBorders>
          </w:tcPr>
          <w:p>
            <w:pPr>
              <w:jc w:val="right"/>
              <w:ind w:right="656"/>
              <w:spacing w:after="0"/>
              <w:rPr>
                <w:sz w:val="20"/>
                <w:szCs w:val="20"/>
                <w:color w:val="auto"/>
              </w:rPr>
            </w:pPr>
            <w:r>
              <w:rPr>
                <w:rFonts w:ascii="Arial" w:cs="Arial" w:eastAsia="Arial" w:hAnsi="Arial"/>
                <w:sz w:val="17"/>
                <w:szCs w:val="17"/>
                <w:b w:val="1"/>
                <w:bCs w:val="1"/>
                <w:color w:val="00539B"/>
              </w:rPr>
              <w:t>474,002</w:t>
            </w:r>
          </w:p>
        </w:tc>
        <w:tc>
          <w:tcPr>
            <w:tcW w:w="156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b w:val="1"/>
                <w:bCs w:val="1"/>
                <w:color w:val="00539B"/>
              </w:rPr>
              <w:t>4,093,639</w:t>
            </w:r>
          </w:p>
        </w:tc>
        <w:tc>
          <w:tcPr>
            <w:tcW w:w="2660" w:type="dxa"/>
            <w:vAlign w:val="bottom"/>
            <w:tcBorders>
              <w:bottom w:val="single" w:sz="8" w:color="auto"/>
            </w:tcBorders>
          </w:tcPr>
          <w:p>
            <w:pPr>
              <w:jc w:val="right"/>
              <w:ind w:right="416"/>
              <w:spacing w:after="0"/>
              <w:rPr>
                <w:sz w:val="20"/>
                <w:szCs w:val="20"/>
                <w:color w:val="auto"/>
              </w:rPr>
            </w:pPr>
            <w:r>
              <w:rPr>
                <w:rFonts w:ascii="Arial" w:cs="Arial" w:eastAsia="Arial" w:hAnsi="Arial"/>
                <w:sz w:val="17"/>
                <w:szCs w:val="17"/>
                <w:b w:val="1"/>
                <w:bCs w:val="1"/>
                <w:color w:val="00539B"/>
              </w:rPr>
              <w:t>(19,744,697)</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884,681,888</w:t>
            </w:r>
          </w:p>
        </w:tc>
        <w:tc>
          <w:tcPr>
            <w:tcW w:w="0" w:type="dxa"/>
            <w:vAlign w:val="bottom"/>
          </w:tcPr>
          <w:p>
            <w:pPr>
              <w:spacing w:after="0"/>
              <w:rPr>
                <w:sz w:val="1"/>
                <w:szCs w:val="1"/>
                <w:color w:val="auto"/>
              </w:rPr>
            </w:pPr>
          </w:p>
        </w:tc>
      </w:tr>
    </w:tbl>
    <w:p>
      <w:pPr>
        <w:spacing w:after="0" w:line="27" w:lineRule="exact"/>
        <w:rPr>
          <w:sz w:val="20"/>
          <w:szCs w:val="20"/>
          <w:color w:val="auto"/>
        </w:rPr>
      </w:pPr>
    </w:p>
    <w:p>
      <w:pPr>
        <w:ind w:left="240" w:hanging="233"/>
        <w:spacing w:after="0"/>
        <w:tabs>
          <w:tab w:leader="none" w:pos="240" w:val="left"/>
        </w:tabs>
        <w:numPr>
          <w:ilvl w:val="0"/>
          <w:numId w:val="12"/>
        </w:numPr>
        <w:rPr>
          <w:rFonts w:ascii="Arial" w:cs="Arial" w:eastAsia="Arial" w:hAnsi="Arial"/>
          <w:sz w:val="21"/>
          <w:szCs w:val="21"/>
          <w:color w:val="auto"/>
          <w:vertAlign w:val="superscript"/>
        </w:rPr>
      </w:pPr>
      <w:r>
        <w:rPr>
          <w:rFonts w:ascii="Arial" w:cs="Arial" w:eastAsia="Arial" w:hAnsi="Arial"/>
          <w:sz w:val="16"/>
          <w:szCs w:val="16"/>
          <w:color w:val="auto"/>
        </w:rPr>
        <w:t>Approximately $16 million of cash was received as a result of the exercise of common stock warrants and options.</w:t>
      </w:r>
    </w:p>
    <w:p>
      <w:pPr>
        <w:ind w:left="240" w:hanging="233"/>
        <w:spacing w:after="0" w:line="191" w:lineRule="auto"/>
        <w:tabs>
          <w:tab w:leader="none" w:pos="240" w:val="left"/>
        </w:tabs>
        <w:numPr>
          <w:ilvl w:val="0"/>
          <w:numId w:val="12"/>
        </w:numPr>
        <w:rPr>
          <w:rFonts w:ascii="Arial" w:cs="Arial" w:eastAsia="Arial" w:hAnsi="Arial"/>
          <w:sz w:val="21"/>
          <w:szCs w:val="21"/>
          <w:color w:val="auto"/>
          <w:vertAlign w:val="superscript"/>
        </w:rPr>
      </w:pPr>
      <w:r>
        <w:rPr>
          <w:rFonts w:ascii="Arial" w:cs="Arial" w:eastAsia="Arial" w:hAnsi="Arial"/>
          <w:sz w:val="16"/>
          <w:szCs w:val="16"/>
          <w:color w:val="auto"/>
        </w:rPr>
        <w:t>Consists of issuances from the 2015 long-term incentive plan, the OPC savings plan and the dividend reinvestment plan.</w:t>
      </w:r>
    </w:p>
    <w:p>
      <w:pPr>
        <w:spacing w:after="0" w:line="7" w:lineRule="exact"/>
        <w:rPr>
          <w:rFonts w:ascii="Arial" w:cs="Arial" w:eastAsia="Arial" w:hAnsi="Arial"/>
          <w:sz w:val="21"/>
          <w:szCs w:val="21"/>
          <w:color w:val="auto"/>
          <w:vertAlign w:val="superscript"/>
        </w:rPr>
      </w:pPr>
    </w:p>
    <w:p>
      <w:pPr>
        <w:ind w:left="320" w:hanging="313"/>
        <w:spacing w:after="0" w:line="214" w:lineRule="auto"/>
        <w:tabs>
          <w:tab w:leader="none" w:pos="240" w:val="left"/>
        </w:tabs>
        <w:numPr>
          <w:ilvl w:val="0"/>
          <w:numId w:val="12"/>
        </w:numPr>
        <w:rPr>
          <w:rFonts w:ascii="Arial" w:cs="Arial" w:eastAsia="Arial" w:hAnsi="Arial"/>
          <w:sz w:val="21"/>
          <w:szCs w:val="21"/>
          <w:color w:val="auto"/>
          <w:vertAlign w:val="superscript"/>
        </w:rPr>
      </w:pPr>
      <w:r>
        <w:rPr>
          <w:rFonts w:ascii="Arial" w:cs="Arial" w:eastAsia="Arial" w:hAnsi="Arial"/>
          <w:sz w:val="16"/>
          <w:szCs w:val="16"/>
          <w:color w:val="auto"/>
        </w:rPr>
        <w:t>As of June 30, 2023, Occidental has 103.8 million outstanding warrants with a strike of $22.00 per share and 83.9 million of warrants with a strike of $59.62 per share.</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color w:val="00539B"/>
        </w:rPr>
        <w:t>PREFERRED STOCK REDEMPTION</w:t>
      </w:r>
    </w:p>
    <w:p>
      <w:pPr>
        <w:spacing w:after="0" w:line="15" w:lineRule="exact"/>
        <w:rPr>
          <w:sz w:val="20"/>
          <w:szCs w:val="20"/>
          <w:color w:val="auto"/>
        </w:rPr>
      </w:pPr>
    </w:p>
    <w:p>
      <w:pPr>
        <w:jc w:val="both"/>
        <w:ind w:firstLine="240"/>
        <w:spacing w:after="0" w:line="249" w:lineRule="auto"/>
        <w:rPr>
          <w:sz w:val="20"/>
          <w:szCs w:val="20"/>
          <w:color w:val="auto"/>
        </w:rPr>
      </w:pPr>
      <w:r>
        <w:rPr>
          <w:rFonts w:ascii="Arial" w:cs="Arial" w:eastAsia="Arial" w:hAnsi="Arial"/>
          <w:sz w:val="17"/>
          <w:szCs w:val="17"/>
          <w:color w:val="auto"/>
        </w:rPr>
        <w:t>In connection with the Anadarko Acquisition, Occidental issued 100,000 shares of series A preferred stock, with a face value of $100,000 per share and a liquidation preference of $105,000 per share plus unpaid accrued dividends. Prior to August 2029, a mandatory redemption provision obligates Occidental to redeem preferred stock at a 10% premium to face value on a dollar-for-dollar basis for every dollar distributed to common shareholders (either via common stock dividends or share repurchases) above $4.00 per share, on a trailing 12-month basis. Preferred redemptions can settle between 30 and 60 days from the date Berkshire Hathaway is notified of the redemption obligation and accrued unpaid dividends are paid up to but not including the redemption date. Occidental cannot voluntarily redeem preferred stock before August 2029. After August 2029, Occidental can voluntarily redeem preferred stock at a 5% premium to face value.</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715962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25" w:right="339" w:bottom="1440" w:gutter="0" w:footer="0" w:header="0"/>
        </w:sectPr>
      </w:pPr>
    </w:p>
    <w:bookmarkStart w:id="24" w:name="page25"/>
    <w:bookmarkEnd w:id="24"/>
    <w:p>
      <w:pPr>
        <w:jc w:val="both"/>
        <w:ind w:firstLine="240"/>
        <w:spacing w:after="0" w:line="251" w:lineRule="auto"/>
        <w:rPr>
          <w:sz w:val="20"/>
          <w:szCs w:val="20"/>
          <w:color w:val="auto"/>
        </w:rPr>
      </w:pPr>
      <w:r>
        <w:rPr>
          <w:rFonts w:ascii="Arial" w:cs="Arial" w:eastAsia="Arial" w:hAnsi="Arial"/>
          <w:sz w:val="17"/>
          <w:szCs w:val="17"/>
          <w:color w:val="auto"/>
        </w:rPr>
        <w:t>Dividends on preferred stock accrue on the face value at a rate per annum of 8%, but will be paid only when, and if, declared by Occidental’s Board of Directors. At any time, when such dividends have not been paid in full, the unpaid amounts will accrue dividends, compounded quarterly, at a rate per annum of 9%. Following the payment in full of any accrued but unpaid dividends, the dividend rate will remain at 9% per annum. If preferred dividends are not paid in full, Occidental is prohibited from paying dividends on common stock. Occidental paid $205 million in preferred stock dividends in the second quarter of 2023.</w:t>
      </w:r>
    </w:p>
    <w:p>
      <w:pPr>
        <w:spacing w:after="0" w:line="4" w:lineRule="exact"/>
        <w:rPr>
          <w:sz w:val="20"/>
          <w:szCs w:val="20"/>
          <w:color w:val="auto"/>
        </w:rPr>
      </w:pPr>
    </w:p>
    <w:p>
      <w:pPr>
        <w:jc w:val="both"/>
        <w:ind w:firstLine="240"/>
        <w:spacing w:after="0" w:line="248" w:lineRule="auto"/>
        <w:rPr>
          <w:sz w:val="20"/>
          <w:szCs w:val="20"/>
          <w:color w:val="auto"/>
        </w:rPr>
      </w:pPr>
      <w:r>
        <w:rPr>
          <w:rFonts w:ascii="Arial" w:cs="Arial" w:eastAsia="Arial" w:hAnsi="Arial"/>
          <w:sz w:val="17"/>
          <w:szCs w:val="17"/>
          <w:color w:val="auto"/>
        </w:rPr>
        <w:t>In the three months ended June 30, 2023, Occidental triggered the redemption of preferred stock with a face value of $522 million, and an additional $52 million premium. Occidental triggered the redemption of preferred stock of $1.3 billion, inclusive of a 10% premium, in the six months ended June 30, 2023. Of this amount, $304 million, inclusive of a 10% premium, was settled in cash subsequent to June 30, 2023 but before the date of this filing. To the extent Occidental's trailing 12-month distributions to common shareholders remain above $4.00 per share, Occidental is required to continue to match any common shareholder distributions with preferred stock redemptions. As of the date of this filing, approximately $8.8 billion face value of preferred stock remains outstanding.</w:t>
      </w:r>
    </w:p>
    <w:p>
      <w:pPr>
        <w:spacing w:after="0" w:line="2" w:lineRule="exact"/>
        <w:rPr>
          <w:sz w:val="20"/>
          <w:szCs w:val="20"/>
          <w:color w:val="auto"/>
        </w:rPr>
      </w:pPr>
    </w:p>
    <w:p>
      <w:pPr>
        <w:ind w:left="240"/>
        <w:spacing w:after="0"/>
        <w:rPr>
          <w:sz w:val="20"/>
          <w:szCs w:val="20"/>
          <w:color w:val="auto"/>
        </w:rPr>
      </w:pPr>
      <w:r>
        <w:rPr>
          <w:rFonts w:ascii="Arial" w:cs="Arial" w:eastAsia="Arial" w:hAnsi="Arial"/>
          <w:sz w:val="17"/>
          <w:szCs w:val="17"/>
          <w:color w:val="auto"/>
        </w:rPr>
        <w:t>The following table presents preferred stock redemption activity for the six months ended June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176530</wp:posOffset>
            </wp:positionV>
            <wp:extent cx="713422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260" w:lineRule="exact"/>
        <w:rPr>
          <w:sz w:val="20"/>
          <w:szCs w:val="20"/>
          <w:color w:val="auto"/>
        </w:rPr>
      </w:pPr>
    </w:p>
    <w:p>
      <w:pPr>
        <w:ind w:left="20"/>
        <w:spacing w:after="0"/>
        <w:rPr>
          <w:sz w:val="20"/>
          <w:szCs w:val="20"/>
          <w:color w:val="auto"/>
        </w:rPr>
      </w:pPr>
      <w:r>
        <w:rPr>
          <w:rFonts w:ascii="Arial" w:cs="Arial" w:eastAsia="Arial" w:hAnsi="Arial"/>
          <w:sz w:val="17"/>
          <w:szCs w:val="17"/>
          <w:i w:val="1"/>
          <w:iCs w:val="1"/>
          <w:color w:val="auto"/>
        </w:rPr>
        <w:t>shares of preferred stock</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6920" w:type="dxa"/>
            <w:vAlign w:val="bottom"/>
            <w:tcBorders>
              <w:top w:val="single" w:sz="8" w:color="auto"/>
            </w:tcBorders>
          </w:tcPr>
          <w:p>
            <w:pPr>
              <w:ind w:left="140"/>
              <w:spacing w:after="0"/>
              <w:rPr>
                <w:sz w:val="20"/>
                <w:szCs w:val="20"/>
                <w:color w:val="auto"/>
              </w:rPr>
            </w:pPr>
            <w:r>
              <w:rPr>
                <w:rFonts w:ascii="Arial" w:cs="Arial" w:eastAsia="Arial" w:hAnsi="Arial"/>
                <w:sz w:val="17"/>
                <w:szCs w:val="17"/>
                <w:color w:val="auto"/>
              </w:rPr>
              <w:t>Preferred stock, as of December 31, 2022</w:t>
            </w:r>
          </w:p>
        </w:tc>
        <w:tc>
          <w:tcPr>
            <w:tcW w:w="432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00539B"/>
              </w:rPr>
              <w:t>100,000</w:t>
            </w:r>
          </w:p>
        </w:tc>
      </w:tr>
      <w:tr>
        <w:trPr>
          <w:trHeight w:val="226"/>
        </w:trPr>
        <w:tc>
          <w:tcPr>
            <w:tcW w:w="692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Less: Obligated redemptions</w:t>
            </w:r>
          </w:p>
        </w:tc>
        <w:tc>
          <w:tcPr>
            <w:tcW w:w="43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(6,468)</w:t>
            </w:r>
          </w:p>
        </w:tc>
      </w:tr>
      <w:tr>
        <w:trPr>
          <w:trHeight w:val="207"/>
        </w:trPr>
        <w:tc>
          <w:tcPr>
            <w:tcW w:w="6920" w:type="dxa"/>
            <w:vAlign w:val="bottom"/>
          </w:tcPr>
          <w:p>
            <w:pPr>
              <w:ind w:left="140"/>
              <w:spacing w:after="0"/>
              <w:rPr>
                <w:sz w:val="20"/>
                <w:szCs w:val="20"/>
                <w:color w:val="auto"/>
              </w:rPr>
            </w:pPr>
            <w:r>
              <w:rPr>
                <w:rFonts w:ascii="Arial" w:cs="Arial" w:eastAsia="Arial" w:hAnsi="Arial"/>
                <w:sz w:val="17"/>
                <w:szCs w:val="17"/>
                <w:color w:val="auto"/>
              </w:rPr>
              <w:t>Preferred stock, as of March 31, 2023</w:t>
            </w:r>
          </w:p>
        </w:tc>
        <w:tc>
          <w:tcPr>
            <w:tcW w:w="4320" w:type="dxa"/>
            <w:vAlign w:val="bottom"/>
          </w:tcPr>
          <w:p>
            <w:pPr>
              <w:jc w:val="right"/>
              <w:spacing w:after="0"/>
              <w:rPr>
                <w:sz w:val="20"/>
                <w:szCs w:val="20"/>
                <w:color w:val="auto"/>
              </w:rPr>
            </w:pPr>
            <w:r>
              <w:rPr>
                <w:rFonts w:ascii="Arial" w:cs="Arial" w:eastAsia="Arial" w:hAnsi="Arial"/>
                <w:sz w:val="17"/>
                <w:szCs w:val="17"/>
                <w:b w:val="1"/>
                <w:bCs w:val="1"/>
                <w:color w:val="00539B"/>
              </w:rPr>
              <w:t>93,532</w:t>
            </w:r>
          </w:p>
        </w:tc>
      </w:tr>
      <w:tr>
        <w:trPr>
          <w:trHeight w:val="237"/>
        </w:trPr>
        <w:tc>
          <w:tcPr>
            <w:tcW w:w="692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Less: Obligated redemptions</w:t>
            </w:r>
          </w:p>
        </w:tc>
        <w:tc>
          <w:tcPr>
            <w:tcW w:w="43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(5,220)</w:t>
            </w:r>
          </w:p>
        </w:tc>
      </w:tr>
      <w:tr>
        <w:trPr>
          <w:trHeight w:val="209"/>
        </w:trPr>
        <w:tc>
          <w:tcPr>
            <w:tcW w:w="692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Preferred stock, as of June 30, 2023</w:t>
            </w:r>
          </w:p>
        </w:tc>
        <w:tc>
          <w:tcPr>
            <w:tcW w:w="43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88,312</w:t>
            </w:r>
          </w:p>
        </w:tc>
      </w:tr>
    </w:tbl>
    <w:p>
      <w:pPr>
        <w:spacing w:after="0" w:line="315" w:lineRule="exact"/>
        <w:rPr>
          <w:sz w:val="20"/>
          <w:szCs w:val="20"/>
          <w:color w:val="auto"/>
        </w:rPr>
      </w:pPr>
    </w:p>
    <w:p>
      <w:pPr>
        <w:jc w:val="both"/>
        <w:ind w:firstLine="240"/>
        <w:spacing w:after="0" w:line="257" w:lineRule="auto"/>
        <w:rPr>
          <w:sz w:val="20"/>
          <w:szCs w:val="20"/>
          <w:color w:val="auto"/>
        </w:rPr>
      </w:pPr>
      <w:r>
        <w:rPr>
          <w:rFonts w:ascii="Arial" w:cs="Arial" w:eastAsia="Arial" w:hAnsi="Arial"/>
          <w:sz w:val="17"/>
          <w:szCs w:val="17"/>
          <w:color w:val="auto"/>
        </w:rPr>
        <w:t>The carrying value of preferred stock is less than the face value. The difference between carrying value and face value, along with the redemption premium, reduces net income available to common stockholders. The following presents the components of preferred stock dividends and redemptions: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100" w:type="dxa"/>
            <w:vAlign w:val="bottom"/>
            <w:tcBorders>
              <w:top w:val="single" w:sz="8" w:color="auto"/>
            </w:tcBorders>
            <w:vMerge w:val="restart"/>
          </w:tcPr>
          <w:p>
            <w:pPr>
              <w:ind w:left="20"/>
              <w:spacing w:after="0"/>
              <w:rPr>
                <w:sz w:val="20"/>
                <w:szCs w:val="20"/>
                <w:color w:val="auto"/>
              </w:rPr>
            </w:pPr>
            <w:r>
              <w:rPr>
                <w:rFonts w:ascii="Arial" w:cs="Arial" w:eastAsia="Arial" w:hAnsi="Arial"/>
                <w:sz w:val="17"/>
                <w:szCs w:val="17"/>
                <w:i w:val="1"/>
                <w:iCs w:val="1"/>
                <w:color w:val="auto"/>
              </w:rPr>
              <w:t>millions</w:t>
            </w:r>
          </w:p>
        </w:tc>
        <w:tc>
          <w:tcPr>
            <w:tcW w:w="1640" w:type="dxa"/>
            <w:vAlign w:val="bottom"/>
            <w:tcBorders>
              <w:top w:val="single" w:sz="8" w:color="auto"/>
            </w:tcBorders>
          </w:tcPr>
          <w:p>
            <w:pPr>
              <w:spacing w:after="0"/>
              <w:rPr>
                <w:sz w:val="15"/>
                <w:szCs w:val="15"/>
                <w:color w:val="auto"/>
              </w:rPr>
            </w:pPr>
          </w:p>
        </w:tc>
        <w:tc>
          <w:tcPr>
            <w:tcW w:w="2160" w:type="dxa"/>
            <w:vAlign w:val="bottom"/>
            <w:tcBorders>
              <w:top w:val="single" w:sz="8" w:color="auto"/>
            </w:tcBorders>
          </w:tcPr>
          <w:p>
            <w:pPr>
              <w:jc w:val="right"/>
              <w:spacing w:after="0" w:line="174" w:lineRule="exact"/>
              <w:rPr>
                <w:sz w:val="20"/>
                <w:szCs w:val="20"/>
                <w:color w:val="auto"/>
              </w:rPr>
            </w:pPr>
            <w:r>
              <w:rPr>
                <w:rFonts w:ascii="Arial" w:cs="Arial" w:eastAsia="Arial" w:hAnsi="Arial"/>
                <w:sz w:val="17"/>
                <w:szCs w:val="17"/>
                <w:b w:val="1"/>
                <w:bCs w:val="1"/>
                <w:color w:val="00539B"/>
              </w:rPr>
              <w:t>Three months ended June</w:t>
            </w:r>
          </w:p>
        </w:tc>
        <w:tc>
          <w:tcPr>
            <w:tcW w:w="120" w:type="dxa"/>
            <w:vAlign w:val="bottom"/>
            <w:tcBorders>
              <w:top w:val="single" w:sz="8" w:color="auto"/>
            </w:tcBorders>
          </w:tcPr>
          <w:p>
            <w:pPr>
              <w:spacing w:after="0"/>
              <w:rPr>
                <w:sz w:val="15"/>
                <w:szCs w:val="15"/>
                <w:color w:val="auto"/>
              </w:rPr>
            </w:pPr>
          </w:p>
        </w:tc>
        <w:tc>
          <w:tcPr>
            <w:tcW w:w="2200" w:type="dxa"/>
            <w:vAlign w:val="bottom"/>
            <w:tcBorders>
              <w:top w:val="single" w:sz="8" w:color="auto"/>
            </w:tcBorders>
          </w:tcPr>
          <w:p>
            <w:pPr>
              <w:jc w:val="right"/>
              <w:spacing w:after="0" w:line="174" w:lineRule="exact"/>
              <w:rPr>
                <w:sz w:val="20"/>
                <w:szCs w:val="20"/>
                <w:color w:val="auto"/>
              </w:rPr>
            </w:pPr>
            <w:r>
              <w:rPr>
                <w:rFonts w:ascii="Arial" w:cs="Arial" w:eastAsia="Arial" w:hAnsi="Arial"/>
                <w:sz w:val="17"/>
                <w:szCs w:val="17"/>
                <w:b w:val="1"/>
                <w:bCs w:val="1"/>
                <w:color w:val="00539B"/>
                <w:w w:val="98"/>
              </w:rPr>
              <w:t>Six months ended June 30,</w:t>
            </w:r>
          </w:p>
        </w:tc>
        <w:tc>
          <w:tcPr>
            <w:tcW w:w="0" w:type="dxa"/>
            <w:vAlign w:val="bottom"/>
          </w:tcPr>
          <w:p>
            <w:pPr>
              <w:spacing w:after="0"/>
              <w:rPr>
                <w:sz w:val="1"/>
                <w:szCs w:val="1"/>
                <w:color w:val="auto"/>
              </w:rPr>
            </w:pPr>
          </w:p>
        </w:tc>
      </w:tr>
      <w:tr>
        <w:trPr>
          <w:trHeight w:val="237"/>
        </w:trPr>
        <w:tc>
          <w:tcPr>
            <w:tcW w:w="5100" w:type="dxa"/>
            <w:vAlign w:val="bottom"/>
            <w:tcBorders>
              <w:bottom w:val="single" w:sz="8" w:color="auto"/>
            </w:tcBorders>
            <w:vMerge w:val="continue"/>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30, 2023</w:t>
            </w:r>
          </w:p>
        </w:tc>
        <w:tc>
          <w:tcPr>
            <w:tcW w:w="12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2023</w:t>
            </w:r>
          </w:p>
        </w:tc>
        <w:tc>
          <w:tcPr>
            <w:tcW w:w="0" w:type="dxa"/>
            <w:vAlign w:val="bottom"/>
          </w:tcPr>
          <w:p>
            <w:pPr>
              <w:spacing w:after="0"/>
              <w:rPr>
                <w:sz w:val="1"/>
                <w:szCs w:val="1"/>
                <w:color w:val="auto"/>
              </w:rPr>
            </w:pPr>
          </w:p>
        </w:tc>
      </w:tr>
      <w:tr>
        <w:trPr>
          <w:trHeight w:val="196"/>
        </w:trPr>
        <w:tc>
          <w:tcPr>
            <w:tcW w:w="5100" w:type="dxa"/>
            <w:vAlign w:val="bottom"/>
          </w:tcPr>
          <w:p>
            <w:pPr>
              <w:ind w:left="180"/>
              <w:spacing w:after="0"/>
              <w:rPr>
                <w:sz w:val="20"/>
                <w:szCs w:val="20"/>
                <w:color w:val="auto"/>
              </w:rPr>
            </w:pPr>
            <w:r>
              <w:rPr>
                <w:rFonts w:ascii="Arial" w:cs="Arial" w:eastAsia="Arial" w:hAnsi="Arial"/>
                <w:sz w:val="17"/>
                <w:szCs w:val="17"/>
                <w:color w:val="auto"/>
              </w:rPr>
              <w:t>Preferred dividends</w:t>
            </w:r>
          </w:p>
        </w:tc>
        <w:tc>
          <w:tcPr>
            <w:tcW w:w="1640" w:type="dxa"/>
            <w:vAlign w:val="bottom"/>
          </w:tcPr>
          <w:p>
            <w:pPr>
              <w:jc w:val="right"/>
              <w:spacing w:after="0"/>
              <w:rPr>
                <w:sz w:val="20"/>
                <w:szCs w:val="20"/>
                <w:color w:val="auto"/>
              </w:rPr>
            </w:pPr>
            <w:r>
              <w:rPr>
                <w:rFonts w:ascii="Arial" w:cs="Arial" w:eastAsia="Arial" w:hAnsi="Arial"/>
                <w:sz w:val="17"/>
                <w:szCs w:val="17"/>
                <w:b w:val="1"/>
                <w:bCs w:val="1"/>
                <w:color w:val="00539B"/>
              </w:rPr>
              <w:t>$</w:t>
            </w:r>
          </w:p>
        </w:tc>
        <w:tc>
          <w:tcPr>
            <w:tcW w:w="2160" w:type="dxa"/>
            <w:vAlign w:val="bottom"/>
          </w:tcPr>
          <w:p>
            <w:pPr>
              <w:jc w:val="right"/>
              <w:spacing w:after="0"/>
              <w:rPr>
                <w:sz w:val="20"/>
                <w:szCs w:val="20"/>
                <w:color w:val="auto"/>
              </w:rPr>
            </w:pPr>
            <w:r>
              <w:rPr>
                <w:rFonts w:ascii="Arial" w:cs="Arial" w:eastAsia="Arial" w:hAnsi="Arial"/>
                <w:sz w:val="17"/>
                <w:szCs w:val="17"/>
                <w:b w:val="1"/>
                <w:bCs w:val="1"/>
                <w:color w:val="00539B"/>
              </w:rPr>
              <w:t>190</w:t>
            </w:r>
          </w:p>
        </w:tc>
        <w:tc>
          <w:tcPr>
            <w:tcW w:w="120" w:type="dxa"/>
            <w:vAlign w:val="bottom"/>
          </w:tcPr>
          <w:p>
            <w:pPr>
              <w:jc w:val="right"/>
              <w:spacing w:after="0"/>
              <w:rPr>
                <w:sz w:val="20"/>
                <w:szCs w:val="20"/>
                <w:color w:val="auto"/>
              </w:rPr>
            </w:pPr>
            <w:r>
              <w:rPr>
                <w:rFonts w:ascii="Arial" w:cs="Arial" w:eastAsia="Arial" w:hAnsi="Arial"/>
                <w:sz w:val="17"/>
                <w:szCs w:val="17"/>
                <w:b w:val="1"/>
                <w:bCs w:val="1"/>
                <w:color w:val="00539B"/>
              </w:rPr>
              <w:t>$</w:t>
            </w:r>
          </w:p>
        </w:tc>
        <w:tc>
          <w:tcPr>
            <w:tcW w:w="2200" w:type="dxa"/>
            <w:vAlign w:val="bottom"/>
          </w:tcPr>
          <w:p>
            <w:pPr>
              <w:jc w:val="right"/>
              <w:spacing w:after="0"/>
              <w:rPr>
                <w:sz w:val="20"/>
                <w:szCs w:val="20"/>
                <w:color w:val="auto"/>
              </w:rPr>
            </w:pPr>
            <w:r>
              <w:rPr>
                <w:rFonts w:ascii="Arial" w:cs="Arial" w:eastAsia="Arial" w:hAnsi="Arial"/>
                <w:sz w:val="17"/>
                <w:szCs w:val="17"/>
                <w:b w:val="1"/>
                <w:bCs w:val="1"/>
                <w:color w:val="00539B"/>
              </w:rPr>
              <w:t>390</w:t>
            </w:r>
          </w:p>
        </w:tc>
        <w:tc>
          <w:tcPr>
            <w:tcW w:w="0" w:type="dxa"/>
            <w:vAlign w:val="bottom"/>
          </w:tcPr>
          <w:p>
            <w:pPr>
              <w:spacing w:after="0"/>
              <w:rPr>
                <w:sz w:val="1"/>
                <w:szCs w:val="1"/>
                <w:color w:val="auto"/>
              </w:rPr>
            </w:pPr>
          </w:p>
        </w:tc>
      </w:tr>
      <w:tr>
        <w:trPr>
          <w:trHeight w:val="227"/>
        </w:trPr>
        <w:tc>
          <w:tcPr>
            <w:tcW w:w="5100" w:type="dxa"/>
            <w:vAlign w:val="bottom"/>
          </w:tcPr>
          <w:p>
            <w:pPr>
              <w:ind w:left="180"/>
              <w:spacing w:after="0"/>
              <w:rPr>
                <w:sz w:val="20"/>
                <w:szCs w:val="20"/>
                <w:color w:val="auto"/>
              </w:rPr>
            </w:pPr>
            <w:r>
              <w:rPr>
                <w:rFonts w:ascii="Arial" w:cs="Arial" w:eastAsia="Arial" w:hAnsi="Arial"/>
                <w:sz w:val="17"/>
                <w:szCs w:val="17"/>
                <w:color w:val="auto"/>
              </w:rPr>
              <w:t>Redemption premium</w:t>
            </w:r>
          </w:p>
        </w:tc>
        <w:tc>
          <w:tcPr>
            <w:tcW w:w="164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Arial" w:cs="Arial" w:eastAsia="Arial" w:hAnsi="Arial"/>
                <w:sz w:val="17"/>
                <w:szCs w:val="17"/>
                <w:b w:val="1"/>
                <w:bCs w:val="1"/>
                <w:color w:val="00539B"/>
              </w:rPr>
              <w:t>52</w:t>
            </w:r>
          </w:p>
        </w:tc>
        <w:tc>
          <w:tcPr>
            <w:tcW w:w="120" w:type="dxa"/>
            <w:vAlign w:val="bottom"/>
          </w:tcPr>
          <w:p>
            <w:pPr>
              <w:spacing w:after="0"/>
              <w:rPr>
                <w:sz w:val="19"/>
                <w:szCs w:val="19"/>
                <w:color w:val="auto"/>
              </w:rPr>
            </w:pPr>
          </w:p>
        </w:tc>
        <w:tc>
          <w:tcPr>
            <w:tcW w:w="2200" w:type="dxa"/>
            <w:vAlign w:val="bottom"/>
          </w:tcPr>
          <w:p>
            <w:pPr>
              <w:jc w:val="right"/>
              <w:spacing w:after="0"/>
              <w:rPr>
                <w:sz w:val="20"/>
                <w:szCs w:val="20"/>
                <w:color w:val="auto"/>
              </w:rPr>
            </w:pPr>
            <w:r>
              <w:rPr>
                <w:rFonts w:ascii="Arial" w:cs="Arial" w:eastAsia="Arial" w:hAnsi="Arial"/>
                <w:sz w:val="17"/>
                <w:szCs w:val="17"/>
                <w:b w:val="1"/>
                <w:bCs w:val="1"/>
                <w:color w:val="00539B"/>
              </w:rPr>
              <w:t>117</w:t>
            </w:r>
          </w:p>
        </w:tc>
        <w:tc>
          <w:tcPr>
            <w:tcW w:w="0" w:type="dxa"/>
            <w:vAlign w:val="bottom"/>
          </w:tcPr>
          <w:p>
            <w:pPr>
              <w:spacing w:after="0"/>
              <w:rPr>
                <w:sz w:val="1"/>
                <w:szCs w:val="1"/>
                <w:color w:val="auto"/>
              </w:rPr>
            </w:pPr>
          </w:p>
        </w:tc>
      </w:tr>
      <w:tr>
        <w:trPr>
          <w:trHeight w:val="237"/>
        </w:trPr>
        <w:tc>
          <w:tcPr>
            <w:tcW w:w="5100" w:type="dxa"/>
            <w:vAlign w:val="bottom"/>
            <w:tcBorders>
              <w:bottom w:val="single" w:sz="8" w:color="auto"/>
            </w:tcBorders>
          </w:tcPr>
          <w:p>
            <w:pPr>
              <w:ind w:left="180"/>
              <w:spacing w:after="0"/>
              <w:rPr>
                <w:sz w:val="20"/>
                <w:szCs w:val="20"/>
                <w:color w:val="auto"/>
              </w:rPr>
            </w:pPr>
            <w:r>
              <w:rPr>
                <w:rFonts w:ascii="Arial" w:cs="Arial" w:eastAsia="Arial" w:hAnsi="Arial"/>
                <w:sz w:val="17"/>
                <w:szCs w:val="17"/>
                <w:color w:val="auto"/>
              </w:rPr>
              <w:t>Redemption value in excess of carrying value</w:t>
            </w:r>
          </w:p>
        </w:tc>
        <w:tc>
          <w:tcPr>
            <w:tcW w:w="164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13</w:t>
            </w:r>
          </w:p>
        </w:tc>
        <w:tc>
          <w:tcPr>
            <w:tcW w:w="12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28</w:t>
            </w:r>
          </w:p>
        </w:tc>
        <w:tc>
          <w:tcPr>
            <w:tcW w:w="0" w:type="dxa"/>
            <w:vAlign w:val="bottom"/>
          </w:tcPr>
          <w:p>
            <w:pPr>
              <w:spacing w:after="0"/>
              <w:rPr>
                <w:sz w:val="1"/>
                <w:szCs w:val="1"/>
                <w:color w:val="auto"/>
              </w:rPr>
            </w:pPr>
          </w:p>
        </w:tc>
      </w:tr>
      <w:tr>
        <w:trPr>
          <w:trHeight w:val="209"/>
        </w:trPr>
        <w:tc>
          <w:tcPr>
            <w:tcW w:w="5100" w:type="dxa"/>
            <w:vAlign w:val="bottom"/>
            <w:tcBorders>
              <w:bottom w:val="single" w:sz="8" w:color="auto"/>
            </w:tcBorders>
          </w:tcPr>
          <w:p>
            <w:pPr>
              <w:ind w:left="180"/>
              <w:spacing w:after="0"/>
              <w:rPr>
                <w:sz w:val="20"/>
                <w:szCs w:val="20"/>
                <w:color w:val="auto"/>
              </w:rPr>
            </w:pPr>
            <w:r>
              <w:rPr>
                <w:rFonts w:ascii="Arial" w:cs="Arial" w:eastAsia="Arial" w:hAnsi="Arial"/>
                <w:sz w:val="17"/>
                <w:szCs w:val="17"/>
                <w:color w:val="auto"/>
              </w:rPr>
              <w:t>Preferred dividend and redemption premiums</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w:t>
            </w: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255</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w:t>
            </w:r>
          </w:p>
        </w:tc>
        <w:tc>
          <w:tcPr>
            <w:tcW w:w="22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535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715962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82" w:right="339" w:bottom="1440" w:gutter="0" w:footer="0" w:header="0"/>
        </w:sectPr>
      </w:pPr>
    </w:p>
    <w:bookmarkStart w:id="25" w:name="page26"/>
    <w:bookmarkEnd w:id="25"/>
    <w:p>
      <w:pPr>
        <w:ind w:left="20"/>
        <w:spacing w:after="0"/>
        <w:rPr>
          <w:sz w:val="20"/>
          <w:szCs w:val="20"/>
          <w:color w:val="auto"/>
        </w:rPr>
      </w:pPr>
      <w:r>
        <w:rPr>
          <w:rFonts w:ascii="Arial" w:cs="Arial" w:eastAsia="Arial" w:hAnsi="Arial"/>
          <w:sz w:val="25"/>
          <w:szCs w:val="25"/>
          <w:b w:val="1"/>
          <w:bCs w:val="1"/>
          <w:color w:val="00539B"/>
        </w:rPr>
        <w:t>NOTE 10 - SEGMENTS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-180975</wp:posOffset>
            </wp:positionV>
            <wp:extent cx="713422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4225" cy="17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30480</wp:posOffset>
            </wp:positionV>
            <wp:extent cx="713422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pacing w:after="0" w:line="357" w:lineRule="exact"/>
        <w:rPr>
          <w:sz w:val="20"/>
          <w:szCs w:val="20"/>
          <w:color w:val="auto"/>
        </w:rPr>
      </w:pPr>
    </w:p>
    <w:p>
      <w:pPr>
        <w:jc w:val="both"/>
        <w:ind w:firstLine="240"/>
        <w:spacing w:after="0" w:line="259" w:lineRule="auto"/>
        <w:rPr>
          <w:sz w:val="20"/>
          <w:szCs w:val="20"/>
          <w:color w:val="auto"/>
        </w:rPr>
      </w:pPr>
      <w:r>
        <w:rPr>
          <w:rFonts w:ascii="Arial" w:cs="Arial" w:eastAsia="Arial" w:hAnsi="Arial"/>
          <w:sz w:val="17"/>
          <w:szCs w:val="17"/>
          <w:color w:val="auto"/>
        </w:rPr>
        <w:t>Occidental conducts its operations through three segments: (1) oil and gas; (2) chemical; and (3) midstream and marketing. Income taxes, interest income, interest expense, environmental remediation expenses and unallocated corporate expenses are included under corporate and eliminations. Intersegment sales eliminate upon consolidation and are generally made at prices approximating those that the selling entity would be able to obtain in third-party transactions. The following table presents Occidental’s industry segments: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900" w:type="dxa"/>
            <w:vAlign w:val="bottom"/>
            <w:tcBorders>
              <w:top w:val="single" w:sz="8" w:color="auto"/>
            </w:tcBorders>
            <w:vMerge w:val="restart"/>
          </w:tcPr>
          <w:p>
            <w:pPr>
              <w:ind w:left="20"/>
              <w:spacing w:after="0"/>
              <w:rPr>
                <w:sz w:val="20"/>
                <w:szCs w:val="20"/>
                <w:color w:val="auto"/>
              </w:rPr>
            </w:pPr>
            <w:r>
              <w:rPr>
                <w:rFonts w:ascii="Arial" w:cs="Arial" w:eastAsia="Arial" w:hAnsi="Arial"/>
                <w:sz w:val="17"/>
                <w:szCs w:val="17"/>
                <w:i w:val="1"/>
                <w:iCs w:val="1"/>
                <w:color w:val="auto"/>
              </w:rPr>
              <w:t>millions</w:t>
            </w:r>
          </w:p>
        </w:tc>
        <w:tc>
          <w:tcPr>
            <w:tcW w:w="2040" w:type="dxa"/>
            <w:vAlign w:val="bottom"/>
            <w:tcBorders>
              <w:top w:val="single" w:sz="8" w:color="auto"/>
            </w:tcBorders>
            <w:gridSpan w:val="2"/>
          </w:tcPr>
          <w:p>
            <w:pPr>
              <w:jc w:val="right"/>
              <w:spacing w:after="0" w:line="181" w:lineRule="exact"/>
              <w:rPr>
                <w:sz w:val="20"/>
                <w:szCs w:val="20"/>
                <w:color w:val="auto"/>
              </w:rPr>
            </w:pPr>
            <w:r>
              <w:rPr>
                <w:rFonts w:ascii="Arial" w:cs="Arial" w:eastAsia="Arial" w:hAnsi="Arial"/>
                <w:sz w:val="17"/>
                <w:szCs w:val="17"/>
                <w:b w:val="1"/>
                <w:bCs w:val="1"/>
                <w:color w:val="auto"/>
              </w:rPr>
              <w:t>Oil and gas</w:t>
            </w:r>
          </w:p>
        </w:tc>
        <w:tc>
          <w:tcPr>
            <w:tcW w:w="22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vMerge w:val="restart"/>
          </w:tcPr>
          <w:p>
            <w:pPr>
              <w:jc w:val="right"/>
              <w:spacing w:after="0"/>
              <w:rPr>
                <w:sz w:val="20"/>
                <w:szCs w:val="20"/>
                <w:color w:val="auto"/>
              </w:rPr>
            </w:pPr>
            <w:r>
              <w:rPr>
                <w:rFonts w:ascii="Arial" w:cs="Arial" w:eastAsia="Arial" w:hAnsi="Arial"/>
                <w:sz w:val="17"/>
                <w:szCs w:val="17"/>
                <w:b w:val="1"/>
                <w:bCs w:val="1"/>
                <w:color w:val="auto"/>
              </w:rPr>
              <w:t>Chemical</w:t>
            </w:r>
          </w:p>
        </w:tc>
        <w:tc>
          <w:tcPr>
            <w:tcW w:w="20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jc w:val="right"/>
              <w:spacing w:after="0" w:line="181" w:lineRule="exact"/>
              <w:rPr>
                <w:sz w:val="20"/>
                <w:szCs w:val="20"/>
                <w:color w:val="auto"/>
              </w:rPr>
            </w:pPr>
            <w:r>
              <w:rPr>
                <w:rFonts w:ascii="Arial" w:cs="Arial" w:eastAsia="Arial" w:hAnsi="Arial"/>
                <w:sz w:val="17"/>
                <w:szCs w:val="17"/>
                <w:b w:val="1"/>
                <w:bCs w:val="1"/>
                <w:color w:val="auto"/>
              </w:rPr>
              <w:t>Midstream and</w:t>
            </w:r>
          </w:p>
        </w:tc>
        <w:tc>
          <w:tcPr>
            <w:tcW w:w="24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jc w:val="right"/>
              <w:spacing w:after="0" w:line="181" w:lineRule="exact"/>
              <w:rPr>
                <w:sz w:val="20"/>
                <w:szCs w:val="20"/>
                <w:color w:val="auto"/>
              </w:rPr>
            </w:pPr>
            <w:r>
              <w:rPr>
                <w:rFonts w:ascii="Arial" w:cs="Arial" w:eastAsia="Arial" w:hAnsi="Arial"/>
                <w:sz w:val="17"/>
                <w:szCs w:val="17"/>
                <w:b w:val="1"/>
                <w:bCs w:val="1"/>
                <w:color w:val="auto"/>
              </w:rPr>
              <w:t>Corporate and</w:t>
            </w:r>
          </w:p>
        </w:tc>
        <w:tc>
          <w:tcPr>
            <w:tcW w:w="36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vMerge w:val="restart"/>
          </w:tcPr>
          <w:p>
            <w:pPr>
              <w:jc w:val="right"/>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219"/>
        </w:trPr>
        <w:tc>
          <w:tcPr>
            <w:tcW w:w="3900" w:type="dxa"/>
            <w:vAlign w:val="bottom"/>
            <w:tcBorders>
              <w:bottom w:val="single" w:sz="8" w:color="auto"/>
            </w:tcBorders>
            <w:vMerge w:val="continue"/>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(a)</w:t>
            </w: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line="219" w:lineRule="exact"/>
              <w:rPr>
                <w:sz w:val="20"/>
                <w:szCs w:val="20"/>
                <w:color w:val="auto"/>
              </w:rPr>
            </w:pPr>
            <w:r>
              <w:rPr>
                <w:rFonts w:ascii="Arial" w:cs="Arial" w:eastAsia="Arial" w:hAnsi="Arial"/>
                <w:sz w:val="17"/>
                <w:szCs w:val="17"/>
                <w:b w:val="1"/>
                <w:bCs w:val="1"/>
                <w:color w:val="auto"/>
              </w:rPr>
              <w:t xml:space="preserve">marketing </w:t>
            </w:r>
            <w:r>
              <w:rPr>
                <w:rFonts w:ascii="Arial" w:cs="Arial" w:eastAsia="Arial" w:hAnsi="Arial"/>
                <w:sz w:val="21"/>
                <w:szCs w:val="21"/>
                <w:b w:val="1"/>
                <w:bCs w:val="1"/>
                <w:color w:val="auto"/>
                <w:vertAlign w:val="superscript"/>
              </w:rPr>
              <w:t>(b)</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line="219" w:lineRule="exact"/>
              <w:rPr>
                <w:sz w:val="20"/>
                <w:szCs w:val="20"/>
                <w:color w:val="auto"/>
              </w:rPr>
            </w:pPr>
            <w:r>
              <w:rPr>
                <w:rFonts w:ascii="Arial" w:cs="Arial" w:eastAsia="Arial" w:hAnsi="Arial"/>
                <w:sz w:val="17"/>
                <w:szCs w:val="17"/>
                <w:b w:val="1"/>
                <w:bCs w:val="1"/>
                <w:color w:val="auto"/>
              </w:rPr>
              <w:t xml:space="preserve">eliminations </w:t>
            </w:r>
            <w:r>
              <w:rPr>
                <w:rFonts w:ascii="Arial" w:cs="Arial" w:eastAsia="Arial" w:hAnsi="Arial"/>
                <w:sz w:val="21"/>
                <w:szCs w:val="21"/>
                <w:b w:val="1"/>
                <w:bCs w:val="1"/>
                <w:color w:val="auto"/>
                <w:vertAlign w:val="superscript"/>
              </w:rPr>
              <w:t>(c)</w:t>
            </w: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900" w:type="dxa"/>
            <w:vAlign w:val="bottom"/>
          </w:tcPr>
          <w:p>
            <w:pPr>
              <w:ind w:left="20"/>
              <w:spacing w:after="0"/>
              <w:rPr>
                <w:sz w:val="20"/>
                <w:szCs w:val="20"/>
                <w:color w:val="auto"/>
              </w:rPr>
            </w:pPr>
            <w:r>
              <w:rPr>
                <w:rFonts w:ascii="Arial" w:cs="Arial" w:eastAsia="Arial" w:hAnsi="Arial"/>
                <w:sz w:val="17"/>
                <w:szCs w:val="17"/>
                <w:b w:val="1"/>
                <w:bCs w:val="1"/>
                <w:color w:val="00539B"/>
              </w:rPr>
              <w:t>Three months ended June 30, 2023</w:t>
            </w:r>
          </w:p>
        </w:tc>
        <w:tc>
          <w:tcPr>
            <w:tcW w:w="1320" w:type="dxa"/>
            <w:vAlign w:val="bottom"/>
            <w:vMerge w:val="restart"/>
          </w:tcPr>
          <w:p>
            <w:pPr>
              <w:jc w:val="right"/>
              <w:ind w:right="56"/>
              <w:spacing w:after="0"/>
              <w:rPr>
                <w:sz w:val="20"/>
                <w:szCs w:val="20"/>
                <w:color w:val="auto"/>
              </w:rPr>
            </w:pPr>
            <w:r>
              <w:rPr>
                <w:rFonts w:ascii="Arial" w:cs="Arial" w:eastAsia="Arial" w:hAnsi="Arial"/>
                <w:sz w:val="17"/>
                <w:szCs w:val="17"/>
                <w:b w:val="1"/>
                <w:bCs w:val="1"/>
                <w:color w:val="00539B"/>
              </w:rPr>
              <w:t>$</w:t>
            </w:r>
          </w:p>
        </w:tc>
        <w:tc>
          <w:tcPr>
            <w:tcW w:w="720" w:type="dxa"/>
            <w:vAlign w:val="bottom"/>
            <w:vMerge w:val="restart"/>
          </w:tcPr>
          <w:p>
            <w:pPr>
              <w:jc w:val="right"/>
              <w:spacing w:after="0"/>
              <w:rPr>
                <w:sz w:val="20"/>
                <w:szCs w:val="20"/>
                <w:color w:val="auto"/>
              </w:rPr>
            </w:pPr>
            <w:r>
              <w:rPr>
                <w:rFonts w:ascii="Arial" w:cs="Arial" w:eastAsia="Arial" w:hAnsi="Arial"/>
                <w:sz w:val="17"/>
                <w:szCs w:val="17"/>
                <w:b w:val="1"/>
                <w:bCs w:val="1"/>
                <w:color w:val="00539B"/>
              </w:rPr>
              <w:t>4,941</w:t>
            </w:r>
          </w:p>
        </w:tc>
        <w:tc>
          <w:tcPr>
            <w:tcW w:w="220" w:type="dxa"/>
            <w:vAlign w:val="bottom"/>
            <w:vMerge w:val="restart"/>
          </w:tcPr>
          <w:p>
            <w:pPr>
              <w:jc w:val="right"/>
              <w:ind w:right="16"/>
              <w:spacing w:after="0"/>
              <w:rPr>
                <w:sz w:val="20"/>
                <w:szCs w:val="20"/>
                <w:color w:val="auto"/>
              </w:rPr>
            </w:pPr>
            <w:r>
              <w:rPr>
                <w:rFonts w:ascii="Arial" w:cs="Arial" w:eastAsia="Arial" w:hAnsi="Arial"/>
                <w:sz w:val="17"/>
                <w:szCs w:val="17"/>
                <w:b w:val="1"/>
                <w:bCs w:val="1"/>
                <w:color w:val="00539B"/>
              </w:rPr>
              <w:t>$</w:t>
            </w:r>
          </w:p>
        </w:tc>
        <w:tc>
          <w:tcPr>
            <w:tcW w:w="860" w:type="dxa"/>
            <w:vAlign w:val="bottom"/>
            <w:vMerge w:val="restart"/>
          </w:tcPr>
          <w:p>
            <w:pPr>
              <w:jc w:val="right"/>
              <w:spacing w:after="0"/>
              <w:rPr>
                <w:sz w:val="20"/>
                <w:szCs w:val="20"/>
                <w:color w:val="auto"/>
              </w:rPr>
            </w:pPr>
            <w:r>
              <w:rPr>
                <w:rFonts w:ascii="Arial" w:cs="Arial" w:eastAsia="Arial" w:hAnsi="Arial"/>
                <w:sz w:val="17"/>
                <w:szCs w:val="17"/>
                <w:b w:val="1"/>
                <w:bCs w:val="1"/>
                <w:color w:val="00539B"/>
              </w:rPr>
              <w:t>1,375</w:t>
            </w:r>
          </w:p>
        </w:tc>
        <w:tc>
          <w:tcPr>
            <w:tcW w:w="200" w:type="dxa"/>
            <w:vAlign w:val="bottom"/>
            <w:vMerge w:val="restart"/>
          </w:tcPr>
          <w:p>
            <w:pPr>
              <w:jc w:val="right"/>
              <w:spacing w:after="0"/>
              <w:rPr>
                <w:sz w:val="20"/>
                <w:szCs w:val="20"/>
                <w:color w:val="auto"/>
              </w:rPr>
            </w:pPr>
            <w:r>
              <w:rPr>
                <w:rFonts w:ascii="Arial" w:cs="Arial" w:eastAsia="Arial" w:hAnsi="Arial"/>
                <w:sz w:val="17"/>
                <w:szCs w:val="17"/>
                <w:b w:val="1"/>
                <w:bCs w:val="1"/>
                <w:color w:val="00539B"/>
              </w:rPr>
              <w:t>$</w:t>
            </w:r>
          </w:p>
        </w:tc>
        <w:tc>
          <w:tcPr>
            <w:tcW w:w="1280" w:type="dxa"/>
            <w:vAlign w:val="bottom"/>
            <w:vMerge w:val="restart"/>
          </w:tcPr>
          <w:p>
            <w:pPr>
              <w:jc w:val="right"/>
              <w:spacing w:after="0"/>
              <w:rPr>
                <w:sz w:val="20"/>
                <w:szCs w:val="20"/>
                <w:color w:val="auto"/>
              </w:rPr>
            </w:pPr>
            <w:r>
              <w:rPr>
                <w:rFonts w:ascii="Arial" w:cs="Arial" w:eastAsia="Arial" w:hAnsi="Arial"/>
                <w:sz w:val="17"/>
                <w:szCs w:val="17"/>
                <w:b w:val="1"/>
                <w:bCs w:val="1"/>
                <w:color w:val="00539B"/>
              </w:rPr>
              <w:t>616</w:t>
            </w:r>
          </w:p>
        </w:tc>
        <w:tc>
          <w:tcPr>
            <w:tcW w:w="240" w:type="dxa"/>
            <w:vAlign w:val="bottom"/>
            <w:vMerge w:val="restart"/>
          </w:tcPr>
          <w:p>
            <w:pPr>
              <w:jc w:val="right"/>
              <w:ind w:right="56"/>
              <w:spacing w:after="0"/>
              <w:rPr>
                <w:sz w:val="20"/>
                <w:szCs w:val="20"/>
                <w:color w:val="auto"/>
              </w:rPr>
            </w:pPr>
            <w:r>
              <w:rPr>
                <w:rFonts w:ascii="Arial" w:cs="Arial" w:eastAsia="Arial" w:hAnsi="Arial"/>
                <w:sz w:val="17"/>
                <w:szCs w:val="17"/>
                <w:b w:val="1"/>
                <w:bCs w:val="1"/>
                <w:color w:val="00539B"/>
                <w:w w:val="84"/>
              </w:rPr>
              <w:t>$</w:t>
            </w:r>
          </w:p>
        </w:tc>
        <w:tc>
          <w:tcPr>
            <w:tcW w:w="1320" w:type="dxa"/>
            <w:vAlign w:val="bottom"/>
            <w:vMerge w:val="restart"/>
          </w:tcPr>
          <w:p>
            <w:pPr>
              <w:jc w:val="right"/>
              <w:spacing w:after="0"/>
              <w:rPr>
                <w:sz w:val="20"/>
                <w:szCs w:val="20"/>
                <w:color w:val="auto"/>
              </w:rPr>
            </w:pPr>
            <w:r>
              <w:rPr>
                <w:rFonts w:ascii="Arial" w:cs="Arial" w:eastAsia="Arial" w:hAnsi="Arial"/>
                <w:sz w:val="17"/>
                <w:szCs w:val="17"/>
                <w:b w:val="1"/>
                <w:bCs w:val="1"/>
                <w:color w:val="00539B"/>
              </w:rPr>
              <w:t>(230)</w:t>
            </w:r>
          </w:p>
        </w:tc>
        <w:tc>
          <w:tcPr>
            <w:tcW w:w="360" w:type="dxa"/>
            <w:vAlign w:val="bottom"/>
            <w:vMerge w:val="restart"/>
          </w:tcPr>
          <w:p>
            <w:pPr>
              <w:jc w:val="right"/>
              <w:ind w:right="156"/>
              <w:spacing w:after="0"/>
              <w:rPr>
                <w:sz w:val="20"/>
                <w:szCs w:val="20"/>
                <w:color w:val="auto"/>
              </w:rPr>
            </w:pPr>
            <w:r>
              <w:rPr>
                <w:rFonts w:ascii="Arial" w:cs="Arial" w:eastAsia="Arial" w:hAnsi="Arial"/>
                <w:sz w:val="17"/>
                <w:szCs w:val="17"/>
                <w:b w:val="1"/>
                <w:bCs w:val="1"/>
                <w:color w:val="00539B"/>
              </w:rPr>
              <w:t>$</w:t>
            </w:r>
          </w:p>
        </w:tc>
        <w:tc>
          <w:tcPr>
            <w:tcW w:w="820" w:type="dxa"/>
            <w:vAlign w:val="bottom"/>
            <w:vMerge w:val="restart"/>
          </w:tcPr>
          <w:p>
            <w:pPr>
              <w:jc w:val="right"/>
              <w:spacing w:after="0"/>
              <w:rPr>
                <w:sz w:val="20"/>
                <w:szCs w:val="20"/>
                <w:color w:val="auto"/>
              </w:rPr>
            </w:pPr>
            <w:r>
              <w:rPr>
                <w:rFonts w:ascii="Arial" w:cs="Arial" w:eastAsia="Arial" w:hAnsi="Arial"/>
                <w:sz w:val="17"/>
                <w:szCs w:val="17"/>
                <w:b w:val="1"/>
                <w:bCs w:val="1"/>
                <w:color w:val="00539B"/>
              </w:rPr>
              <w:t>6,702</w:t>
            </w:r>
          </w:p>
        </w:tc>
        <w:tc>
          <w:tcPr>
            <w:tcW w:w="0" w:type="dxa"/>
            <w:vAlign w:val="bottom"/>
          </w:tcPr>
          <w:p>
            <w:pPr>
              <w:spacing w:after="0"/>
              <w:rPr>
                <w:sz w:val="1"/>
                <w:szCs w:val="1"/>
                <w:color w:val="auto"/>
              </w:rPr>
            </w:pPr>
          </w:p>
        </w:tc>
      </w:tr>
      <w:tr>
        <w:trPr>
          <w:trHeight w:val="229"/>
        </w:trPr>
        <w:tc>
          <w:tcPr>
            <w:tcW w:w="3900" w:type="dxa"/>
            <w:vAlign w:val="bottom"/>
            <w:tcBorders>
              <w:bottom w:val="single" w:sz="8" w:color="auto"/>
            </w:tcBorders>
          </w:tcPr>
          <w:p>
            <w:pPr>
              <w:ind w:left="180"/>
              <w:spacing w:after="0"/>
              <w:rPr>
                <w:sz w:val="20"/>
                <w:szCs w:val="20"/>
                <w:color w:val="auto"/>
              </w:rPr>
            </w:pPr>
            <w:r>
              <w:rPr>
                <w:rFonts w:ascii="Arial" w:cs="Arial" w:eastAsia="Arial" w:hAnsi="Arial"/>
                <w:sz w:val="17"/>
                <w:szCs w:val="17"/>
                <w:color w:val="auto"/>
              </w:rPr>
              <w:t>Net sales</w:t>
            </w:r>
          </w:p>
        </w:tc>
        <w:tc>
          <w:tcPr>
            <w:tcW w:w="1320" w:type="dxa"/>
            <w:vAlign w:val="bottom"/>
            <w:tcBorders>
              <w:bottom w:val="single" w:sz="8" w:color="auto"/>
            </w:tcBorders>
            <w:vMerge w:val="continue"/>
          </w:tcPr>
          <w:p>
            <w:pPr>
              <w:spacing w:after="0"/>
              <w:rPr>
                <w:sz w:val="19"/>
                <w:szCs w:val="19"/>
                <w:color w:val="auto"/>
              </w:rPr>
            </w:pPr>
          </w:p>
        </w:tc>
        <w:tc>
          <w:tcPr>
            <w:tcW w:w="72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vMerge w:val="continue"/>
          </w:tcPr>
          <w:p>
            <w:pPr>
              <w:spacing w:after="0"/>
              <w:rPr>
                <w:sz w:val="19"/>
                <w:szCs w:val="19"/>
                <w:color w:val="auto"/>
              </w:rPr>
            </w:pPr>
          </w:p>
        </w:tc>
        <w:tc>
          <w:tcPr>
            <w:tcW w:w="86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auto"/>
            </w:tcBorders>
            <w:vMerge w:val="continue"/>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240" w:type="dxa"/>
            <w:vAlign w:val="bottom"/>
            <w:tcBorders>
              <w:bottom w:val="single" w:sz="8" w:color="auto"/>
            </w:tcBorders>
            <w:vMerge w:val="continue"/>
          </w:tcPr>
          <w:p>
            <w:pPr>
              <w:spacing w:after="0"/>
              <w:rPr>
                <w:sz w:val="19"/>
                <w:szCs w:val="19"/>
                <w:color w:val="auto"/>
              </w:rPr>
            </w:pPr>
          </w:p>
        </w:tc>
        <w:tc>
          <w:tcPr>
            <w:tcW w:w="1320" w:type="dxa"/>
            <w:vAlign w:val="bottom"/>
            <w:tcBorders>
              <w:bottom w:val="single" w:sz="8" w:color="auto"/>
            </w:tcBorders>
            <w:vMerge w:val="continue"/>
          </w:tcPr>
          <w:p>
            <w:pPr>
              <w:spacing w:after="0"/>
              <w:rPr>
                <w:sz w:val="19"/>
                <w:szCs w:val="19"/>
                <w:color w:val="auto"/>
              </w:rPr>
            </w:pPr>
          </w:p>
        </w:tc>
        <w:tc>
          <w:tcPr>
            <w:tcW w:w="360" w:type="dxa"/>
            <w:vAlign w:val="bottom"/>
            <w:tcBorders>
              <w:bottom w:val="single" w:sz="8" w:color="auto"/>
            </w:tcBorders>
            <w:vMerge w:val="continue"/>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3900" w:type="dxa"/>
            <w:vAlign w:val="bottom"/>
          </w:tcPr>
          <w:p>
            <w:pPr>
              <w:ind w:left="20"/>
              <w:spacing w:after="0"/>
              <w:rPr>
                <w:sz w:val="20"/>
                <w:szCs w:val="20"/>
                <w:color w:val="auto"/>
              </w:rPr>
            </w:pPr>
            <w:r>
              <w:rPr>
                <w:rFonts w:ascii="Arial" w:cs="Arial" w:eastAsia="Arial" w:hAnsi="Arial"/>
                <w:sz w:val="17"/>
                <w:szCs w:val="17"/>
                <w:color w:val="auto"/>
              </w:rPr>
              <w:t>Income (loss) before income taxes</w:t>
            </w:r>
          </w:p>
        </w:tc>
        <w:tc>
          <w:tcPr>
            <w:tcW w:w="1320" w:type="dxa"/>
            <w:vAlign w:val="bottom"/>
          </w:tcPr>
          <w:p>
            <w:pPr>
              <w:jc w:val="right"/>
              <w:ind w:right="56"/>
              <w:spacing w:after="0"/>
              <w:rPr>
                <w:sz w:val="20"/>
                <w:szCs w:val="20"/>
                <w:color w:val="auto"/>
              </w:rPr>
            </w:pPr>
            <w:r>
              <w:rPr>
                <w:rFonts w:ascii="Arial" w:cs="Arial" w:eastAsia="Arial" w:hAnsi="Arial"/>
                <w:sz w:val="17"/>
                <w:szCs w:val="17"/>
                <w:b w:val="1"/>
                <w:bCs w:val="1"/>
                <w:color w:val="00539B"/>
              </w:rPr>
              <w:t>$</w:t>
            </w:r>
          </w:p>
        </w:tc>
        <w:tc>
          <w:tcPr>
            <w:tcW w:w="720" w:type="dxa"/>
            <w:vAlign w:val="bottom"/>
          </w:tcPr>
          <w:p>
            <w:pPr>
              <w:jc w:val="right"/>
              <w:spacing w:after="0"/>
              <w:rPr>
                <w:sz w:val="20"/>
                <w:szCs w:val="20"/>
                <w:color w:val="auto"/>
              </w:rPr>
            </w:pPr>
            <w:r>
              <w:rPr>
                <w:rFonts w:ascii="Arial" w:cs="Arial" w:eastAsia="Arial" w:hAnsi="Arial"/>
                <w:sz w:val="17"/>
                <w:szCs w:val="17"/>
                <w:b w:val="1"/>
                <w:bCs w:val="1"/>
                <w:color w:val="00539B"/>
              </w:rPr>
              <w:t>1,059</w:t>
            </w:r>
          </w:p>
        </w:tc>
        <w:tc>
          <w:tcPr>
            <w:tcW w:w="220" w:type="dxa"/>
            <w:vAlign w:val="bottom"/>
          </w:tcPr>
          <w:p>
            <w:pPr>
              <w:jc w:val="right"/>
              <w:ind w:right="16"/>
              <w:spacing w:after="0"/>
              <w:rPr>
                <w:sz w:val="20"/>
                <w:szCs w:val="20"/>
                <w:color w:val="auto"/>
              </w:rPr>
            </w:pPr>
            <w:r>
              <w:rPr>
                <w:rFonts w:ascii="Arial" w:cs="Arial" w:eastAsia="Arial" w:hAnsi="Arial"/>
                <w:sz w:val="17"/>
                <w:szCs w:val="17"/>
                <w:b w:val="1"/>
                <w:bCs w:val="1"/>
                <w:color w:val="00539B"/>
              </w:rPr>
              <w:t>$</w:t>
            </w:r>
          </w:p>
        </w:tc>
        <w:tc>
          <w:tcPr>
            <w:tcW w:w="860" w:type="dxa"/>
            <w:vAlign w:val="bottom"/>
          </w:tcPr>
          <w:p>
            <w:pPr>
              <w:jc w:val="right"/>
              <w:spacing w:after="0"/>
              <w:rPr>
                <w:sz w:val="20"/>
                <w:szCs w:val="20"/>
                <w:color w:val="auto"/>
              </w:rPr>
            </w:pPr>
            <w:r>
              <w:rPr>
                <w:rFonts w:ascii="Arial" w:cs="Arial" w:eastAsia="Arial" w:hAnsi="Arial"/>
                <w:sz w:val="17"/>
                <w:szCs w:val="17"/>
                <w:b w:val="1"/>
                <w:bCs w:val="1"/>
                <w:color w:val="00539B"/>
              </w:rPr>
              <w:t>436</w:t>
            </w:r>
          </w:p>
        </w:tc>
        <w:tc>
          <w:tcPr>
            <w:tcW w:w="200" w:type="dxa"/>
            <w:vAlign w:val="bottom"/>
          </w:tcPr>
          <w:p>
            <w:pPr>
              <w:jc w:val="right"/>
              <w:spacing w:after="0"/>
              <w:rPr>
                <w:sz w:val="20"/>
                <w:szCs w:val="20"/>
                <w:color w:val="auto"/>
              </w:rPr>
            </w:pPr>
            <w:r>
              <w:rPr>
                <w:rFonts w:ascii="Arial" w:cs="Arial" w:eastAsia="Arial" w:hAnsi="Arial"/>
                <w:sz w:val="17"/>
                <w:szCs w:val="17"/>
                <w:b w:val="1"/>
                <w:bCs w:val="1"/>
                <w:color w:val="00539B"/>
              </w:rPr>
              <w:t>$</w:t>
            </w:r>
          </w:p>
        </w:tc>
        <w:tc>
          <w:tcPr>
            <w:tcW w:w="1280" w:type="dxa"/>
            <w:vAlign w:val="bottom"/>
          </w:tcPr>
          <w:p>
            <w:pPr>
              <w:jc w:val="right"/>
              <w:spacing w:after="0"/>
              <w:rPr>
                <w:sz w:val="20"/>
                <w:szCs w:val="20"/>
                <w:color w:val="auto"/>
              </w:rPr>
            </w:pPr>
            <w:r>
              <w:rPr>
                <w:rFonts w:ascii="Arial" w:cs="Arial" w:eastAsia="Arial" w:hAnsi="Arial"/>
                <w:sz w:val="17"/>
                <w:szCs w:val="17"/>
                <w:b w:val="1"/>
                <w:bCs w:val="1"/>
                <w:color w:val="00539B"/>
              </w:rPr>
              <w:t>(30)</w:t>
            </w:r>
          </w:p>
        </w:tc>
        <w:tc>
          <w:tcPr>
            <w:tcW w:w="240" w:type="dxa"/>
            <w:vAlign w:val="bottom"/>
          </w:tcPr>
          <w:p>
            <w:pPr>
              <w:jc w:val="right"/>
              <w:ind w:right="56"/>
              <w:spacing w:after="0"/>
              <w:rPr>
                <w:sz w:val="20"/>
                <w:szCs w:val="20"/>
                <w:color w:val="auto"/>
              </w:rPr>
            </w:pPr>
            <w:r>
              <w:rPr>
                <w:rFonts w:ascii="Arial" w:cs="Arial" w:eastAsia="Arial" w:hAnsi="Arial"/>
                <w:sz w:val="17"/>
                <w:szCs w:val="17"/>
                <w:b w:val="1"/>
                <w:bCs w:val="1"/>
                <w:color w:val="00539B"/>
                <w:w w:val="84"/>
              </w:rPr>
              <w:t>$</w:t>
            </w:r>
          </w:p>
        </w:tc>
        <w:tc>
          <w:tcPr>
            <w:tcW w:w="1320" w:type="dxa"/>
            <w:vAlign w:val="bottom"/>
          </w:tcPr>
          <w:p>
            <w:pPr>
              <w:jc w:val="right"/>
              <w:spacing w:after="0"/>
              <w:rPr>
                <w:sz w:val="20"/>
                <w:szCs w:val="20"/>
                <w:color w:val="auto"/>
              </w:rPr>
            </w:pPr>
            <w:r>
              <w:rPr>
                <w:rFonts w:ascii="Arial" w:cs="Arial" w:eastAsia="Arial" w:hAnsi="Arial"/>
                <w:sz w:val="17"/>
                <w:szCs w:val="17"/>
                <w:b w:val="1"/>
                <w:bCs w:val="1"/>
                <w:color w:val="00539B"/>
              </w:rPr>
              <w:t>(138)</w:t>
            </w:r>
          </w:p>
        </w:tc>
        <w:tc>
          <w:tcPr>
            <w:tcW w:w="360" w:type="dxa"/>
            <w:vAlign w:val="bottom"/>
          </w:tcPr>
          <w:p>
            <w:pPr>
              <w:jc w:val="right"/>
              <w:ind w:right="156"/>
              <w:spacing w:after="0"/>
              <w:rPr>
                <w:sz w:val="20"/>
                <w:szCs w:val="20"/>
                <w:color w:val="auto"/>
              </w:rPr>
            </w:pPr>
            <w:r>
              <w:rPr>
                <w:rFonts w:ascii="Arial" w:cs="Arial" w:eastAsia="Arial" w:hAnsi="Arial"/>
                <w:sz w:val="17"/>
                <w:szCs w:val="17"/>
                <w:b w:val="1"/>
                <w:bCs w:val="1"/>
                <w:color w:val="00539B"/>
              </w:rPr>
              <w:t>$</w:t>
            </w:r>
          </w:p>
        </w:tc>
        <w:tc>
          <w:tcPr>
            <w:tcW w:w="820" w:type="dxa"/>
            <w:vAlign w:val="bottom"/>
          </w:tcPr>
          <w:p>
            <w:pPr>
              <w:jc w:val="right"/>
              <w:spacing w:after="0"/>
              <w:rPr>
                <w:sz w:val="20"/>
                <w:szCs w:val="20"/>
                <w:color w:val="auto"/>
              </w:rPr>
            </w:pPr>
            <w:r>
              <w:rPr>
                <w:rFonts w:ascii="Arial" w:cs="Arial" w:eastAsia="Arial" w:hAnsi="Arial"/>
                <w:sz w:val="17"/>
                <w:szCs w:val="17"/>
                <w:b w:val="1"/>
                <w:bCs w:val="1"/>
                <w:color w:val="00539B"/>
              </w:rPr>
              <w:t>1,327</w:t>
            </w:r>
          </w:p>
        </w:tc>
        <w:tc>
          <w:tcPr>
            <w:tcW w:w="0" w:type="dxa"/>
            <w:vAlign w:val="bottom"/>
          </w:tcPr>
          <w:p>
            <w:pPr>
              <w:spacing w:after="0"/>
              <w:rPr>
                <w:sz w:val="1"/>
                <w:szCs w:val="1"/>
                <w:color w:val="auto"/>
              </w:rPr>
            </w:pPr>
          </w:p>
        </w:tc>
      </w:tr>
      <w:tr>
        <w:trPr>
          <w:trHeight w:val="237"/>
        </w:trPr>
        <w:tc>
          <w:tcPr>
            <w:tcW w:w="3900" w:type="dxa"/>
            <w:vAlign w:val="bottom"/>
            <w:tcBorders>
              <w:bottom w:val="single" w:sz="8" w:color="auto"/>
            </w:tcBorders>
          </w:tcPr>
          <w:p>
            <w:pPr>
              <w:ind w:left="180"/>
              <w:spacing w:after="0"/>
              <w:rPr>
                <w:sz w:val="20"/>
                <w:szCs w:val="20"/>
                <w:color w:val="auto"/>
              </w:rPr>
            </w:pPr>
            <w:r>
              <w:rPr>
                <w:rFonts w:ascii="Arial" w:cs="Arial" w:eastAsia="Arial" w:hAnsi="Arial"/>
                <w:sz w:val="17"/>
                <w:szCs w:val="17"/>
                <w:color w:val="auto"/>
              </w:rPr>
              <w:t>Income tax expense</w:t>
            </w:r>
          </w:p>
        </w:tc>
        <w:tc>
          <w:tcPr>
            <w:tcW w:w="13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w:t>
            </w: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w:t>
            </w: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w:t>
            </w: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(467)</w:t>
            </w:r>
          </w:p>
        </w:tc>
        <w:tc>
          <w:tcPr>
            <w:tcW w:w="3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(467)</w:t>
            </w:r>
          </w:p>
        </w:tc>
        <w:tc>
          <w:tcPr>
            <w:tcW w:w="0" w:type="dxa"/>
            <w:vAlign w:val="bottom"/>
          </w:tcPr>
          <w:p>
            <w:pPr>
              <w:spacing w:after="0"/>
              <w:rPr>
                <w:sz w:val="1"/>
                <w:szCs w:val="1"/>
                <w:color w:val="auto"/>
              </w:rPr>
            </w:pPr>
          </w:p>
        </w:tc>
      </w:tr>
      <w:tr>
        <w:trPr>
          <w:trHeight w:val="223"/>
        </w:trPr>
        <w:tc>
          <w:tcPr>
            <w:tcW w:w="39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Net income (loss)</w:t>
            </w:r>
          </w:p>
        </w:tc>
        <w:tc>
          <w:tcPr>
            <w:tcW w:w="132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b w:val="1"/>
                <w:bCs w:val="1"/>
                <w:color w:val="00539B"/>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1,059</w:t>
            </w:r>
          </w:p>
        </w:tc>
        <w:tc>
          <w:tcPr>
            <w:tcW w:w="22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b w:val="1"/>
                <w:bCs w:val="1"/>
                <w:color w:val="00539B"/>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436</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(30)</w:t>
            </w:r>
          </w:p>
        </w:tc>
        <w:tc>
          <w:tcPr>
            <w:tcW w:w="24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b w:val="1"/>
                <w:bCs w:val="1"/>
                <w:color w:val="00539B"/>
                <w:w w:val="84"/>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(605)</w:t>
            </w:r>
          </w:p>
        </w:tc>
        <w:tc>
          <w:tcPr>
            <w:tcW w:w="360" w:type="dxa"/>
            <w:vAlign w:val="bottom"/>
            <w:tcBorders>
              <w:bottom w:val="single" w:sz="8" w:color="auto"/>
            </w:tcBorders>
          </w:tcPr>
          <w:p>
            <w:pPr>
              <w:jc w:val="right"/>
              <w:ind w:right="156"/>
              <w:spacing w:after="0"/>
              <w:rPr>
                <w:sz w:val="20"/>
                <w:szCs w:val="20"/>
                <w:color w:val="auto"/>
              </w:rPr>
            </w:pPr>
            <w:r>
              <w:rPr>
                <w:rFonts w:ascii="Arial" w:cs="Arial" w:eastAsia="Arial" w:hAnsi="Arial"/>
                <w:sz w:val="17"/>
                <w:szCs w:val="17"/>
                <w:b w:val="1"/>
                <w:bCs w:val="1"/>
                <w:color w:val="00539B"/>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860</w:t>
            </w:r>
          </w:p>
        </w:tc>
        <w:tc>
          <w:tcPr>
            <w:tcW w:w="0" w:type="dxa"/>
            <w:vAlign w:val="bottom"/>
          </w:tcPr>
          <w:p>
            <w:pPr>
              <w:spacing w:after="0"/>
              <w:rPr>
                <w:sz w:val="1"/>
                <w:szCs w:val="1"/>
                <w:color w:val="auto"/>
              </w:rPr>
            </w:pPr>
          </w:p>
        </w:tc>
      </w:tr>
      <w:tr>
        <w:trPr>
          <w:trHeight w:val="282"/>
        </w:trPr>
        <w:tc>
          <w:tcPr>
            <w:tcW w:w="3900" w:type="dxa"/>
            <w:vAlign w:val="bottom"/>
          </w:tcPr>
          <w:p>
            <w:pPr>
              <w:ind w:left="20"/>
              <w:spacing w:after="0"/>
              <w:rPr>
                <w:sz w:val="20"/>
                <w:szCs w:val="20"/>
                <w:color w:val="auto"/>
              </w:rPr>
            </w:pPr>
            <w:r>
              <w:rPr>
                <w:rFonts w:ascii="Arial" w:cs="Arial" w:eastAsia="Arial" w:hAnsi="Arial"/>
                <w:sz w:val="17"/>
                <w:szCs w:val="17"/>
                <w:b w:val="1"/>
                <w:bCs w:val="1"/>
                <w:color w:val="auto"/>
              </w:rPr>
              <w:t>Three months ended June 30, 2022</w:t>
            </w:r>
          </w:p>
        </w:tc>
        <w:tc>
          <w:tcPr>
            <w:tcW w:w="1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3900" w:type="dxa"/>
            <w:vAlign w:val="bottom"/>
            <w:tcBorders>
              <w:bottom w:val="single" w:sz="8" w:color="auto"/>
            </w:tcBorders>
          </w:tcPr>
          <w:p>
            <w:pPr>
              <w:ind w:left="180"/>
              <w:spacing w:after="0"/>
              <w:rPr>
                <w:sz w:val="20"/>
                <w:szCs w:val="20"/>
                <w:color w:val="auto"/>
              </w:rPr>
            </w:pPr>
            <w:r>
              <w:rPr>
                <w:rFonts w:ascii="Arial" w:cs="Arial" w:eastAsia="Arial" w:hAnsi="Arial"/>
                <w:sz w:val="17"/>
                <w:szCs w:val="17"/>
                <w:color w:val="auto"/>
              </w:rPr>
              <w:t>Net sales</w:t>
            </w:r>
          </w:p>
        </w:tc>
        <w:tc>
          <w:tcPr>
            <w:tcW w:w="132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7,696</w:t>
            </w:r>
          </w:p>
        </w:tc>
        <w:tc>
          <w:tcPr>
            <w:tcW w:w="22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1,909</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1,474</w:t>
            </w:r>
          </w:p>
        </w:tc>
        <w:tc>
          <w:tcPr>
            <w:tcW w:w="24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(403)</w:t>
            </w:r>
          </w:p>
        </w:tc>
        <w:tc>
          <w:tcPr>
            <w:tcW w:w="360" w:type="dxa"/>
            <w:vAlign w:val="bottom"/>
            <w:tcBorders>
              <w:bottom w:val="single" w:sz="8" w:color="auto"/>
            </w:tcBorders>
          </w:tcPr>
          <w:p>
            <w:pPr>
              <w:jc w:val="right"/>
              <w:ind w:right="156"/>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10,676</w:t>
            </w:r>
          </w:p>
        </w:tc>
        <w:tc>
          <w:tcPr>
            <w:tcW w:w="0" w:type="dxa"/>
            <w:vAlign w:val="bottom"/>
          </w:tcPr>
          <w:p>
            <w:pPr>
              <w:spacing w:after="0"/>
              <w:rPr>
                <w:sz w:val="1"/>
                <w:szCs w:val="1"/>
                <w:color w:val="auto"/>
              </w:rPr>
            </w:pPr>
          </w:p>
        </w:tc>
      </w:tr>
      <w:tr>
        <w:trPr>
          <w:trHeight w:val="215"/>
        </w:trPr>
        <w:tc>
          <w:tcPr>
            <w:tcW w:w="3900" w:type="dxa"/>
            <w:vAlign w:val="bottom"/>
          </w:tcPr>
          <w:p>
            <w:pPr>
              <w:ind w:left="20"/>
              <w:spacing w:after="0"/>
              <w:rPr>
                <w:sz w:val="20"/>
                <w:szCs w:val="20"/>
                <w:color w:val="auto"/>
              </w:rPr>
            </w:pPr>
            <w:r>
              <w:rPr>
                <w:rFonts w:ascii="Arial" w:cs="Arial" w:eastAsia="Arial" w:hAnsi="Arial"/>
                <w:sz w:val="17"/>
                <w:szCs w:val="17"/>
                <w:color w:val="auto"/>
              </w:rPr>
              <w:t>Income (loss) before income taxes</w:t>
            </w:r>
          </w:p>
        </w:tc>
        <w:tc>
          <w:tcPr>
            <w:tcW w:w="1320" w:type="dxa"/>
            <w:vAlign w:val="bottom"/>
          </w:tcPr>
          <w:p>
            <w:pPr>
              <w:jc w:val="right"/>
              <w:ind w:right="56"/>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4,094</w:t>
            </w:r>
          </w:p>
        </w:tc>
        <w:tc>
          <w:tcPr>
            <w:tcW w:w="22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800</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264</w:t>
            </w:r>
          </w:p>
        </w:tc>
        <w:tc>
          <w:tcPr>
            <w:tcW w:w="240" w:type="dxa"/>
            <w:vAlign w:val="bottom"/>
          </w:tcPr>
          <w:p>
            <w:pPr>
              <w:jc w:val="right"/>
              <w:ind w:right="56"/>
              <w:spacing w:after="0"/>
              <w:rPr>
                <w:sz w:val="20"/>
                <w:szCs w:val="20"/>
                <w:color w:val="auto"/>
              </w:rPr>
            </w:pPr>
            <w:r>
              <w:rPr>
                <w:rFonts w:ascii="Arial" w:cs="Arial" w:eastAsia="Arial" w:hAnsi="Arial"/>
                <w:sz w:val="17"/>
                <w:szCs w:val="17"/>
                <w:color w:val="auto"/>
                <w:w w:val="84"/>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(172)</w:t>
            </w:r>
          </w:p>
        </w:tc>
        <w:tc>
          <w:tcPr>
            <w:tcW w:w="360" w:type="dxa"/>
            <w:vAlign w:val="bottom"/>
          </w:tcPr>
          <w:p>
            <w:pPr>
              <w:jc w:val="right"/>
              <w:ind w:right="156"/>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4,986</w:t>
            </w:r>
          </w:p>
        </w:tc>
        <w:tc>
          <w:tcPr>
            <w:tcW w:w="0" w:type="dxa"/>
            <w:vAlign w:val="bottom"/>
          </w:tcPr>
          <w:p>
            <w:pPr>
              <w:spacing w:after="0"/>
              <w:rPr>
                <w:sz w:val="1"/>
                <w:szCs w:val="1"/>
                <w:color w:val="auto"/>
              </w:rPr>
            </w:pPr>
          </w:p>
        </w:tc>
      </w:tr>
      <w:tr>
        <w:trPr>
          <w:trHeight w:val="224"/>
        </w:trPr>
        <w:tc>
          <w:tcPr>
            <w:tcW w:w="3900" w:type="dxa"/>
            <w:vAlign w:val="bottom"/>
            <w:tcBorders>
              <w:bottom w:val="single" w:sz="8" w:color="auto"/>
            </w:tcBorders>
          </w:tcPr>
          <w:p>
            <w:pPr>
              <w:ind w:left="180"/>
              <w:spacing w:after="0"/>
              <w:rPr>
                <w:sz w:val="20"/>
                <w:szCs w:val="20"/>
                <w:color w:val="auto"/>
              </w:rPr>
            </w:pPr>
            <w:r>
              <w:rPr>
                <w:rFonts w:ascii="Arial" w:cs="Arial" w:eastAsia="Arial" w:hAnsi="Arial"/>
                <w:sz w:val="17"/>
                <w:szCs w:val="17"/>
                <w:color w:val="auto"/>
              </w:rPr>
              <w:t>Income tax expense</w:t>
            </w:r>
          </w:p>
        </w:tc>
        <w:tc>
          <w:tcPr>
            <w:tcW w:w="13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(1,231)</w:t>
            </w: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(1,231)</w:t>
            </w:r>
          </w:p>
        </w:tc>
        <w:tc>
          <w:tcPr>
            <w:tcW w:w="0" w:type="dxa"/>
            <w:vAlign w:val="bottom"/>
          </w:tcPr>
          <w:p>
            <w:pPr>
              <w:spacing w:after="0"/>
              <w:rPr>
                <w:sz w:val="1"/>
                <w:szCs w:val="1"/>
                <w:color w:val="auto"/>
              </w:rPr>
            </w:pPr>
          </w:p>
        </w:tc>
      </w:tr>
      <w:tr>
        <w:trPr>
          <w:trHeight w:val="216"/>
        </w:trPr>
        <w:tc>
          <w:tcPr>
            <w:tcW w:w="39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Net income (loss)</w:t>
            </w:r>
          </w:p>
        </w:tc>
        <w:tc>
          <w:tcPr>
            <w:tcW w:w="132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4,094</w:t>
            </w:r>
          </w:p>
        </w:tc>
        <w:tc>
          <w:tcPr>
            <w:tcW w:w="22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800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264</w:t>
            </w:r>
          </w:p>
        </w:tc>
        <w:tc>
          <w:tcPr>
            <w:tcW w:w="24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(1,403)</w:t>
            </w:r>
          </w:p>
        </w:tc>
        <w:tc>
          <w:tcPr>
            <w:tcW w:w="360" w:type="dxa"/>
            <w:vAlign w:val="bottom"/>
            <w:tcBorders>
              <w:bottom w:val="single" w:sz="8" w:color="auto"/>
            </w:tcBorders>
          </w:tcPr>
          <w:p>
            <w:pPr>
              <w:jc w:val="right"/>
              <w:ind w:right="156"/>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3,755</w:t>
            </w:r>
          </w:p>
        </w:tc>
        <w:tc>
          <w:tcPr>
            <w:tcW w:w="0" w:type="dxa"/>
            <w:vAlign w:val="bottom"/>
          </w:tcPr>
          <w:p>
            <w:pPr>
              <w:spacing w:after="0"/>
              <w:rPr>
                <w:sz w:val="1"/>
                <w:szCs w:val="1"/>
                <w:color w:val="auto"/>
              </w:rPr>
            </w:pPr>
          </w:p>
        </w:tc>
      </w:tr>
      <w:tr>
        <w:trPr>
          <w:trHeight w:val="133"/>
        </w:trPr>
        <w:tc>
          <w:tcPr>
            <w:tcW w:w="3900" w:type="dxa"/>
            <w:vAlign w:val="bottom"/>
            <w:tcBorders>
              <w:bottom w:val="single" w:sz="8" w:color="auto"/>
            </w:tcBorders>
          </w:tcPr>
          <w:p>
            <w:pPr>
              <w:spacing w:after="0"/>
              <w:rPr>
                <w:sz w:val="11"/>
                <w:szCs w:val="11"/>
                <w:color w:val="auto"/>
              </w:rPr>
            </w:pPr>
          </w:p>
        </w:tc>
        <w:tc>
          <w:tcPr>
            <w:tcW w:w="2040" w:type="dxa"/>
            <w:vAlign w:val="bottom"/>
            <w:tcBorders>
              <w:bottom w:val="single" w:sz="8" w:color="auto"/>
            </w:tcBorders>
            <w:gridSpan w:val="2"/>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900" w:type="dxa"/>
            <w:vAlign w:val="bottom"/>
            <w:vMerge w:val="restart"/>
          </w:tcPr>
          <w:p>
            <w:pPr>
              <w:ind w:left="20"/>
              <w:spacing w:after="0"/>
              <w:rPr>
                <w:sz w:val="20"/>
                <w:szCs w:val="20"/>
                <w:color w:val="auto"/>
              </w:rPr>
            </w:pPr>
            <w:r>
              <w:rPr>
                <w:rFonts w:ascii="Arial" w:cs="Arial" w:eastAsia="Arial" w:hAnsi="Arial"/>
                <w:sz w:val="17"/>
                <w:szCs w:val="17"/>
                <w:i w:val="1"/>
                <w:iCs w:val="1"/>
                <w:color w:val="auto"/>
              </w:rPr>
              <w:t>millions</w:t>
            </w:r>
          </w:p>
        </w:tc>
        <w:tc>
          <w:tcPr>
            <w:tcW w:w="2040" w:type="dxa"/>
            <w:vAlign w:val="bottom"/>
            <w:gridSpan w:val="2"/>
          </w:tcPr>
          <w:p>
            <w:pPr>
              <w:jc w:val="right"/>
              <w:spacing w:after="0" w:line="161" w:lineRule="exact"/>
              <w:rPr>
                <w:sz w:val="20"/>
                <w:szCs w:val="20"/>
                <w:color w:val="auto"/>
              </w:rPr>
            </w:pPr>
            <w:r>
              <w:rPr>
                <w:rFonts w:ascii="Arial" w:cs="Arial" w:eastAsia="Arial" w:hAnsi="Arial"/>
                <w:sz w:val="17"/>
                <w:szCs w:val="17"/>
                <w:b w:val="1"/>
                <w:bCs w:val="1"/>
                <w:color w:val="auto"/>
              </w:rPr>
              <w:t>Oil and gas</w:t>
            </w:r>
          </w:p>
        </w:tc>
        <w:tc>
          <w:tcPr>
            <w:tcW w:w="22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Chemical</w:t>
            </w:r>
          </w:p>
        </w:tc>
        <w:tc>
          <w:tcPr>
            <w:tcW w:w="200" w:type="dxa"/>
            <w:vAlign w:val="bottom"/>
          </w:tcPr>
          <w:p>
            <w:pPr>
              <w:spacing w:after="0"/>
              <w:rPr>
                <w:sz w:val="13"/>
                <w:szCs w:val="13"/>
                <w:color w:val="auto"/>
              </w:rPr>
            </w:pPr>
          </w:p>
        </w:tc>
        <w:tc>
          <w:tcPr>
            <w:tcW w:w="1280" w:type="dxa"/>
            <w:vAlign w:val="bottom"/>
          </w:tcPr>
          <w:p>
            <w:pPr>
              <w:jc w:val="right"/>
              <w:spacing w:after="0" w:line="161" w:lineRule="exact"/>
              <w:rPr>
                <w:sz w:val="20"/>
                <w:szCs w:val="20"/>
                <w:color w:val="auto"/>
              </w:rPr>
            </w:pPr>
            <w:r>
              <w:rPr>
                <w:rFonts w:ascii="Arial" w:cs="Arial" w:eastAsia="Arial" w:hAnsi="Arial"/>
                <w:sz w:val="17"/>
                <w:szCs w:val="17"/>
                <w:b w:val="1"/>
                <w:bCs w:val="1"/>
                <w:color w:val="auto"/>
              </w:rPr>
              <w:t>Midstream and</w:t>
            </w:r>
          </w:p>
        </w:tc>
        <w:tc>
          <w:tcPr>
            <w:tcW w:w="240" w:type="dxa"/>
            <w:vAlign w:val="bottom"/>
          </w:tcPr>
          <w:p>
            <w:pPr>
              <w:spacing w:after="0"/>
              <w:rPr>
                <w:sz w:val="13"/>
                <w:szCs w:val="13"/>
                <w:color w:val="auto"/>
              </w:rPr>
            </w:pPr>
          </w:p>
        </w:tc>
        <w:tc>
          <w:tcPr>
            <w:tcW w:w="1320" w:type="dxa"/>
            <w:vAlign w:val="bottom"/>
          </w:tcPr>
          <w:p>
            <w:pPr>
              <w:jc w:val="right"/>
              <w:spacing w:after="0" w:line="161" w:lineRule="exact"/>
              <w:rPr>
                <w:sz w:val="20"/>
                <w:szCs w:val="20"/>
                <w:color w:val="auto"/>
              </w:rPr>
            </w:pPr>
            <w:r>
              <w:rPr>
                <w:rFonts w:ascii="Arial" w:cs="Arial" w:eastAsia="Arial" w:hAnsi="Arial"/>
                <w:sz w:val="17"/>
                <w:szCs w:val="17"/>
                <w:b w:val="1"/>
                <w:bCs w:val="1"/>
                <w:color w:val="auto"/>
              </w:rPr>
              <w:t>Corporate and</w:t>
            </w:r>
          </w:p>
        </w:tc>
        <w:tc>
          <w:tcPr>
            <w:tcW w:w="36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220"/>
        </w:trPr>
        <w:tc>
          <w:tcPr>
            <w:tcW w:w="3900" w:type="dxa"/>
            <w:vAlign w:val="bottom"/>
            <w:tcBorders>
              <w:bottom w:val="single" w:sz="8" w:color="auto"/>
            </w:tcBorders>
            <w:vMerge w:val="continue"/>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(a)</w:t>
            </w: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line="220" w:lineRule="exact"/>
              <w:rPr>
                <w:sz w:val="20"/>
                <w:szCs w:val="20"/>
                <w:color w:val="auto"/>
              </w:rPr>
            </w:pPr>
            <w:r>
              <w:rPr>
                <w:rFonts w:ascii="Arial" w:cs="Arial" w:eastAsia="Arial" w:hAnsi="Arial"/>
                <w:sz w:val="17"/>
                <w:szCs w:val="17"/>
                <w:b w:val="1"/>
                <w:bCs w:val="1"/>
                <w:color w:val="auto"/>
              </w:rPr>
              <w:t xml:space="preserve">marketing </w:t>
            </w:r>
            <w:r>
              <w:rPr>
                <w:rFonts w:ascii="Arial" w:cs="Arial" w:eastAsia="Arial" w:hAnsi="Arial"/>
                <w:sz w:val="21"/>
                <w:szCs w:val="21"/>
                <w:b w:val="1"/>
                <w:bCs w:val="1"/>
                <w:color w:val="auto"/>
                <w:vertAlign w:val="superscript"/>
              </w:rPr>
              <w:t>(b)</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line="220" w:lineRule="exact"/>
              <w:rPr>
                <w:sz w:val="20"/>
                <w:szCs w:val="20"/>
                <w:color w:val="auto"/>
              </w:rPr>
            </w:pPr>
            <w:r>
              <w:rPr>
                <w:rFonts w:ascii="Arial" w:cs="Arial" w:eastAsia="Arial" w:hAnsi="Arial"/>
                <w:sz w:val="17"/>
                <w:szCs w:val="17"/>
                <w:b w:val="1"/>
                <w:bCs w:val="1"/>
                <w:color w:val="auto"/>
              </w:rPr>
              <w:t xml:space="preserve">eliminations </w:t>
            </w:r>
            <w:r>
              <w:rPr>
                <w:rFonts w:ascii="Arial" w:cs="Arial" w:eastAsia="Arial" w:hAnsi="Arial"/>
                <w:sz w:val="21"/>
                <w:szCs w:val="21"/>
                <w:b w:val="1"/>
                <w:bCs w:val="1"/>
                <w:color w:val="auto"/>
                <w:vertAlign w:val="superscript"/>
              </w:rPr>
              <w:t>(c)</w:t>
            </w: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900" w:type="dxa"/>
            <w:vAlign w:val="bottom"/>
          </w:tcPr>
          <w:p>
            <w:pPr>
              <w:ind w:left="20"/>
              <w:spacing w:after="0"/>
              <w:rPr>
                <w:sz w:val="20"/>
                <w:szCs w:val="20"/>
                <w:color w:val="auto"/>
              </w:rPr>
            </w:pPr>
            <w:r>
              <w:rPr>
                <w:rFonts w:ascii="Arial" w:cs="Arial" w:eastAsia="Arial" w:hAnsi="Arial"/>
                <w:sz w:val="17"/>
                <w:szCs w:val="17"/>
                <w:b w:val="1"/>
                <w:bCs w:val="1"/>
                <w:color w:val="00539B"/>
              </w:rPr>
              <w:t>Six months ended June 30, 2023</w:t>
            </w:r>
          </w:p>
        </w:tc>
        <w:tc>
          <w:tcPr>
            <w:tcW w:w="1320" w:type="dxa"/>
            <w:vAlign w:val="bottom"/>
            <w:vMerge w:val="restart"/>
          </w:tcPr>
          <w:p>
            <w:pPr>
              <w:jc w:val="right"/>
              <w:ind w:right="56"/>
              <w:spacing w:after="0"/>
              <w:rPr>
                <w:sz w:val="20"/>
                <w:szCs w:val="20"/>
                <w:color w:val="auto"/>
              </w:rPr>
            </w:pPr>
            <w:r>
              <w:rPr>
                <w:rFonts w:ascii="Arial" w:cs="Arial" w:eastAsia="Arial" w:hAnsi="Arial"/>
                <w:sz w:val="17"/>
                <w:szCs w:val="17"/>
                <w:b w:val="1"/>
                <w:bCs w:val="1"/>
                <w:color w:val="00539B"/>
              </w:rPr>
              <w:t>$</w:t>
            </w:r>
          </w:p>
        </w:tc>
        <w:tc>
          <w:tcPr>
            <w:tcW w:w="720" w:type="dxa"/>
            <w:vAlign w:val="bottom"/>
            <w:vMerge w:val="restart"/>
          </w:tcPr>
          <w:p>
            <w:pPr>
              <w:jc w:val="right"/>
              <w:spacing w:after="0"/>
              <w:rPr>
                <w:sz w:val="20"/>
                <w:szCs w:val="20"/>
                <w:color w:val="auto"/>
              </w:rPr>
            </w:pPr>
            <w:r>
              <w:rPr>
                <w:rFonts w:ascii="Arial" w:cs="Arial" w:eastAsia="Arial" w:hAnsi="Arial"/>
                <w:sz w:val="17"/>
                <w:szCs w:val="17"/>
                <w:b w:val="1"/>
                <w:bCs w:val="1"/>
                <w:color w:val="00539B"/>
              </w:rPr>
              <w:t>10,266</w:t>
            </w:r>
          </w:p>
        </w:tc>
        <w:tc>
          <w:tcPr>
            <w:tcW w:w="220" w:type="dxa"/>
            <w:vAlign w:val="bottom"/>
            <w:vMerge w:val="restart"/>
          </w:tcPr>
          <w:p>
            <w:pPr>
              <w:jc w:val="right"/>
              <w:ind w:right="16"/>
              <w:spacing w:after="0"/>
              <w:rPr>
                <w:sz w:val="20"/>
                <w:szCs w:val="20"/>
                <w:color w:val="auto"/>
              </w:rPr>
            </w:pPr>
            <w:r>
              <w:rPr>
                <w:rFonts w:ascii="Arial" w:cs="Arial" w:eastAsia="Arial" w:hAnsi="Arial"/>
                <w:sz w:val="17"/>
                <w:szCs w:val="17"/>
                <w:b w:val="1"/>
                <w:bCs w:val="1"/>
                <w:color w:val="00539B"/>
              </w:rPr>
              <w:t>$</w:t>
            </w:r>
          </w:p>
        </w:tc>
        <w:tc>
          <w:tcPr>
            <w:tcW w:w="860" w:type="dxa"/>
            <w:vAlign w:val="bottom"/>
            <w:vMerge w:val="restart"/>
          </w:tcPr>
          <w:p>
            <w:pPr>
              <w:jc w:val="right"/>
              <w:spacing w:after="0"/>
              <w:rPr>
                <w:sz w:val="20"/>
                <w:szCs w:val="20"/>
                <w:color w:val="auto"/>
              </w:rPr>
            </w:pPr>
            <w:r>
              <w:rPr>
                <w:rFonts w:ascii="Arial" w:cs="Arial" w:eastAsia="Arial" w:hAnsi="Arial"/>
                <w:sz w:val="17"/>
                <w:szCs w:val="17"/>
                <w:b w:val="1"/>
                <w:bCs w:val="1"/>
                <w:color w:val="00539B"/>
              </w:rPr>
              <w:t>2,780</w:t>
            </w:r>
          </w:p>
        </w:tc>
        <w:tc>
          <w:tcPr>
            <w:tcW w:w="200" w:type="dxa"/>
            <w:vAlign w:val="bottom"/>
            <w:vMerge w:val="restart"/>
          </w:tcPr>
          <w:p>
            <w:pPr>
              <w:jc w:val="right"/>
              <w:spacing w:after="0"/>
              <w:rPr>
                <w:sz w:val="20"/>
                <w:szCs w:val="20"/>
                <w:color w:val="auto"/>
              </w:rPr>
            </w:pPr>
            <w:r>
              <w:rPr>
                <w:rFonts w:ascii="Arial" w:cs="Arial" w:eastAsia="Arial" w:hAnsi="Arial"/>
                <w:sz w:val="17"/>
                <w:szCs w:val="17"/>
                <w:b w:val="1"/>
                <w:bCs w:val="1"/>
                <w:color w:val="00539B"/>
              </w:rPr>
              <w:t>$</w:t>
            </w:r>
          </w:p>
        </w:tc>
        <w:tc>
          <w:tcPr>
            <w:tcW w:w="1280" w:type="dxa"/>
            <w:vAlign w:val="bottom"/>
            <w:vMerge w:val="restart"/>
          </w:tcPr>
          <w:p>
            <w:pPr>
              <w:jc w:val="right"/>
              <w:spacing w:after="0"/>
              <w:rPr>
                <w:sz w:val="20"/>
                <w:szCs w:val="20"/>
                <w:color w:val="auto"/>
              </w:rPr>
            </w:pPr>
            <w:r>
              <w:rPr>
                <w:rFonts w:ascii="Arial" w:cs="Arial" w:eastAsia="Arial" w:hAnsi="Arial"/>
                <w:sz w:val="17"/>
                <w:szCs w:val="17"/>
                <w:b w:val="1"/>
                <w:bCs w:val="1"/>
                <w:color w:val="00539B"/>
              </w:rPr>
              <w:t>1,367</w:t>
            </w:r>
          </w:p>
        </w:tc>
        <w:tc>
          <w:tcPr>
            <w:tcW w:w="240" w:type="dxa"/>
            <w:vAlign w:val="bottom"/>
            <w:vMerge w:val="restart"/>
          </w:tcPr>
          <w:p>
            <w:pPr>
              <w:jc w:val="right"/>
              <w:ind w:right="56"/>
              <w:spacing w:after="0"/>
              <w:rPr>
                <w:sz w:val="20"/>
                <w:szCs w:val="20"/>
                <w:color w:val="auto"/>
              </w:rPr>
            </w:pPr>
            <w:r>
              <w:rPr>
                <w:rFonts w:ascii="Arial" w:cs="Arial" w:eastAsia="Arial" w:hAnsi="Arial"/>
                <w:sz w:val="17"/>
                <w:szCs w:val="17"/>
                <w:b w:val="1"/>
                <w:bCs w:val="1"/>
                <w:color w:val="00539B"/>
                <w:w w:val="84"/>
              </w:rPr>
              <w:t>$</w:t>
            </w:r>
          </w:p>
        </w:tc>
        <w:tc>
          <w:tcPr>
            <w:tcW w:w="1320" w:type="dxa"/>
            <w:vAlign w:val="bottom"/>
            <w:vMerge w:val="restart"/>
          </w:tcPr>
          <w:p>
            <w:pPr>
              <w:jc w:val="right"/>
              <w:spacing w:after="0"/>
              <w:rPr>
                <w:sz w:val="20"/>
                <w:szCs w:val="20"/>
                <w:color w:val="auto"/>
              </w:rPr>
            </w:pPr>
            <w:r>
              <w:rPr>
                <w:rFonts w:ascii="Arial" w:cs="Arial" w:eastAsia="Arial" w:hAnsi="Arial"/>
                <w:sz w:val="17"/>
                <w:szCs w:val="17"/>
                <w:b w:val="1"/>
                <w:bCs w:val="1"/>
                <w:color w:val="00539B"/>
              </w:rPr>
              <w:t>(486)</w:t>
            </w:r>
          </w:p>
        </w:tc>
        <w:tc>
          <w:tcPr>
            <w:tcW w:w="360" w:type="dxa"/>
            <w:vAlign w:val="bottom"/>
            <w:vMerge w:val="restart"/>
          </w:tcPr>
          <w:p>
            <w:pPr>
              <w:jc w:val="right"/>
              <w:ind w:right="156"/>
              <w:spacing w:after="0"/>
              <w:rPr>
                <w:sz w:val="20"/>
                <w:szCs w:val="20"/>
                <w:color w:val="auto"/>
              </w:rPr>
            </w:pPr>
            <w:r>
              <w:rPr>
                <w:rFonts w:ascii="Arial" w:cs="Arial" w:eastAsia="Arial" w:hAnsi="Arial"/>
                <w:sz w:val="17"/>
                <w:szCs w:val="17"/>
                <w:b w:val="1"/>
                <w:bCs w:val="1"/>
                <w:color w:val="00539B"/>
              </w:rPr>
              <w:t>$</w:t>
            </w:r>
          </w:p>
        </w:tc>
        <w:tc>
          <w:tcPr>
            <w:tcW w:w="820" w:type="dxa"/>
            <w:vAlign w:val="bottom"/>
            <w:vMerge w:val="restart"/>
          </w:tcPr>
          <w:p>
            <w:pPr>
              <w:jc w:val="right"/>
              <w:spacing w:after="0"/>
              <w:rPr>
                <w:sz w:val="20"/>
                <w:szCs w:val="20"/>
                <w:color w:val="auto"/>
              </w:rPr>
            </w:pPr>
            <w:r>
              <w:rPr>
                <w:rFonts w:ascii="Arial" w:cs="Arial" w:eastAsia="Arial" w:hAnsi="Arial"/>
                <w:sz w:val="17"/>
                <w:szCs w:val="17"/>
                <w:b w:val="1"/>
                <w:bCs w:val="1"/>
                <w:color w:val="00539B"/>
              </w:rPr>
              <w:t>13,927</w:t>
            </w:r>
          </w:p>
        </w:tc>
        <w:tc>
          <w:tcPr>
            <w:tcW w:w="0" w:type="dxa"/>
            <w:vAlign w:val="bottom"/>
          </w:tcPr>
          <w:p>
            <w:pPr>
              <w:spacing w:after="0"/>
              <w:rPr>
                <w:sz w:val="1"/>
                <w:szCs w:val="1"/>
                <w:color w:val="auto"/>
              </w:rPr>
            </w:pPr>
          </w:p>
        </w:tc>
      </w:tr>
      <w:tr>
        <w:trPr>
          <w:trHeight w:val="218"/>
        </w:trPr>
        <w:tc>
          <w:tcPr>
            <w:tcW w:w="3900" w:type="dxa"/>
            <w:vAlign w:val="bottom"/>
            <w:tcBorders>
              <w:bottom w:val="single" w:sz="8" w:color="auto"/>
            </w:tcBorders>
          </w:tcPr>
          <w:p>
            <w:pPr>
              <w:ind w:left="180"/>
              <w:spacing w:after="0"/>
              <w:rPr>
                <w:sz w:val="20"/>
                <w:szCs w:val="20"/>
                <w:color w:val="auto"/>
              </w:rPr>
            </w:pPr>
            <w:r>
              <w:rPr>
                <w:rFonts w:ascii="Arial" w:cs="Arial" w:eastAsia="Arial" w:hAnsi="Arial"/>
                <w:sz w:val="17"/>
                <w:szCs w:val="17"/>
                <w:color w:val="auto"/>
              </w:rPr>
              <w:t>Net sales</w:t>
            </w:r>
          </w:p>
        </w:tc>
        <w:tc>
          <w:tcPr>
            <w:tcW w:w="1320" w:type="dxa"/>
            <w:vAlign w:val="bottom"/>
            <w:tcBorders>
              <w:bottom w:val="single" w:sz="8" w:color="auto"/>
            </w:tcBorders>
            <w:vMerge w:val="continue"/>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220" w:type="dxa"/>
            <w:vAlign w:val="bottom"/>
            <w:tcBorders>
              <w:bottom w:val="single" w:sz="8" w:color="auto"/>
            </w:tcBorders>
            <w:vMerge w:val="continue"/>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1280" w:type="dxa"/>
            <w:vAlign w:val="bottom"/>
            <w:tcBorders>
              <w:bottom w:val="single" w:sz="8" w:color="auto"/>
            </w:tcBorders>
            <w:vMerge w:val="continue"/>
          </w:tcPr>
          <w:p>
            <w:pPr>
              <w:spacing w:after="0"/>
              <w:rPr>
                <w:sz w:val="18"/>
                <w:szCs w:val="18"/>
                <w:color w:val="auto"/>
              </w:rPr>
            </w:pPr>
          </w:p>
        </w:tc>
        <w:tc>
          <w:tcPr>
            <w:tcW w:w="240" w:type="dxa"/>
            <w:vAlign w:val="bottom"/>
            <w:tcBorders>
              <w:bottom w:val="single" w:sz="8" w:color="auto"/>
            </w:tcBorders>
            <w:vMerge w:val="continue"/>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360" w:type="dxa"/>
            <w:vAlign w:val="bottom"/>
            <w:tcBorders>
              <w:bottom w:val="single" w:sz="8" w:color="auto"/>
            </w:tcBorders>
            <w:vMerge w:val="continue"/>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900" w:type="dxa"/>
            <w:vAlign w:val="bottom"/>
          </w:tcPr>
          <w:p>
            <w:pPr>
              <w:ind w:left="20"/>
              <w:spacing w:after="0"/>
              <w:rPr>
                <w:sz w:val="20"/>
                <w:szCs w:val="20"/>
                <w:color w:val="auto"/>
              </w:rPr>
            </w:pPr>
            <w:r>
              <w:rPr>
                <w:rFonts w:ascii="Arial" w:cs="Arial" w:eastAsia="Arial" w:hAnsi="Arial"/>
                <w:sz w:val="17"/>
                <w:szCs w:val="17"/>
                <w:color w:val="auto"/>
              </w:rPr>
              <w:t>Income (loss) before income taxes</w:t>
            </w:r>
          </w:p>
        </w:tc>
        <w:tc>
          <w:tcPr>
            <w:tcW w:w="1320" w:type="dxa"/>
            <w:vAlign w:val="bottom"/>
          </w:tcPr>
          <w:p>
            <w:pPr>
              <w:jc w:val="right"/>
              <w:ind w:right="56"/>
              <w:spacing w:after="0"/>
              <w:rPr>
                <w:sz w:val="20"/>
                <w:szCs w:val="20"/>
                <w:color w:val="auto"/>
              </w:rPr>
            </w:pPr>
            <w:r>
              <w:rPr>
                <w:rFonts w:ascii="Arial" w:cs="Arial" w:eastAsia="Arial" w:hAnsi="Arial"/>
                <w:sz w:val="17"/>
                <w:szCs w:val="17"/>
                <w:b w:val="1"/>
                <w:bCs w:val="1"/>
                <w:color w:val="00539B"/>
              </w:rPr>
              <w:t>$</w:t>
            </w:r>
          </w:p>
        </w:tc>
        <w:tc>
          <w:tcPr>
            <w:tcW w:w="720" w:type="dxa"/>
            <w:vAlign w:val="bottom"/>
          </w:tcPr>
          <w:p>
            <w:pPr>
              <w:jc w:val="right"/>
              <w:spacing w:after="0"/>
              <w:rPr>
                <w:sz w:val="20"/>
                <w:szCs w:val="20"/>
                <w:color w:val="auto"/>
              </w:rPr>
            </w:pPr>
            <w:r>
              <w:rPr>
                <w:rFonts w:ascii="Arial" w:cs="Arial" w:eastAsia="Arial" w:hAnsi="Arial"/>
                <w:sz w:val="17"/>
                <w:szCs w:val="17"/>
                <w:b w:val="1"/>
                <w:bCs w:val="1"/>
                <w:color w:val="00539B"/>
              </w:rPr>
              <w:t>2,699</w:t>
            </w:r>
          </w:p>
        </w:tc>
        <w:tc>
          <w:tcPr>
            <w:tcW w:w="220" w:type="dxa"/>
            <w:vAlign w:val="bottom"/>
          </w:tcPr>
          <w:p>
            <w:pPr>
              <w:jc w:val="right"/>
              <w:ind w:right="16"/>
              <w:spacing w:after="0"/>
              <w:rPr>
                <w:sz w:val="20"/>
                <w:szCs w:val="20"/>
                <w:color w:val="auto"/>
              </w:rPr>
            </w:pPr>
            <w:r>
              <w:rPr>
                <w:rFonts w:ascii="Arial" w:cs="Arial" w:eastAsia="Arial" w:hAnsi="Arial"/>
                <w:sz w:val="17"/>
                <w:szCs w:val="17"/>
                <w:b w:val="1"/>
                <w:bCs w:val="1"/>
                <w:color w:val="00539B"/>
              </w:rPr>
              <w:t>$</w:t>
            </w:r>
          </w:p>
        </w:tc>
        <w:tc>
          <w:tcPr>
            <w:tcW w:w="860" w:type="dxa"/>
            <w:vAlign w:val="bottom"/>
          </w:tcPr>
          <w:p>
            <w:pPr>
              <w:jc w:val="right"/>
              <w:spacing w:after="0"/>
              <w:rPr>
                <w:sz w:val="20"/>
                <w:szCs w:val="20"/>
                <w:color w:val="auto"/>
              </w:rPr>
            </w:pPr>
            <w:r>
              <w:rPr>
                <w:rFonts w:ascii="Arial" w:cs="Arial" w:eastAsia="Arial" w:hAnsi="Arial"/>
                <w:sz w:val="17"/>
                <w:szCs w:val="17"/>
                <w:b w:val="1"/>
                <w:bCs w:val="1"/>
                <w:color w:val="00539B"/>
              </w:rPr>
              <w:t>908</w:t>
            </w:r>
          </w:p>
        </w:tc>
        <w:tc>
          <w:tcPr>
            <w:tcW w:w="200" w:type="dxa"/>
            <w:vAlign w:val="bottom"/>
          </w:tcPr>
          <w:p>
            <w:pPr>
              <w:jc w:val="right"/>
              <w:spacing w:after="0"/>
              <w:rPr>
                <w:sz w:val="20"/>
                <w:szCs w:val="20"/>
                <w:color w:val="auto"/>
              </w:rPr>
            </w:pPr>
            <w:r>
              <w:rPr>
                <w:rFonts w:ascii="Arial" w:cs="Arial" w:eastAsia="Arial" w:hAnsi="Arial"/>
                <w:sz w:val="17"/>
                <w:szCs w:val="17"/>
                <w:b w:val="1"/>
                <w:bCs w:val="1"/>
                <w:color w:val="00539B"/>
              </w:rPr>
              <w:t>$</w:t>
            </w:r>
          </w:p>
        </w:tc>
        <w:tc>
          <w:tcPr>
            <w:tcW w:w="1280" w:type="dxa"/>
            <w:vAlign w:val="bottom"/>
          </w:tcPr>
          <w:p>
            <w:pPr>
              <w:jc w:val="right"/>
              <w:spacing w:after="0"/>
              <w:rPr>
                <w:sz w:val="20"/>
                <w:szCs w:val="20"/>
                <w:color w:val="auto"/>
              </w:rPr>
            </w:pPr>
            <w:r>
              <w:rPr>
                <w:rFonts w:ascii="Arial" w:cs="Arial" w:eastAsia="Arial" w:hAnsi="Arial"/>
                <w:sz w:val="17"/>
                <w:szCs w:val="17"/>
                <w:b w:val="1"/>
                <w:bCs w:val="1"/>
                <w:color w:val="00539B"/>
              </w:rPr>
              <w:t>(28)</w:t>
            </w:r>
          </w:p>
        </w:tc>
        <w:tc>
          <w:tcPr>
            <w:tcW w:w="240" w:type="dxa"/>
            <w:vAlign w:val="bottom"/>
          </w:tcPr>
          <w:p>
            <w:pPr>
              <w:jc w:val="right"/>
              <w:ind w:right="56"/>
              <w:spacing w:after="0"/>
              <w:rPr>
                <w:sz w:val="20"/>
                <w:szCs w:val="20"/>
                <w:color w:val="auto"/>
              </w:rPr>
            </w:pPr>
            <w:r>
              <w:rPr>
                <w:rFonts w:ascii="Arial" w:cs="Arial" w:eastAsia="Arial" w:hAnsi="Arial"/>
                <w:sz w:val="17"/>
                <w:szCs w:val="17"/>
                <w:b w:val="1"/>
                <w:bCs w:val="1"/>
                <w:color w:val="00539B"/>
                <w:w w:val="84"/>
              </w:rPr>
              <w:t>$</w:t>
            </w:r>
          </w:p>
        </w:tc>
        <w:tc>
          <w:tcPr>
            <w:tcW w:w="1320" w:type="dxa"/>
            <w:vAlign w:val="bottom"/>
          </w:tcPr>
          <w:p>
            <w:pPr>
              <w:jc w:val="right"/>
              <w:spacing w:after="0"/>
              <w:rPr>
                <w:sz w:val="20"/>
                <w:szCs w:val="20"/>
                <w:color w:val="auto"/>
              </w:rPr>
            </w:pPr>
            <w:r>
              <w:rPr>
                <w:rFonts w:ascii="Arial" w:cs="Arial" w:eastAsia="Arial" w:hAnsi="Arial"/>
                <w:sz w:val="17"/>
                <w:szCs w:val="17"/>
                <w:b w:val="1"/>
                <w:bCs w:val="1"/>
                <w:color w:val="00539B"/>
              </w:rPr>
              <w:t>(518)</w:t>
            </w:r>
          </w:p>
        </w:tc>
        <w:tc>
          <w:tcPr>
            <w:tcW w:w="360" w:type="dxa"/>
            <w:vAlign w:val="bottom"/>
          </w:tcPr>
          <w:p>
            <w:pPr>
              <w:jc w:val="right"/>
              <w:ind w:right="156"/>
              <w:spacing w:after="0"/>
              <w:rPr>
                <w:sz w:val="20"/>
                <w:szCs w:val="20"/>
                <w:color w:val="auto"/>
              </w:rPr>
            </w:pPr>
            <w:r>
              <w:rPr>
                <w:rFonts w:ascii="Arial" w:cs="Arial" w:eastAsia="Arial" w:hAnsi="Arial"/>
                <w:sz w:val="17"/>
                <w:szCs w:val="17"/>
                <w:b w:val="1"/>
                <w:bCs w:val="1"/>
                <w:color w:val="00539B"/>
              </w:rPr>
              <w:t>$</w:t>
            </w:r>
          </w:p>
        </w:tc>
        <w:tc>
          <w:tcPr>
            <w:tcW w:w="820" w:type="dxa"/>
            <w:vAlign w:val="bottom"/>
          </w:tcPr>
          <w:p>
            <w:pPr>
              <w:jc w:val="right"/>
              <w:spacing w:after="0"/>
              <w:rPr>
                <w:sz w:val="20"/>
                <w:szCs w:val="20"/>
                <w:color w:val="auto"/>
              </w:rPr>
            </w:pPr>
            <w:r>
              <w:rPr>
                <w:rFonts w:ascii="Arial" w:cs="Arial" w:eastAsia="Arial" w:hAnsi="Arial"/>
                <w:sz w:val="17"/>
                <w:szCs w:val="17"/>
                <w:b w:val="1"/>
                <w:bCs w:val="1"/>
                <w:color w:val="00539B"/>
              </w:rPr>
              <w:t>3,061</w:t>
            </w:r>
          </w:p>
        </w:tc>
        <w:tc>
          <w:tcPr>
            <w:tcW w:w="0" w:type="dxa"/>
            <w:vAlign w:val="bottom"/>
          </w:tcPr>
          <w:p>
            <w:pPr>
              <w:spacing w:after="0"/>
              <w:rPr>
                <w:sz w:val="1"/>
                <w:szCs w:val="1"/>
                <w:color w:val="auto"/>
              </w:rPr>
            </w:pPr>
          </w:p>
        </w:tc>
      </w:tr>
      <w:tr>
        <w:trPr>
          <w:trHeight w:val="237"/>
        </w:trPr>
        <w:tc>
          <w:tcPr>
            <w:tcW w:w="3900" w:type="dxa"/>
            <w:vAlign w:val="bottom"/>
            <w:tcBorders>
              <w:bottom w:val="single" w:sz="8" w:color="auto"/>
            </w:tcBorders>
          </w:tcPr>
          <w:p>
            <w:pPr>
              <w:ind w:left="180"/>
              <w:spacing w:after="0"/>
              <w:rPr>
                <w:sz w:val="20"/>
                <w:szCs w:val="20"/>
                <w:color w:val="auto"/>
              </w:rPr>
            </w:pPr>
            <w:r>
              <w:rPr>
                <w:rFonts w:ascii="Arial" w:cs="Arial" w:eastAsia="Arial" w:hAnsi="Arial"/>
                <w:sz w:val="17"/>
                <w:szCs w:val="17"/>
                <w:color w:val="auto"/>
              </w:rPr>
              <w:t>Income tax expense</w:t>
            </w:r>
          </w:p>
        </w:tc>
        <w:tc>
          <w:tcPr>
            <w:tcW w:w="13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w:t>
            </w: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w:t>
            </w: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w:t>
            </w: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(938)</w:t>
            </w:r>
          </w:p>
        </w:tc>
        <w:tc>
          <w:tcPr>
            <w:tcW w:w="3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(938)</w:t>
            </w:r>
          </w:p>
        </w:tc>
        <w:tc>
          <w:tcPr>
            <w:tcW w:w="0" w:type="dxa"/>
            <w:vAlign w:val="bottom"/>
          </w:tcPr>
          <w:p>
            <w:pPr>
              <w:spacing w:after="0"/>
              <w:rPr>
                <w:sz w:val="1"/>
                <w:szCs w:val="1"/>
                <w:color w:val="auto"/>
              </w:rPr>
            </w:pPr>
          </w:p>
        </w:tc>
      </w:tr>
      <w:tr>
        <w:trPr>
          <w:trHeight w:val="209"/>
        </w:trPr>
        <w:tc>
          <w:tcPr>
            <w:tcW w:w="39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Net income (loss)</w:t>
            </w:r>
          </w:p>
        </w:tc>
        <w:tc>
          <w:tcPr>
            <w:tcW w:w="132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b w:val="1"/>
                <w:bCs w:val="1"/>
                <w:color w:val="00539B"/>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2,699</w:t>
            </w:r>
          </w:p>
        </w:tc>
        <w:tc>
          <w:tcPr>
            <w:tcW w:w="22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b w:val="1"/>
                <w:bCs w:val="1"/>
                <w:color w:val="00539B"/>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908</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(28)</w:t>
            </w:r>
          </w:p>
        </w:tc>
        <w:tc>
          <w:tcPr>
            <w:tcW w:w="24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b w:val="1"/>
                <w:bCs w:val="1"/>
                <w:color w:val="00539B"/>
                <w:w w:val="84"/>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(1,456)</w:t>
            </w:r>
          </w:p>
        </w:tc>
        <w:tc>
          <w:tcPr>
            <w:tcW w:w="360" w:type="dxa"/>
            <w:vAlign w:val="bottom"/>
            <w:tcBorders>
              <w:bottom w:val="single" w:sz="8" w:color="auto"/>
            </w:tcBorders>
          </w:tcPr>
          <w:p>
            <w:pPr>
              <w:jc w:val="right"/>
              <w:ind w:right="156"/>
              <w:spacing w:after="0"/>
              <w:rPr>
                <w:sz w:val="20"/>
                <w:szCs w:val="20"/>
                <w:color w:val="auto"/>
              </w:rPr>
            </w:pPr>
            <w:r>
              <w:rPr>
                <w:rFonts w:ascii="Arial" w:cs="Arial" w:eastAsia="Arial" w:hAnsi="Arial"/>
                <w:sz w:val="17"/>
                <w:szCs w:val="17"/>
                <w:b w:val="1"/>
                <w:bCs w:val="1"/>
                <w:color w:val="00539B"/>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2,123</w:t>
            </w:r>
          </w:p>
        </w:tc>
        <w:tc>
          <w:tcPr>
            <w:tcW w:w="0" w:type="dxa"/>
            <w:vAlign w:val="bottom"/>
          </w:tcPr>
          <w:p>
            <w:pPr>
              <w:spacing w:after="0"/>
              <w:rPr>
                <w:sz w:val="1"/>
                <w:szCs w:val="1"/>
                <w:color w:val="auto"/>
              </w:rPr>
            </w:pPr>
          </w:p>
        </w:tc>
      </w:tr>
      <w:tr>
        <w:trPr>
          <w:trHeight w:val="295"/>
        </w:trPr>
        <w:tc>
          <w:tcPr>
            <w:tcW w:w="3900" w:type="dxa"/>
            <w:vAlign w:val="bottom"/>
          </w:tcPr>
          <w:p>
            <w:pPr>
              <w:ind w:left="20"/>
              <w:spacing w:after="0"/>
              <w:rPr>
                <w:sz w:val="20"/>
                <w:szCs w:val="20"/>
                <w:color w:val="auto"/>
              </w:rPr>
            </w:pPr>
            <w:r>
              <w:rPr>
                <w:rFonts w:ascii="Arial" w:cs="Arial" w:eastAsia="Arial" w:hAnsi="Arial"/>
                <w:sz w:val="17"/>
                <w:szCs w:val="17"/>
                <w:b w:val="1"/>
                <w:bCs w:val="1"/>
                <w:color w:val="auto"/>
              </w:rPr>
              <w:t>Six months ended June 30, 2022</w:t>
            </w:r>
          </w:p>
        </w:tc>
        <w:tc>
          <w:tcPr>
            <w:tcW w:w="1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3900" w:type="dxa"/>
            <w:vAlign w:val="bottom"/>
            <w:tcBorders>
              <w:bottom w:val="single" w:sz="8" w:color="auto"/>
            </w:tcBorders>
          </w:tcPr>
          <w:p>
            <w:pPr>
              <w:ind w:left="180"/>
              <w:spacing w:after="0"/>
              <w:rPr>
                <w:sz w:val="20"/>
                <w:szCs w:val="20"/>
                <w:color w:val="auto"/>
              </w:rPr>
            </w:pPr>
            <w:r>
              <w:rPr>
                <w:rFonts w:ascii="Arial" w:cs="Arial" w:eastAsia="Arial" w:hAnsi="Arial"/>
                <w:sz w:val="17"/>
                <w:szCs w:val="17"/>
                <w:color w:val="auto"/>
              </w:rPr>
              <w:t>Net sales</w:t>
            </w:r>
          </w:p>
        </w:tc>
        <w:tc>
          <w:tcPr>
            <w:tcW w:w="132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13,771</w:t>
            </w:r>
          </w:p>
        </w:tc>
        <w:tc>
          <w:tcPr>
            <w:tcW w:w="22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3,593</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2,356</w:t>
            </w:r>
          </w:p>
        </w:tc>
        <w:tc>
          <w:tcPr>
            <w:tcW w:w="24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(695)</w:t>
            </w:r>
          </w:p>
        </w:tc>
        <w:tc>
          <w:tcPr>
            <w:tcW w:w="360" w:type="dxa"/>
            <w:vAlign w:val="bottom"/>
            <w:tcBorders>
              <w:bottom w:val="single" w:sz="8" w:color="auto"/>
            </w:tcBorders>
          </w:tcPr>
          <w:p>
            <w:pPr>
              <w:jc w:val="right"/>
              <w:ind w:right="156"/>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19,025</w:t>
            </w:r>
          </w:p>
        </w:tc>
        <w:tc>
          <w:tcPr>
            <w:tcW w:w="0" w:type="dxa"/>
            <w:vAlign w:val="bottom"/>
          </w:tcPr>
          <w:p>
            <w:pPr>
              <w:spacing w:after="0"/>
              <w:rPr>
                <w:sz w:val="1"/>
                <w:szCs w:val="1"/>
                <w:color w:val="auto"/>
              </w:rPr>
            </w:pPr>
          </w:p>
        </w:tc>
      </w:tr>
      <w:tr>
        <w:trPr>
          <w:trHeight w:val="209"/>
        </w:trPr>
        <w:tc>
          <w:tcPr>
            <w:tcW w:w="3900" w:type="dxa"/>
            <w:vAlign w:val="bottom"/>
          </w:tcPr>
          <w:p>
            <w:pPr>
              <w:ind w:left="20"/>
              <w:spacing w:after="0"/>
              <w:rPr>
                <w:sz w:val="20"/>
                <w:szCs w:val="20"/>
                <w:color w:val="auto"/>
              </w:rPr>
            </w:pPr>
            <w:r>
              <w:rPr>
                <w:rFonts w:ascii="Arial" w:cs="Arial" w:eastAsia="Arial" w:hAnsi="Arial"/>
                <w:sz w:val="17"/>
                <w:szCs w:val="17"/>
                <w:color w:val="auto"/>
              </w:rPr>
              <w:t>Income (loss) before income taxes</w:t>
            </w:r>
          </w:p>
        </w:tc>
        <w:tc>
          <w:tcPr>
            <w:tcW w:w="1320" w:type="dxa"/>
            <w:vAlign w:val="bottom"/>
          </w:tcPr>
          <w:p>
            <w:pPr>
              <w:jc w:val="right"/>
              <w:ind w:right="56"/>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6,992</w:t>
            </w:r>
          </w:p>
        </w:tc>
        <w:tc>
          <w:tcPr>
            <w:tcW w:w="22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1,471</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214</w:t>
            </w:r>
          </w:p>
        </w:tc>
        <w:tc>
          <w:tcPr>
            <w:tcW w:w="240" w:type="dxa"/>
            <w:vAlign w:val="bottom"/>
          </w:tcPr>
          <w:p>
            <w:pPr>
              <w:jc w:val="right"/>
              <w:ind w:right="56"/>
              <w:spacing w:after="0"/>
              <w:rPr>
                <w:sz w:val="20"/>
                <w:szCs w:val="20"/>
                <w:color w:val="auto"/>
              </w:rPr>
            </w:pPr>
            <w:r>
              <w:rPr>
                <w:rFonts w:ascii="Arial" w:cs="Arial" w:eastAsia="Arial" w:hAnsi="Arial"/>
                <w:sz w:val="17"/>
                <w:szCs w:val="17"/>
                <w:color w:val="auto"/>
                <w:w w:val="84"/>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(608)</w:t>
            </w:r>
          </w:p>
        </w:tc>
        <w:tc>
          <w:tcPr>
            <w:tcW w:w="360" w:type="dxa"/>
            <w:vAlign w:val="bottom"/>
          </w:tcPr>
          <w:p>
            <w:pPr>
              <w:jc w:val="right"/>
              <w:ind w:right="156"/>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8,069</w:t>
            </w:r>
          </w:p>
        </w:tc>
        <w:tc>
          <w:tcPr>
            <w:tcW w:w="0" w:type="dxa"/>
            <w:vAlign w:val="bottom"/>
          </w:tcPr>
          <w:p>
            <w:pPr>
              <w:spacing w:after="0"/>
              <w:rPr>
                <w:sz w:val="1"/>
                <w:szCs w:val="1"/>
                <w:color w:val="auto"/>
              </w:rPr>
            </w:pPr>
          </w:p>
        </w:tc>
      </w:tr>
      <w:tr>
        <w:trPr>
          <w:trHeight w:val="225"/>
        </w:trPr>
        <w:tc>
          <w:tcPr>
            <w:tcW w:w="3900" w:type="dxa"/>
            <w:vAlign w:val="bottom"/>
            <w:tcBorders>
              <w:bottom w:val="single" w:sz="8" w:color="auto"/>
            </w:tcBorders>
          </w:tcPr>
          <w:p>
            <w:pPr>
              <w:ind w:left="180"/>
              <w:spacing w:after="0"/>
              <w:rPr>
                <w:sz w:val="20"/>
                <w:szCs w:val="20"/>
                <w:color w:val="auto"/>
              </w:rPr>
            </w:pPr>
            <w:r>
              <w:rPr>
                <w:rFonts w:ascii="Arial" w:cs="Arial" w:eastAsia="Arial" w:hAnsi="Arial"/>
                <w:sz w:val="17"/>
                <w:szCs w:val="17"/>
                <w:color w:val="auto"/>
              </w:rPr>
              <w:t>Income tax benefit</w:t>
            </w:r>
          </w:p>
        </w:tc>
        <w:tc>
          <w:tcPr>
            <w:tcW w:w="13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562</w:t>
            </w: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562</w:t>
            </w:r>
          </w:p>
        </w:tc>
        <w:tc>
          <w:tcPr>
            <w:tcW w:w="0" w:type="dxa"/>
            <w:vAlign w:val="bottom"/>
          </w:tcPr>
          <w:p>
            <w:pPr>
              <w:spacing w:after="0"/>
              <w:rPr>
                <w:sz w:val="1"/>
                <w:szCs w:val="1"/>
                <w:color w:val="auto"/>
              </w:rPr>
            </w:pPr>
          </w:p>
        </w:tc>
      </w:tr>
      <w:tr>
        <w:trPr>
          <w:trHeight w:val="221"/>
        </w:trPr>
        <w:tc>
          <w:tcPr>
            <w:tcW w:w="39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Net income (loss)</w:t>
            </w:r>
          </w:p>
        </w:tc>
        <w:tc>
          <w:tcPr>
            <w:tcW w:w="132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6,992</w:t>
            </w:r>
          </w:p>
        </w:tc>
        <w:tc>
          <w:tcPr>
            <w:tcW w:w="22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1,471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214</w:t>
            </w:r>
          </w:p>
        </w:tc>
        <w:tc>
          <w:tcPr>
            <w:tcW w:w="24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w:t>
            </w:r>
          </w:p>
        </w:tc>
        <w:tc>
          <w:tcPr>
            <w:tcW w:w="360" w:type="dxa"/>
            <w:vAlign w:val="bottom"/>
            <w:tcBorders>
              <w:bottom w:val="single" w:sz="8" w:color="auto"/>
            </w:tcBorders>
          </w:tcPr>
          <w:p>
            <w:pPr>
              <w:jc w:val="right"/>
              <w:ind w:right="156"/>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8,631</w:t>
            </w:r>
          </w:p>
        </w:tc>
        <w:tc>
          <w:tcPr>
            <w:tcW w:w="0" w:type="dxa"/>
            <w:vAlign w:val="bottom"/>
          </w:tcPr>
          <w:p>
            <w:pPr>
              <w:spacing w:after="0"/>
              <w:rPr>
                <w:sz w:val="1"/>
                <w:szCs w:val="1"/>
                <w:color w:val="auto"/>
              </w:rPr>
            </w:pPr>
          </w:p>
        </w:tc>
      </w:tr>
    </w:tbl>
    <w:p>
      <w:pPr>
        <w:spacing w:after="0" w:line="70" w:lineRule="exact"/>
        <w:rPr>
          <w:sz w:val="20"/>
          <w:szCs w:val="20"/>
          <w:color w:val="auto"/>
        </w:rPr>
      </w:pPr>
    </w:p>
    <w:p>
      <w:pPr>
        <w:jc w:val="both"/>
        <w:ind w:left="320" w:hanging="313"/>
        <w:spacing w:after="0" w:line="239" w:lineRule="auto"/>
        <w:tabs>
          <w:tab w:leader="none" w:pos="281" w:val="left"/>
        </w:tabs>
        <w:numPr>
          <w:ilvl w:val="0"/>
          <w:numId w:val="13"/>
        </w:numPr>
        <w:rPr>
          <w:rFonts w:ascii="Arial" w:cs="Arial" w:eastAsia="Arial" w:hAnsi="Arial"/>
          <w:sz w:val="21"/>
          <w:szCs w:val="21"/>
          <w:color w:val="auto"/>
          <w:vertAlign w:val="superscript"/>
        </w:rPr>
      </w:pPr>
      <w:r>
        <w:rPr>
          <w:rFonts w:ascii="Arial" w:cs="Arial" w:eastAsia="Arial" w:hAnsi="Arial"/>
          <w:sz w:val="16"/>
          <w:szCs w:val="16"/>
          <w:color w:val="auto"/>
        </w:rPr>
        <w:t>The three and six months ended June 30, 2023 included a $180 million impairment related to undeveloped acreage in the northern non-core area of the Powder River Basin and $29 million impairment related to an equity method investment in the Black Butte Coal Company. The six months ended June 30, 2023 also included a $26 million litigation settlement gain. The six months ended June 30, 2022 included $147 million of gains, primarily related to the sale of certain non-strategic assets in the Permian Basin.</w:t>
      </w:r>
    </w:p>
    <w:p>
      <w:pPr>
        <w:spacing w:after="0" w:line="1" w:lineRule="exact"/>
        <w:rPr>
          <w:rFonts w:ascii="Arial" w:cs="Arial" w:eastAsia="Arial" w:hAnsi="Arial"/>
          <w:sz w:val="21"/>
          <w:szCs w:val="21"/>
          <w:color w:val="auto"/>
          <w:vertAlign w:val="superscript"/>
        </w:rPr>
      </w:pPr>
    </w:p>
    <w:p>
      <w:pPr>
        <w:ind w:left="320" w:hanging="313"/>
        <w:spacing w:after="0" w:line="217" w:lineRule="auto"/>
        <w:tabs>
          <w:tab w:leader="none" w:pos="255" w:val="left"/>
        </w:tabs>
        <w:numPr>
          <w:ilvl w:val="0"/>
          <w:numId w:val="13"/>
        </w:numPr>
        <w:rPr>
          <w:rFonts w:ascii="Arial" w:cs="Arial" w:eastAsia="Arial" w:hAnsi="Arial"/>
          <w:sz w:val="21"/>
          <w:szCs w:val="21"/>
          <w:color w:val="auto"/>
          <w:vertAlign w:val="superscript"/>
        </w:rPr>
      </w:pPr>
      <w:r>
        <w:rPr>
          <w:rFonts w:ascii="Arial" w:cs="Arial" w:eastAsia="Arial" w:hAnsi="Arial"/>
          <w:sz w:val="16"/>
          <w:szCs w:val="16"/>
          <w:color w:val="auto"/>
        </w:rPr>
        <w:t>The three and six months ended June 30, 2023 included $48 million and $40 million of net derivative mark-to-market gains, respectively. The three and six months ended June 30, 2022 included $96 million and $102 million of net derivative mark-to-market gains and losses, respectively.</w:t>
      </w:r>
    </w:p>
    <w:p>
      <w:pPr>
        <w:spacing w:after="0" w:line="1" w:lineRule="exact"/>
        <w:rPr>
          <w:rFonts w:ascii="Arial" w:cs="Arial" w:eastAsia="Arial" w:hAnsi="Arial"/>
          <w:sz w:val="21"/>
          <w:szCs w:val="21"/>
          <w:color w:val="auto"/>
          <w:vertAlign w:val="superscript"/>
        </w:rPr>
      </w:pPr>
    </w:p>
    <w:p>
      <w:pPr>
        <w:ind w:left="320" w:hanging="313"/>
        <w:spacing w:after="0" w:line="243" w:lineRule="auto"/>
        <w:tabs>
          <w:tab w:leader="none" w:pos="258" w:val="left"/>
        </w:tabs>
        <w:numPr>
          <w:ilvl w:val="0"/>
          <w:numId w:val="13"/>
        </w:numPr>
        <w:rPr>
          <w:rFonts w:ascii="Arial" w:cs="Arial" w:eastAsia="Arial" w:hAnsi="Arial"/>
          <w:sz w:val="21"/>
          <w:szCs w:val="21"/>
          <w:color w:val="auto"/>
          <w:vertAlign w:val="superscript"/>
        </w:rPr>
      </w:pPr>
      <w:r>
        <w:rPr>
          <w:rFonts w:ascii="Arial" w:cs="Arial" w:eastAsia="Arial" w:hAnsi="Arial"/>
          <w:sz w:val="16"/>
          <w:szCs w:val="16"/>
          <w:color w:val="auto"/>
        </w:rPr>
        <w:t xml:space="preserve">The three and six months ended June 30, 2023 included a $68 million deferred tax charge related to the Algeria contract renewal and a $260 million gain related to a Maxus environmental reserve adjustment, see </w:t>
      </w:r>
      <w:r>
        <w:rPr>
          <w:rFonts w:ascii="Arial" w:cs="Arial" w:eastAsia="Arial" w:hAnsi="Arial"/>
          <w:sz w:val="16"/>
          <w:szCs w:val="16"/>
          <w:u w:val="single" w:color="auto"/>
          <w:color w:val="auto"/>
        </w:rPr>
        <w:t>Note 8 - Lawsuits, Claims, Commitments and Contingencies</w:t>
      </w:r>
      <w:r>
        <w:rPr>
          <w:rFonts w:ascii="Arial" w:cs="Arial" w:eastAsia="Arial" w:hAnsi="Arial"/>
          <w:sz w:val="16"/>
          <w:szCs w:val="16"/>
          <w:color w:val="auto"/>
        </w:rPr>
        <w:t xml:space="preserve"> for further information. The three months ended June 30, 2022 included a $179 million gain on early debt extinguishment and a $127 million gain on interest rate swaps. The six months ended June 30, 2022 included a non-cash tax benefit of $2.6 billion in connection with Occidental's legal entity reorganization, which is further discussed in the Income Taxes section of the Management’s Discussion and Analysis of Financial Condition and Results of Operations in Part I, Item 2 of this Form 10-Q, as well as a $262 million gain on interest rate swaps and a $161 million gain on early debt extinguishment.</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715962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25" w:right="339" w:bottom="1440" w:gutter="0" w:footer="0" w:header="0"/>
        </w:sectPr>
      </w:pPr>
    </w:p>
    <w:bookmarkStart w:id="26" w:name="page27"/>
    <w:bookmarkEnd w:id="26"/>
    <w:p>
      <w:pPr>
        <w:spacing w:after="0"/>
        <w:rPr>
          <w:sz w:val="20"/>
          <w:szCs w:val="20"/>
          <w:color w:val="auto"/>
        </w:rPr>
      </w:pPr>
      <w:r>
        <w:rPr>
          <w:rFonts w:ascii="Arial" w:cs="Arial" w:eastAsia="Arial" w:hAnsi="Arial"/>
          <w:sz w:val="20"/>
          <w:szCs w:val="20"/>
          <w:b w:val="1"/>
          <w:bCs w:val="1"/>
          <w:color w:val="00539B"/>
        </w:rPr>
        <w:t>Item 2. Management’s Discussion and Analysis of Financial Condition and Results of Operations</w:t>
      </w:r>
    </w:p>
    <w:p>
      <w:pPr>
        <w:spacing w:after="0" w:line="257" w:lineRule="exact"/>
        <w:rPr>
          <w:sz w:val="20"/>
          <w:szCs w:val="20"/>
          <w:color w:val="auto"/>
        </w:rPr>
      </w:pPr>
    </w:p>
    <w:p>
      <w:pPr>
        <w:jc w:val="both"/>
        <w:ind w:firstLine="240"/>
        <w:spacing w:after="0" w:line="259" w:lineRule="auto"/>
        <w:rPr>
          <w:sz w:val="20"/>
          <w:szCs w:val="20"/>
          <w:color w:val="auto"/>
        </w:rPr>
      </w:pPr>
      <w:r>
        <w:rPr>
          <w:rFonts w:ascii="Arial" w:cs="Arial" w:eastAsia="Arial" w:hAnsi="Arial"/>
          <w:sz w:val="17"/>
          <w:szCs w:val="17"/>
          <w:color w:val="auto"/>
        </w:rPr>
        <w:t>The following discussion should be read together with the Consolidated Condensed Financial Statements and the notes to the Consolidated Condensed Financial Statements, which are included in this report in Part I, Item 1; the information set forth in Risk Factors under Part II, Item 1A; the Consolidated Financial Statements and the notes to the Consolidated Financial Statements, which are included in Part II, Item 8 of Occidental's 2022 Form 10-K; and the information set forth in Risk Factors under Part I, Item 1A of the 2022 Form 10-K.</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93"/>
        </w:trPr>
        <w:tc>
          <w:tcPr>
            <w:tcW w:w="7860" w:type="dxa"/>
            <w:vAlign w:val="bottom"/>
            <w:tcBorders>
              <w:bottom w:val="single" w:sz="8" w:color="00539B"/>
            </w:tcBorders>
          </w:tcPr>
          <w:p>
            <w:pPr>
              <w:ind w:left="20"/>
              <w:spacing w:after="0"/>
              <w:rPr>
                <w:sz w:val="20"/>
                <w:szCs w:val="20"/>
                <w:color w:val="auto"/>
              </w:rPr>
            </w:pPr>
            <w:r>
              <w:rPr>
                <w:rFonts w:ascii="Arial" w:cs="Arial" w:eastAsia="Arial" w:hAnsi="Arial"/>
                <w:sz w:val="21"/>
                <w:szCs w:val="21"/>
                <w:b w:val="1"/>
                <w:bCs w:val="1"/>
                <w:color w:val="00539B"/>
              </w:rPr>
              <w:t>INDEX</w:t>
            </w:r>
          </w:p>
        </w:tc>
        <w:tc>
          <w:tcPr>
            <w:tcW w:w="3380" w:type="dxa"/>
            <w:vAlign w:val="bottom"/>
            <w:tcBorders>
              <w:bottom w:val="single" w:sz="8" w:color="00539B"/>
            </w:tcBorders>
          </w:tcPr>
          <w:p>
            <w:pPr>
              <w:jc w:val="center"/>
              <w:ind w:left="2353"/>
              <w:spacing w:after="0"/>
              <w:rPr>
                <w:sz w:val="20"/>
                <w:szCs w:val="20"/>
                <w:color w:val="auto"/>
              </w:rPr>
            </w:pPr>
            <w:r>
              <w:rPr>
                <w:rFonts w:ascii="Arial" w:cs="Arial" w:eastAsia="Arial" w:hAnsi="Arial"/>
                <w:sz w:val="21"/>
                <w:szCs w:val="21"/>
                <w:b w:val="1"/>
                <w:bCs w:val="1"/>
                <w:color w:val="00539B"/>
                <w:w w:val="97"/>
              </w:rPr>
              <w:t>PAGE</w:t>
            </w:r>
          </w:p>
        </w:tc>
      </w:tr>
      <w:tr>
        <w:trPr>
          <w:trHeight w:val="215"/>
        </w:trPr>
        <w:tc>
          <w:tcPr>
            <w:tcW w:w="7860" w:type="dxa"/>
            <w:vAlign w:val="bottom"/>
          </w:tcPr>
          <w:p>
            <w:pPr>
              <w:ind w:left="20"/>
              <w:spacing w:after="0"/>
              <w:rPr>
                <w:sz w:val="20"/>
                <w:szCs w:val="20"/>
                <w:color w:val="auto"/>
              </w:rPr>
            </w:pPr>
            <w:r>
              <w:rPr>
                <w:rFonts w:ascii="Arial" w:cs="Arial" w:eastAsia="Arial" w:hAnsi="Arial"/>
                <w:sz w:val="17"/>
                <w:szCs w:val="17"/>
                <w:color w:val="auto"/>
              </w:rPr>
              <w:t>Cautionary Statement Regarding Forward-Looking Statements</w:t>
            </w:r>
          </w:p>
        </w:tc>
        <w:tc>
          <w:tcPr>
            <w:tcW w:w="3380" w:type="dxa"/>
            <w:vAlign w:val="bottom"/>
          </w:tcPr>
          <w:p>
            <w:pPr>
              <w:jc w:val="center"/>
              <w:ind w:left="2353"/>
              <w:spacing w:after="0"/>
              <w:rPr>
                <w:sz w:val="20"/>
                <w:szCs w:val="20"/>
                <w:color w:val="auto"/>
              </w:rPr>
            </w:pPr>
            <w:r>
              <w:rPr>
                <w:rFonts w:ascii="Arial" w:cs="Arial" w:eastAsia="Arial" w:hAnsi="Arial"/>
                <w:sz w:val="17"/>
                <w:szCs w:val="17"/>
                <w:color w:val="auto"/>
                <w:w w:val="94"/>
              </w:rPr>
              <w:t>27</w:t>
            </w:r>
          </w:p>
        </w:tc>
      </w:tr>
      <w:tr>
        <w:trPr>
          <w:trHeight w:val="221"/>
        </w:trPr>
        <w:tc>
          <w:tcPr>
            <w:tcW w:w="7860" w:type="dxa"/>
            <w:vAlign w:val="bottom"/>
          </w:tcPr>
          <w:p>
            <w:pPr>
              <w:ind w:left="20"/>
              <w:spacing w:after="0"/>
              <w:rPr>
                <w:sz w:val="20"/>
                <w:szCs w:val="20"/>
                <w:color w:val="auto"/>
              </w:rPr>
            </w:pPr>
            <w:r>
              <w:rPr>
                <w:rFonts w:ascii="Arial" w:cs="Arial" w:eastAsia="Arial" w:hAnsi="Arial"/>
                <w:sz w:val="17"/>
                <w:szCs w:val="17"/>
                <w:color w:val="auto"/>
              </w:rPr>
              <w:t>Current Business Outlook</w:t>
            </w:r>
          </w:p>
        </w:tc>
        <w:tc>
          <w:tcPr>
            <w:tcW w:w="3380" w:type="dxa"/>
            <w:vAlign w:val="bottom"/>
          </w:tcPr>
          <w:p>
            <w:pPr>
              <w:jc w:val="center"/>
              <w:ind w:left="2353"/>
              <w:spacing w:after="0"/>
              <w:rPr>
                <w:sz w:val="20"/>
                <w:szCs w:val="20"/>
                <w:color w:val="auto"/>
              </w:rPr>
            </w:pPr>
            <w:r>
              <w:rPr>
                <w:rFonts w:ascii="Arial" w:cs="Arial" w:eastAsia="Arial" w:hAnsi="Arial"/>
                <w:sz w:val="17"/>
                <w:szCs w:val="17"/>
                <w:color w:val="auto"/>
                <w:w w:val="94"/>
              </w:rPr>
              <w:t>28</w:t>
            </w:r>
          </w:p>
        </w:tc>
      </w:tr>
      <w:tr>
        <w:trPr>
          <w:trHeight w:val="215"/>
        </w:trPr>
        <w:tc>
          <w:tcPr>
            <w:tcW w:w="7860" w:type="dxa"/>
            <w:vAlign w:val="bottom"/>
          </w:tcPr>
          <w:p>
            <w:pPr>
              <w:ind w:left="20"/>
              <w:spacing w:after="0"/>
              <w:rPr>
                <w:sz w:val="20"/>
                <w:szCs w:val="20"/>
                <w:color w:val="auto"/>
              </w:rPr>
            </w:pPr>
            <w:r>
              <w:rPr>
                <w:rFonts w:ascii="Arial" w:cs="Arial" w:eastAsia="Arial" w:hAnsi="Arial"/>
                <w:sz w:val="17"/>
                <w:szCs w:val="17"/>
                <w:color w:val="auto"/>
              </w:rPr>
              <w:t>Consolidated Results of Operations and Items Affecting Comparability</w:t>
            </w:r>
          </w:p>
        </w:tc>
        <w:tc>
          <w:tcPr>
            <w:tcW w:w="3380" w:type="dxa"/>
            <w:vAlign w:val="bottom"/>
          </w:tcPr>
          <w:p>
            <w:pPr>
              <w:jc w:val="center"/>
              <w:ind w:left="2353"/>
              <w:spacing w:after="0"/>
              <w:rPr>
                <w:sz w:val="20"/>
                <w:szCs w:val="20"/>
                <w:color w:val="auto"/>
              </w:rPr>
            </w:pPr>
            <w:r>
              <w:rPr>
                <w:rFonts w:ascii="Arial" w:cs="Arial" w:eastAsia="Arial" w:hAnsi="Arial"/>
                <w:sz w:val="17"/>
                <w:szCs w:val="17"/>
                <w:color w:val="auto"/>
                <w:w w:val="94"/>
              </w:rPr>
              <w:t>29</w:t>
            </w:r>
          </w:p>
        </w:tc>
      </w:tr>
      <w:tr>
        <w:trPr>
          <w:trHeight w:val="227"/>
        </w:trPr>
        <w:tc>
          <w:tcPr>
            <w:tcW w:w="7860" w:type="dxa"/>
            <w:vAlign w:val="bottom"/>
          </w:tcPr>
          <w:p>
            <w:pPr>
              <w:ind w:left="20"/>
              <w:spacing w:after="0"/>
              <w:rPr>
                <w:sz w:val="20"/>
                <w:szCs w:val="20"/>
                <w:color w:val="auto"/>
              </w:rPr>
            </w:pPr>
            <w:r>
              <w:rPr>
                <w:rFonts w:ascii="Arial" w:cs="Arial" w:eastAsia="Arial" w:hAnsi="Arial"/>
                <w:sz w:val="17"/>
                <w:szCs w:val="17"/>
                <w:color w:val="auto"/>
              </w:rPr>
              <w:t>Segment Results of Operations</w:t>
            </w:r>
          </w:p>
        </w:tc>
        <w:tc>
          <w:tcPr>
            <w:tcW w:w="3380" w:type="dxa"/>
            <w:vAlign w:val="bottom"/>
          </w:tcPr>
          <w:p>
            <w:pPr>
              <w:jc w:val="center"/>
              <w:ind w:left="2353"/>
              <w:spacing w:after="0"/>
              <w:rPr>
                <w:sz w:val="20"/>
                <w:szCs w:val="20"/>
                <w:color w:val="auto"/>
              </w:rPr>
            </w:pPr>
            <w:r>
              <w:rPr>
                <w:rFonts w:ascii="Arial" w:cs="Arial" w:eastAsia="Arial" w:hAnsi="Arial"/>
                <w:sz w:val="17"/>
                <w:szCs w:val="17"/>
                <w:color w:val="auto"/>
                <w:w w:val="94"/>
              </w:rPr>
              <w:t>32</w:t>
            </w:r>
          </w:p>
        </w:tc>
      </w:tr>
      <w:tr>
        <w:trPr>
          <w:trHeight w:val="225"/>
        </w:trPr>
        <w:tc>
          <w:tcPr>
            <w:tcW w:w="7860" w:type="dxa"/>
            <w:vAlign w:val="bottom"/>
          </w:tcPr>
          <w:p>
            <w:pPr>
              <w:ind w:left="20"/>
              <w:spacing w:after="0"/>
              <w:rPr>
                <w:sz w:val="20"/>
                <w:szCs w:val="20"/>
                <w:color w:val="auto"/>
              </w:rPr>
            </w:pPr>
            <w:r>
              <w:rPr>
                <w:rFonts w:ascii="Arial" w:cs="Arial" w:eastAsia="Arial" w:hAnsi="Arial"/>
                <w:sz w:val="17"/>
                <w:szCs w:val="17"/>
                <w:color w:val="auto"/>
              </w:rPr>
              <w:t>Income Taxes</w:t>
            </w:r>
          </w:p>
        </w:tc>
        <w:tc>
          <w:tcPr>
            <w:tcW w:w="3380" w:type="dxa"/>
            <w:vAlign w:val="bottom"/>
          </w:tcPr>
          <w:p>
            <w:pPr>
              <w:jc w:val="center"/>
              <w:ind w:left="2353"/>
              <w:spacing w:after="0"/>
              <w:rPr>
                <w:sz w:val="20"/>
                <w:szCs w:val="20"/>
                <w:color w:val="auto"/>
              </w:rPr>
            </w:pPr>
            <w:r>
              <w:rPr>
                <w:rFonts w:ascii="Arial" w:cs="Arial" w:eastAsia="Arial" w:hAnsi="Arial"/>
                <w:sz w:val="17"/>
                <w:szCs w:val="17"/>
                <w:color w:val="auto"/>
                <w:w w:val="94"/>
              </w:rPr>
              <w:t>35</w:t>
            </w:r>
          </w:p>
        </w:tc>
      </w:tr>
      <w:tr>
        <w:trPr>
          <w:trHeight w:val="215"/>
        </w:trPr>
        <w:tc>
          <w:tcPr>
            <w:tcW w:w="7860" w:type="dxa"/>
            <w:vAlign w:val="bottom"/>
          </w:tcPr>
          <w:p>
            <w:pPr>
              <w:ind w:left="20"/>
              <w:spacing w:after="0"/>
              <w:rPr>
                <w:sz w:val="20"/>
                <w:szCs w:val="20"/>
                <w:color w:val="auto"/>
              </w:rPr>
            </w:pPr>
            <w:r>
              <w:rPr>
                <w:rFonts w:ascii="Arial" w:cs="Arial" w:eastAsia="Arial" w:hAnsi="Arial"/>
                <w:sz w:val="17"/>
                <w:szCs w:val="17"/>
                <w:color w:val="auto"/>
              </w:rPr>
              <w:t>Liquidity and Capital Resources</w:t>
            </w:r>
          </w:p>
        </w:tc>
        <w:tc>
          <w:tcPr>
            <w:tcW w:w="3380" w:type="dxa"/>
            <w:vAlign w:val="bottom"/>
          </w:tcPr>
          <w:p>
            <w:pPr>
              <w:jc w:val="center"/>
              <w:ind w:left="2353"/>
              <w:spacing w:after="0"/>
              <w:rPr>
                <w:sz w:val="20"/>
                <w:szCs w:val="20"/>
                <w:color w:val="auto"/>
              </w:rPr>
            </w:pPr>
            <w:r>
              <w:rPr>
                <w:rFonts w:ascii="Arial" w:cs="Arial" w:eastAsia="Arial" w:hAnsi="Arial"/>
                <w:sz w:val="17"/>
                <w:szCs w:val="17"/>
                <w:color w:val="auto"/>
                <w:w w:val="94"/>
              </w:rPr>
              <w:t>36</w:t>
            </w:r>
          </w:p>
        </w:tc>
      </w:tr>
      <w:tr>
        <w:trPr>
          <w:trHeight w:val="227"/>
        </w:trPr>
        <w:tc>
          <w:tcPr>
            <w:tcW w:w="7860" w:type="dxa"/>
            <w:vAlign w:val="bottom"/>
          </w:tcPr>
          <w:p>
            <w:pPr>
              <w:ind w:left="20"/>
              <w:spacing w:after="0"/>
              <w:rPr>
                <w:sz w:val="20"/>
                <w:szCs w:val="20"/>
                <w:color w:val="auto"/>
              </w:rPr>
            </w:pPr>
            <w:r>
              <w:rPr>
                <w:rFonts w:ascii="Arial" w:cs="Arial" w:eastAsia="Arial" w:hAnsi="Arial"/>
                <w:sz w:val="17"/>
                <w:szCs w:val="17"/>
                <w:color w:val="auto"/>
              </w:rPr>
              <w:t>Environmental Liabilities and Expenditures</w:t>
            </w:r>
          </w:p>
        </w:tc>
        <w:tc>
          <w:tcPr>
            <w:tcW w:w="3380" w:type="dxa"/>
            <w:vAlign w:val="bottom"/>
          </w:tcPr>
          <w:p>
            <w:pPr>
              <w:jc w:val="center"/>
              <w:ind w:left="2353"/>
              <w:spacing w:after="0"/>
              <w:rPr>
                <w:sz w:val="20"/>
                <w:szCs w:val="20"/>
                <w:color w:val="auto"/>
              </w:rPr>
            </w:pPr>
            <w:r>
              <w:rPr>
                <w:rFonts w:ascii="Arial" w:cs="Arial" w:eastAsia="Arial" w:hAnsi="Arial"/>
                <w:sz w:val="17"/>
                <w:szCs w:val="17"/>
                <w:color w:val="auto"/>
                <w:w w:val="94"/>
              </w:rPr>
              <w:t>36</w:t>
            </w:r>
          </w:p>
        </w:tc>
      </w:tr>
      <w:tr>
        <w:trPr>
          <w:trHeight w:val="227"/>
        </w:trPr>
        <w:tc>
          <w:tcPr>
            <w:tcW w:w="7860" w:type="dxa"/>
            <w:vAlign w:val="bottom"/>
          </w:tcPr>
          <w:p>
            <w:pPr>
              <w:ind w:left="20"/>
              <w:spacing w:after="0"/>
              <w:rPr>
                <w:sz w:val="20"/>
                <w:szCs w:val="20"/>
                <w:color w:val="auto"/>
              </w:rPr>
            </w:pPr>
            <w:r>
              <w:rPr>
                <w:rFonts w:ascii="Arial" w:cs="Arial" w:eastAsia="Arial" w:hAnsi="Arial"/>
                <w:sz w:val="17"/>
                <w:szCs w:val="17"/>
                <w:color w:val="auto"/>
              </w:rPr>
              <w:t>Lawsuits, Claims, Commitments and Contingencies</w:t>
            </w:r>
          </w:p>
        </w:tc>
        <w:tc>
          <w:tcPr>
            <w:tcW w:w="3380" w:type="dxa"/>
            <w:vAlign w:val="bottom"/>
          </w:tcPr>
          <w:p>
            <w:pPr>
              <w:jc w:val="center"/>
              <w:ind w:left="2353"/>
              <w:spacing w:after="0"/>
              <w:rPr>
                <w:sz w:val="20"/>
                <w:szCs w:val="20"/>
                <w:color w:val="auto"/>
              </w:rPr>
            </w:pPr>
            <w:r>
              <w:rPr>
                <w:rFonts w:ascii="Arial" w:cs="Arial" w:eastAsia="Arial" w:hAnsi="Arial"/>
                <w:sz w:val="17"/>
                <w:szCs w:val="17"/>
                <w:color w:val="auto"/>
                <w:w w:val="94"/>
              </w:rPr>
              <w:t>37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715962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76" w:right="339" w:bottom="1440" w:gutter="0" w:footer="0" w:header="0"/>
        </w:sectPr>
      </w:pPr>
    </w:p>
    <w:bookmarkStart w:id="27" w:name="page28"/>
    <w:bookmarkEnd w:id="27"/>
    <w:p>
      <w:pPr>
        <w:ind w:left="20"/>
        <w:spacing w:after="0"/>
        <w:rPr>
          <w:sz w:val="20"/>
          <w:szCs w:val="20"/>
          <w:color w:val="auto"/>
        </w:rPr>
      </w:pPr>
      <w:r>
        <w:rPr>
          <w:rFonts w:ascii="Arial" w:cs="Arial" w:eastAsia="Arial" w:hAnsi="Arial"/>
          <w:sz w:val="25"/>
          <w:szCs w:val="25"/>
          <w:b w:val="1"/>
          <w:bCs w:val="1"/>
          <w:color w:val="00539B"/>
        </w:rPr>
        <w:t>CAUTIONARY STATEMENT REGARDING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-180975</wp:posOffset>
            </wp:positionV>
            <wp:extent cx="695579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55790" cy="17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30480</wp:posOffset>
            </wp:positionV>
            <wp:extent cx="695579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55790" cy="17145"/>
                    </a:xfrm>
                    <a:prstGeom prst="rect">
                      <a:avLst/>
                    </a:prstGeom>
                    <a:noFill/>
                  </pic:spPr>
                </pic:pic>
              </a:graphicData>
            </a:graphic>
          </wp:anchor>
        </w:drawing>
      </w:r>
    </w:p>
    <w:p>
      <w:pPr>
        <w:spacing w:after="0" w:line="357" w:lineRule="exact"/>
        <w:rPr>
          <w:sz w:val="20"/>
          <w:szCs w:val="20"/>
          <w:color w:val="auto"/>
        </w:rPr>
      </w:pPr>
    </w:p>
    <w:p>
      <w:pPr>
        <w:jc w:val="both"/>
        <w:ind w:firstLine="240"/>
        <w:spacing w:after="0"/>
        <w:rPr>
          <w:sz w:val="20"/>
          <w:szCs w:val="20"/>
          <w:color w:val="auto"/>
        </w:rPr>
      </w:pPr>
      <w:r>
        <w:rPr>
          <w:rFonts w:ascii="Arial" w:cs="Arial" w:eastAsia="Arial" w:hAnsi="Arial"/>
          <w:sz w:val="17"/>
          <w:szCs w:val="17"/>
          <w:color w:val="auto"/>
        </w:rPr>
        <w:t>Portions of this report contain forward-looking statements within the meaning of Section 27A of the Securities Act of 1933, as amended, and Section 21E of the Securities Exchange Act of 1934, as amended. All statements other than statements of historical fact are “forward-looking statements” for purposes of federal and state securities laws, including, but not limited to: any projections of earnings, revenue or other financial items or future financial position or sources of financing; any statements of the plans, strategies and objectives of management for future operations or business strategy; any statements regarding future economic conditions or performance; any statements of belief; and any statements of assumptions underlying any of the foregoing. Words such as “estimate,” “project,” “predict,” “will,” “would,” “should,” “could,” “may,” “might,” “anticipate,” “plan,” “intend,” “believe,” “expect,” “aim,” “goal,” “target,” “objective,” "commit," "advance," “likely” or similar expressions that convey the prospective nature of events or outcomes are generally indicative of forward-looking statements. You should not place undue reliance on these forward-looking statements, which speak only as of the date of this report unless an earlier date is specified. Unless legally required, Occidental does not undertake any obligation to update, modify or withdraw any forward-looking statements as a result of new information, future events or otherwise.</w:t>
      </w:r>
    </w:p>
    <w:p>
      <w:pPr>
        <w:spacing w:after="0" w:line="5" w:lineRule="exact"/>
        <w:rPr>
          <w:sz w:val="20"/>
          <w:szCs w:val="20"/>
          <w:color w:val="auto"/>
        </w:rPr>
      </w:pPr>
    </w:p>
    <w:p>
      <w:pPr>
        <w:jc w:val="both"/>
        <w:ind w:firstLine="240"/>
        <w:spacing w:after="0" w:line="264" w:lineRule="auto"/>
        <w:rPr>
          <w:sz w:val="20"/>
          <w:szCs w:val="20"/>
          <w:color w:val="auto"/>
        </w:rPr>
      </w:pPr>
      <w:r>
        <w:rPr>
          <w:rFonts w:ascii="Arial" w:cs="Arial" w:eastAsia="Arial" w:hAnsi="Arial"/>
          <w:sz w:val="16"/>
          <w:szCs w:val="16"/>
          <w:color w:val="auto"/>
        </w:rPr>
        <w:t>Actual outcomes or results may differ from anticipated results, sometimes materially. Forward-looking and other statements regarding Occidental's sustainability efforts and aspirations are not an indication that these statements are necessarily material to investors or require disclosure in Occidental's filings with the SEC. In addition, historical, current and forward-looking sustainability-related statements may be based on standards for measuring progress that are still developing, internal controls and processes that continue to evolve and assumptions that are subject to change in the future, including future rulemaking. Factors that could cause results to differ from those projected or assumed in any forward-looking statement include, but are not limited to: general economic conditions, including slowdowns and recessions, domestically or internationally; Occidental’s indebtedness and other payment obligations, including the need to generate sufficient cash flows to fund operations; Occidental’s ability to successfully monetize select assets and repay or refinance debt and the impact of changes in Occidental’s credit ratings or future increases in interest rates; assumptions about energy markets; global and local commodity and commodity-futures pricing fluctuations and volatility; supply and demand considerations for, and the prices of, Occidental’s products and services; actions by OPEC and non-OPEC oil producing countries; the scope and duration of global or regional health pandemics or epidemics, including COVID-19, and actions taken by governmental authorities and other third parties in connection therewith; results from operations and competitive conditions; future impairments of Occidental's proved and unproved oil and gas properties or equity investments, or write-downs of productive assets, causing charges to earnings; unexpected changes in costs; inflation, its impact on markets and economic activity and related monetary policy actions by governments in response to inflation; availability of capital resources, levels of capital expenditures and contractual obligations; the regulatory approval environment, including Occidental's ability to timely obtain or maintain permits or other governmental approvals, including those necessary for drilling and/or development projects; Occidental's ability to successfully complete, or any material delay of, field developments, expansion projects, capital expenditures, efficiency projects, acquisitions or dispositions; risks associated with acquisitions, mergers and joint ventures, such as difficulties integrating businesses, uncertainty associated with financial projections, projected synergies, restructuring, increased costs and adverse tax consequences; uncertainties and liabilities associated with acquired and divested properties and businesses; uncertainties about the estimated quantities of oil, NGL and natural gas reserves; lower-than-expected production from development projects or acquisitions; Occidental’s ability to realize the anticipated benefits from prior or future streamlining actions to reduce fixed costs, simplify or improve processes and improve Occidental’s competitiveness; exploration, drilling and other operational risks; disruptions to, capacity constraints in, or other limitations on the pipeline systems that deliver Occidental’s oil and natural gas and other processing and transportation considerations; volatility in the securities, capital or credit markets, including capital market disruptions and instability of financial institutions; governmental actions, war (including the Russia-Ukraine war) and political conditions and events; health, safety and environmental (HSE) risks, costs and liability under existing or future federal, regional, state, provincial, tribal, local and international HSE laws, regulations and litigation (including related to climate change or remedial actions or assessments); legislative or regulatory changes, including changes relating to hydraulic fracturing or other oil and natural gas operations, retroactive royalty or production tax regimes, and deep-water and onshore drilling and permitting regulations; Occidental's ability to recognize intended benefits from its business strategies and initiatives, such as Occidental's low carbon ventures businesses or announced greenhouse gas emissions reduction targets or net-zero goals; potential liability resulting from pending or future litigation, government investigations and other proceedings; disruption or interruption of production or manufacturing or facility damage due to accidents, chemical releases, labor unrest, weather, power outages, natural disasters, cyber-attacks, terrorist acts or insurgent activity; the creditworthiness and performance of Occidental's counterparties, including financial institutions, operating partners and other parties; failure of risk management; Occidental’s ability to retain and hire key personnel; supply, transportation, and labor constraints; reorganization or restructuring of Occidental’s operations; changes in state, federal or international tax rates; and actions by third parties that are beyond Occidental's control.</w:t>
      </w:r>
    </w:p>
    <w:p>
      <w:pPr>
        <w:spacing w:after="0" w:line="200" w:lineRule="exact"/>
        <w:rPr>
          <w:sz w:val="20"/>
          <w:szCs w:val="20"/>
          <w:color w:val="auto"/>
        </w:rPr>
      </w:pPr>
    </w:p>
    <w:p>
      <w:pPr>
        <w:spacing w:after="0" w:line="209" w:lineRule="exact"/>
        <w:rPr>
          <w:sz w:val="20"/>
          <w:szCs w:val="20"/>
          <w:color w:val="auto"/>
        </w:rPr>
      </w:pPr>
    </w:p>
    <w:p>
      <w:pPr>
        <w:jc w:val="both"/>
        <w:ind w:firstLine="240"/>
        <w:spacing w:after="0" w:line="256" w:lineRule="auto"/>
        <w:rPr>
          <w:sz w:val="20"/>
          <w:szCs w:val="20"/>
          <w:color w:val="auto"/>
        </w:rPr>
      </w:pPr>
      <w:r>
        <w:rPr>
          <w:rFonts w:ascii="Arial" w:cs="Arial" w:eastAsia="Arial" w:hAnsi="Arial"/>
          <w:sz w:val="17"/>
          <w:szCs w:val="17"/>
          <w:color w:val="auto"/>
        </w:rPr>
        <w:t>Additional information concerning these and other factors that may cause Occidental’s results of operations and financial position to differ from expectations can be found in Occidental’s other filings with the SEC, including Occidental’s 2022 Form 10-K, Quarterly Reports on Form 10-Q and Current Reports on Form 8-K.</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715962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25" w:right="339" w:bottom="1440" w:gutter="0" w:footer="0" w:header="0"/>
        </w:sectPr>
      </w:pPr>
    </w:p>
    <w:bookmarkStart w:id="28" w:name="page29"/>
    <w:bookmarkEnd w:id="28"/>
    <w:p>
      <w:pPr>
        <w:ind w:left="20"/>
        <w:spacing w:after="0"/>
        <w:rPr>
          <w:sz w:val="20"/>
          <w:szCs w:val="20"/>
          <w:color w:val="auto"/>
        </w:rPr>
      </w:pPr>
      <w:r>
        <w:rPr>
          <w:rFonts w:ascii="Arial" w:cs="Arial" w:eastAsia="Arial" w:hAnsi="Arial"/>
          <w:sz w:val="24"/>
          <w:szCs w:val="24"/>
          <w:b w:val="1"/>
          <w:bCs w:val="1"/>
          <w:color w:val="00539B"/>
        </w:rPr>
        <w:t>CURRENT BUSINESS OUTLOOK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-173355</wp:posOffset>
            </wp:positionV>
            <wp:extent cx="713422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4225" cy="17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37465</wp:posOffset>
            </wp:positionV>
            <wp:extent cx="713422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925" w:right="339" w:bottom="1440" w:gutter="0" w:footer="0" w:header="0"/>
        </w:sectPr>
      </w:pPr>
    </w:p>
    <w:p>
      <w:pPr>
        <w:spacing w:after="0" w:line="388" w:lineRule="exact"/>
        <w:rPr>
          <w:sz w:val="20"/>
          <w:szCs w:val="20"/>
          <w:color w:val="auto"/>
        </w:rPr>
      </w:pPr>
    </w:p>
    <w:p>
      <w:pPr>
        <w:jc w:val="both"/>
        <w:ind w:firstLine="240"/>
        <w:spacing w:after="0" w:line="250" w:lineRule="auto"/>
        <w:rPr>
          <w:sz w:val="20"/>
          <w:szCs w:val="20"/>
          <w:color w:val="auto"/>
        </w:rPr>
      </w:pPr>
      <w:r>
        <w:rPr>
          <w:rFonts w:ascii="Arial" w:cs="Arial" w:eastAsia="Arial" w:hAnsi="Arial"/>
          <w:sz w:val="17"/>
          <w:szCs w:val="17"/>
          <w:color w:val="auto"/>
        </w:rPr>
        <w:t>Occidental’s operations, financial condition, cash flows and levels of expenditures are highly dependent on oil prices and, to a lesser extent, NGL and natural gas prices, the Midland-to-Gulf-Coast oil spreads, chemical product prices and inflationary pressures in the macro-economic environment. The average WTI price per barrel for the six months ended June 30, 2023 was $74.98, compared to $101.35 for the six months ended June 30, 2022. Oil prices decreased in the first six months of 2023 as inflation and economic concerns signaled a potential decrease in energy demand, despite the ongoing global impact of the Russia-Ukraine war. It is expected that the price of oil will be volatile for the foreseeable future given the current geopolitical risks, evolving macro-economic environment that impacts energy demand, future actions by OPEC and non-OPEC oil producing countries and the Biden Administration's management of the U.S. Strategic Petroleum Reserve.</w:t>
      </w:r>
    </w:p>
    <w:p>
      <w:pPr>
        <w:spacing w:after="0" w:line="4" w:lineRule="exact"/>
        <w:rPr>
          <w:sz w:val="20"/>
          <w:szCs w:val="20"/>
          <w:color w:val="auto"/>
        </w:rPr>
      </w:pPr>
    </w:p>
    <w:p>
      <w:pPr>
        <w:jc w:val="both"/>
        <w:ind w:firstLine="240"/>
        <w:spacing w:after="0" w:line="267" w:lineRule="auto"/>
        <w:rPr>
          <w:sz w:val="20"/>
          <w:szCs w:val="20"/>
          <w:color w:val="auto"/>
        </w:rPr>
      </w:pPr>
      <w:r>
        <w:rPr>
          <w:rFonts w:ascii="Arial" w:cs="Arial" w:eastAsia="Arial" w:hAnsi="Arial"/>
          <w:sz w:val="17"/>
          <w:szCs w:val="17"/>
          <w:color w:val="auto"/>
        </w:rPr>
        <w:t>Occidental works to manage inflation impacts by capitalizing on operational efficiencies, proactive contract management and working closely with vendors to secure the supply of critical materials. As of June 30, 2023, substantially all of Occidental's outstanding debt is fixed rate.</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color w:val="00539B"/>
        </w:rPr>
        <w:t>2023 PRIORITIES</w:t>
      </w:r>
    </w:p>
    <w:p>
      <w:pPr>
        <w:spacing w:after="0" w:line="15" w:lineRule="exact"/>
        <w:rPr>
          <w:sz w:val="20"/>
          <w:szCs w:val="20"/>
          <w:color w:val="auto"/>
        </w:rPr>
      </w:pPr>
    </w:p>
    <w:p>
      <w:pPr>
        <w:jc w:val="both"/>
        <w:ind w:firstLine="240"/>
        <w:spacing w:after="0" w:line="254" w:lineRule="auto"/>
        <w:rPr>
          <w:sz w:val="20"/>
          <w:szCs w:val="20"/>
          <w:color w:val="auto"/>
        </w:rPr>
      </w:pPr>
      <w:r>
        <w:rPr>
          <w:rFonts w:ascii="Arial" w:cs="Arial" w:eastAsia="Arial" w:hAnsi="Arial"/>
          <w:sz w:val="17"/>
          <w:szCs w:val="17"/>
          <w:color w:val="auto"/>
        </w:rPr>
        <w:t>Occidental’s capital and operational priorities for 2023 are intended to maximize cash flow through focused investments in short and medium-cycle projects intended to enhance current year and future cash flows. Occidental intends to utilize future operating cash flows to:</w:t>
      </w:r>
    </w:p>
    <w:p>
      <w:pPr>
        <w:spacing w:after="0" w:line="215" w:lineRule="exact"/>
        <w:rPr>
          <w:sz w:val="20"/>
          <w:szCs w:val="20"/>
          <w:color w:val="auto"/>
        </w:rPr>
      </w:pPr>
    </w:p>
    <w:p>
      <w:pPr>
        <w:ind w:left="240" w:hanging="233"/>
        <w:spacing w:after="0" w:line="254" w:lineRule="auto"/>
        <w:tabs>
          <w:tab w:leader="none" w:pos="262" w:val="left"/>
        </w:tabs>
        <w:numPr>
          <w:ilvl w:val="0"/>
          <w:numId w:val="14"/>
        </w:numPr>
        <w:rPr>
          <w:rFonts w:ascii="Arial" w:cs="Arial" w:eastAsia="Arial" w:hAnsi="Arial"/>
          <w:sz w:val="17"/>
          <w:szCs w:val="17"/>
          <w:color w:val="auto"/>
        </w:rPr>
      </w:pPr>
      <w:r>
        <w:rPr>
          <w:rFonts w:ascii="Arial" w:cs="Arial" w:eastAsia="Arial" w:hAnsi="Arial"/>
          <w:sz w:val="17"/>
          <w:szCs w:val="17"/>
          <w:color w:val="auto"/>
        </w:rPr>
        <w:t>preserve and enhance its existing asset base with investments in its core cash-generative oil and gas and chemical businesses as well as its emerging low-carbon businesses with a focus on its net-zero pathway;</w:t>
      </w:r>
    </w:p>
    <w:p>
      <w:pPr>
        <w:spacing w:after="0" w:line="1" w:lineRule="exact"/>
        <w:rPr>
          <w:rFonts w:ascii="Arial" w:cs="Arial" w:eastAsia="Arial" w:hAnsi="Arial"/>
          <w:sz w:val="17"/>
          <w:szCs w:val="17"/>
          <w:color w:val="auto"/>
        </w:rPr>
      </w:pPr>
    </w:p>
    <w:p>
      <w:pPr>
        <w:ind w:left="240" w:hanging="233"/>
        <w:spacing w:after="0" w:line="252" w:lineRule="auto"/>
        <w:tabs>
          <w:tab w:leader="none" w:pos="258" w:val="left"/>
        </w:tabs>
        <w:numPr>
          <w:ilvl w:val="0"/>
          <w:numId w:val="14"/>
        </w:numPr>
        <w:rPr>
          <w:rFonts w:ascii="Arial" w:cs="Arial" w:eastAsia="Arial" w:hAnsi="Arial"/>
          <w:sz w:val="17"/>
          <w:szCs w:val="17"/>
          <w:color w:val="auto"/>
        </w:rPr>
      </w:pPr>
      <w:r>
        <w:rPr>
          <w:rFonts w:ascii="Arial" w:cs="Arial" w:eastAsia="Arial" w:hAnsi="Arial"/>
          <w:sz w:val="17"/>
          <w:szCs w:val="17"/>
          <w:color w:val="auto"/>
        </w:rPr>
        <w:t>continue its shareholder return framework in the form of a sustainable and growing common share dividend and an active share buyback plan, driving partial redemptions of preferred stock and further improving Occidental's financial position; and</w:t>
      </w:r>
    </w:p>
    <w:p>
      <w:pPr>
        <w:ind w:left="240" w:hanging="233"/>
        <w:spacing w:after="0"/>
        <w:tabs>
          <w:tab w:leader="none" w:pos="2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continue to opportunistically reduce financial leverage.</w:t>
      </w:r>
    </w:p>
    <w:p>
      <w:pPr>
        <w:spacing w:after="0" w:line="232" w:lineRule="exact"/>
        <w:rPr>
          <w:rFonts w:ascii="Arial" w:cs="Arial" w:eastAsia="Arial" w:hAnsi="Arial"/>
          <w:sz w:val="17"/>
          <w:szCs w:val="17"/>
          <w:color w:val="auto"/>
        </w:rPr>
      </w:pPr>
    </w:p>
    <w:p>
      <w:pPr>
        <w:ind w:left="240"/>
        <w:spacing w:after="0"/>
        <w:rPr>
          <w:rFonts w:ascii="Arial" w:cs="Arial" w:eastAsia="Arial" w:hAnsi="Arial"/>
          <w:sz w:val="17"/>
          <w:szCs w:val="17"/>
          <w:color w:val="auto"/>
        </w:rPr>
      </w:pPr>
      <w:r>
        <w:rPr>
          <w:rFonts w:ascii="Arial" w:cs="Arial" w:eastAsia="Arial" w:hAnsi="Arial"/>
          <w:sz w:val="17"/>
          <w:szCs w:val="17"/>
          <w:color w:val="auto"/>
        </w:rPr>
        <w:t>During the first six months of 2023, Occidental generated cash flow from operations of $5.9 billion and incurred capital expenditures of $3.1 billion.</w:t>
      </w:r>
    </w:p>
    <w:p>
      <w:pPr>
        <w:spacing w:after="0" w:line="225" w:lineRule="exact"/>
        <w:rPr>
          <w:sz w:val="20"/>
          <w:szCs w:val="20"/>
          <w:color w:val="auto"/>
        </w:rPr>
      </w:pPr>
    </w:p>
    <w:p>
      <w:pPr>
        <w:spacing w:after="0"/>
        <w:rPr>
          <w:sz w:val="20"/>
          <w:szCs w:val="20"/>
          <w:color w:val="auto"/>
        </w:rPr>
      </w:pPr>
      <w:r>
        <w:rPr>
          <w:rFonts w:ascii="Arial" w:cs="Arial" w:eastAsia="Arial" w:hAnsi="Arial"/>
          <w:sz w:val="20"/>
          <w:szCs w:val="20"/>
          <w:b w:val="1"/>
          <w:bCs w:val="1"/>
          <w:color w:val="00539B"/>
        </w:rPr>
        <w:t>DEBT RATINGS</w:t>
      </w:r>
    </w:p>
    <w:p>
      <w:pPr>
        <w:spacing w:after="0" w:line="15" w:lineRule="exact"/>
        <w:rPr>
          <w:sz w:val="20"/>
          <w:szCs w:val="20"/>
          <w:color w:val="auto"/>
        </w:rPr>
      </w:pPr>
    </w:p>
    <w:p>
      <w:pPr>
        <w:jc w:val="both"/>
        <w:ind w:firstLine="240"/>
        <w:spacing w:after="0" w:line="249" w:lineRule="auto"/>
        <w:rPr>
          <w:sz w:val="20"/>
          <w:szCs w:val="20"/>
          <w:color w:val="auto"/>
        </w:rPr>
      </w:pPr>
      <w:r>
        <w:rPr>
          <w:rFonts w:ascii="Arial" w:cs="Arial" w:eastAsia="Arial" w:hAnsi="Arial"/>
          <w:sz w:val="17"/>
          <w:szCs w:val="17"/>
          <w:color w:val="auto"/>
        </w:rPr>
        <w:t>As of June 30, 2023, Occidental’s long-term debt was rated Baa3 by Moody’s Investors Service, BBB- by Fitch Ratings and BB+ by Standard and Poor’s. Occidental's credit rating was upgraded to investment grade by Moody's Investors Service in March 2023 and by Fitch Ratings in May 2023. Any downgrade in credit ratings could impact Occidental's ability to access capital markets and increase its cost of capital. In addition, Occidental or its subsidiaries may be requested, elect to provide or in some cases be required to provide collateral in the form of cash, letters of credit, surety bonds or other acceptable support as financial assurance of their performance and payment obligations under certain contractual arrangements such as pipeline transportation contracts, environmental remediation obligations, oil and gas purchase contracts and certain derivative instruments. Occidental has no remaining debt maturities in 2023, and has $1.1 billion of debt maturities due in the third quarter of 2024.</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color w:val="00539B"/>
        </w:rPr>
        <w:t>SHAREHOLDER RETURNS</w:t>
      </w:r>
    </w:p>
    <w:p>
      <w:pPr>
        <w:spacing w:after="0" w:line="15" w:lineRule="exact"/>
        <w:rPr>
          <w:sz w:val="20"/>
          <w:szCs w:val="20"/>
          <w:color w:val="auto"/>
        </w:rPr>
      </w:pPr>
    </w:p>
    <w:p>
      <w:pPr>
        <w:jc w:val="both"/>
        <w:ind w:firstLine="240"/>
        <w:spacing w:after="0" w:line="247" w:lineRule="auto"/>
        <w:rPr>
          <w:sz w:val="20"/>
          <w:szCs w:val="20"/>
          <w:color w:val="auto"/>
        </w:rPr>
      </w:pPr>
      <w:r>
        <w:rPr>
          <w:rFonts w:ascii="Arial" w:cs="Arial" w:eastAsia="Arial" w:hAnsi="Arial"/>
          <w:sz w:val="17"/>
          <w:szCs w:val="17"/>
          <w:color w:val="auto"/>
        </w:rPr>
        <w:t>During the six months ended June 30, 2023, Occidental declared dividends to common shareholders of $325 million or $0.36 per share and repurchased 19.7 million common shares at an average price of $59.61 per share under the stock repurchase plan announced in February 2023.</w:t>
      </w:r>
    </w:p>
    <w:p>
      <w:pPr>
        <w:spacing w:after="0" w:line="1" w:lineRule="exact"/>
        <w:rPr>
          <w:sz w:val="20"/>
          <w:szCs w:val="20"/>
          <w:color w:val="auto"/>
        </w:rPr>
      </w:pPr>
    </w:p>
    <w:p>
      <w:pPr>
        <w:jc w:val="both"/>
        <w:ind w:firstLine="240"/>
        <w:spacing w:after="0" w:line="250" w:lineRule="auto"/>
        <w:rPr>
          <w:sz w:val="20"/>
          <w:szCs w:val="20"/>
          <w:color w:val="auto"/>
        </w:rPr>
      </w:pPr>
      <w:r>
        <w:rPr>
          <w:rFonts w:ascii="Arial" w:cs="Arial" w:eastAsia="Arial" w:hAnsi="Arial"/>
          <w:sz w:val="17"/>
          <w:szCs w:val="17"/>
          <w:color w:val="auto"/>
        </w:rPr>
        <w:t>In the three months ended June 30, 2023, Occidental triggered the redemption of preferred stock with a face value of $522 million, and an additional $52 million premium. Occidental triggered the redemption of preferred stock of $1.3 billion, inclusive of a 10% premium, in the six months ended June 30, 2023. Of this amount, $304 million, inclusive of a 10% premium, was settled in cash subsequent to June 30, 2023 but before the date of this filing. To the extent Occidental's trailing 12-month distributions to common shareholders remain above $4.00 per share, Occidental is required to continue to match any common shareholder distributions with preferred stock redemptions. As of the date of this filing, approximately $8.8 billion face value of preferred stock remains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715962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25" w:right="339" w:bottom="1440" w:gutter="0" w:footer="0" w:header="0"/>
          <w:type w:val="continuous"/>
        </w:sectPr>
      </w:pPr>
    </w:p>
    <w:bookmarkStart w:id="29" w:name="page30"/>
    <w:bookmarkEnd w:id="29"/>
    <w:p>
      <w:pPr>
        <w:ind w:left="20"/>
        <w:spacing w:after="0"/>
        <w:rPr>
          <w:sz w:val="20"/>
          <w:szCs w:val="20"/>
          <w:color w:val="auto"/>
        </w:rPr>
      </w:pPr>
      <w:r>
        <w:rPr>
          <w:rFonts w:ascii="Arial" w:cs="Arial" w:eastAsia="Arial" w:hAnsi="Arial"/>
          <w:sz w:val="25"/>
          <w:szCs w:val="25"/>
          <w:b w:val="1"/>
          <w:bCs w:val="1"/>
          <w:color w:val="00539B"/>
        </w:rPr>
        <w:t>CONSOLIDATED RESULTS OF OPERATIONS AND ITEMS AFFECTING COMPARABILITY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-180975</wp:posOffset>
            </wp:positionV>
            <wp:extent cx="713422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4225" cy="17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30480</wp:posOffset>
            </wp:positionV>
            <wp:extent cx="713422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pacing w:after="0" w:line="357" w:lineRule="exact"/>
        <w:rPr>
          <w:sz w:val="20"/>
          <w:szCs w:val="20"/>
          <w:color w:val="auto"/>
        </w:rPr>
      </w:pPr>
    </w:p>
    <w:p>
      <w:pPr>
        <w:jc w:val="both"/>
        <w:ind w:firstLine="240"/>
        <w:spacing w:after="0" w:line="253" w:lineRule="auto"/>
        <w:rPr>
          <w:sz w:val="20"/>
          <w:szCs w:val="20"/>
          <w:color w:val="auto"/>
        </w:rPr>
      </w:pPr>
      <w:r>
        <w:rPr>
          <w:rFonts w:ascii="Arial" w:cs="Arial" w:eastAsia="Arial" w:hAnsi="Arial"/>
          <w:sz w:val="17"/>
          <w:szCs w:val="17"/>
          <w:color w:val="auto"/>
        </w:rPr>
        <w:t>Occidental’s operations and cash flows can vary significantly based on changes in oil, NGL and natural gas prices and the prices it receives for its chemical products. Such changes in prices could result in adjustments in capital investment levels and how such capital is allocated, which could impact production volumes. Significant changes have occurred in the macro-economic environment over the previous year, which have impacted energy demand leading to decreases in commodity prices and chemical product pricing, and correspondingly Occidental's results of operations and cash flows. Occidental's results of operations and cash flows are primarily driven by these macro-economic effects. Seasonality is not a primary driver of changes in Occidental's consolidated quarterly earnings during the year.</w:t>
      </w:r>
    </w:p>
    <w:p>
      <w:pPr>
        <w:spacing w:after="0" w:line="218" w:lineRule="exact"/>
        <w:rPr>
          <w:sz w:val="20"/>
          <w:szCs w:val="20"/>
          <w:color w:val="auto"/>
        </w:rPr>
      </w:pPr>
    </w:p>
    <w:p>
      <w:pPr>
        <w:ind w:left="240"/>
        <w:spacing w:after="0"/>
        <w:rPr>
          <w:sz w:val="20"/>
          <w:szCs w:val="20"/>
          <w:color w:val="auto"/>
        </w:rPr>
      </w:pPr>
      <w:r>
        <w:rPr>
          <w:rFonts w:ascii="Arial" w:cs="Arial" w:eastAsia="Arial" w:hAnsi="Arial"/>
          <w:sz w:val="17"/>
          <w:szCs w:val="17"/>
          <w:color w:val="auto"/>
        </w:rPr>
        <w:t>The following table sets forth earnings of each operating segment and corporate items: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280" w:type="dxa"/>
            <w:vAlign w:val="bottom"/>
            <w:tcBorders>
              <w:top w:val="single" w:sz="8" w:color="auto"/>
            </w:tcBorders>
            <w:vMerge w:val="restart"/>
          </w:tcPr>
          <w:p>
            <w:pPr>
              <w:ind w:left="20"/>
              <w:spacing w:after="0"/>
              <w:rPr>
                <w:sz w:val="20"/>
                <w:szCs w:val="20"/>
                <w:color w:val="auto"/>
              </w:rPr>
            </w:pPr>
            <w:r>
              <w:rPr>
                <w:rFonts w:ascii="Arial" w:cs="Arial" w:eastAsia="Arial" w:hAnsi="Arial"/>
                <w:sz w:val="17"/>
                <w:szCs w:val="17"/>
                <w:i w:val="1"/>
                <w:iCs w:val="1"/>
                <w:color w:val="auto"/>
              </w:rPr>
              <w:t>millions</w:t>
            </w:r>
          </w:p>
        </w:tc>
        <w:tc>
          <w:tcPr>
            <w:tcW w:w="480" w:type="dxa"/>
            <w:vAlign w:val="bottom"/>
            <w:tcBorders>
              <w:top w:val="single" w:sz="8" w:color="auto"/>
            </w:tcBorders>
          </w:tcPr>
          <w:p>
            <w:pPr>
              <w:spacing w:after="0"/>
              <w:rPr>
                <w:sz w:val="15"/>
                <w:szCs w:val="15"/>
                <w:color w:val="auto"/>
              </w:rPr>
            </w:pPr>
          </w:p>
        </w:tc>
        <w:tc>
          <w:tcPr>
            <w:tcW w:w="2040" w:type="dxa"/>
            <w:vAlign w:val="bottom"/>
            <w:tcBorders>
              <w:top w:val="single" w:sz="8" w:color="auto"/>
            </w:tcBorders>
          </w:tcPr>
          <w:p>
            <w:pPr>
              <w:jc w:val="right"/>
              <w:ind w:right="136"/>
              <w:spacing w:after="0" w:line="173" w:lineRule="exact"/>
              <w:rPr>
                <w:sz w:val="20"/>
                <w:szCs w:val="20"/>
                <w:color w:val="auto"/>
              </w:rPr>
            </w:pPr>
            <w:r>
              <w:rPr>
                <w:rFonts w:ascii="Arial" w:cs="Arial" w:eastAsia="Arial" w:hAnsi="Arial"/>
                <w:sz w:val="17"/>
                <w:szCs w:val="17"/>
                <w:b w:val="1"/>
                <w:bCs w:val="1"/>
                <w:color w:val="00539B"/>
              </w:rPr>
              <w:t>Three months ended</w:t>
            </w:r>
          </w:p>
        </w:tc>
        <w:tc>
          <w:tcPr>
            <w:tcW w:w="1020" w:type="dxa"/>
            <w:vAlign w:val="bottom"/>
            <w:tcBorders>
              <w:top w:val="single" w:sz="8" w:color="auto"/>
            </w:tcBorders>
            <w:vMerge w:val="restart"/>
          </w:tcPr>
          <w:p>
            <w:pPr>
              <w:jc w:val="right"/>
              <w:spacing w:after="0"/>
              <w:rPr>
                <w:sz w:val="20"/>
                <w:szCs w:val="20"/>
                <w:color w:val="auto"/>
              </w:rPr>
            </w:pPr>
            <w:r>
              <w:rPr>
                <w:rFonts w:ascii="Arial" w:cs="Arial" w:eastAsia="Arial" w:hAnsi="Arial"/>
                <w:sz w:val="17"/>
                <w:szCs w:val="17"/>
                <w:color w:val="auto"/>
              </w:rPr>
              <w:t>% Change</w:t>
            </w:r>
          </w:p>
        </w:tc>
        <w:tc>
          <w:tcPr>
            <w:tcW w:w="320" w:type="dxa"/>
            <w:vAlign w:val="bottom"/>
            <w:tcBorders>
              <w:top w:val="single" w:sz="8" w:color="auto"/>
            </w:tcBorders>
          </w:tcPr>
          <w:p>
            <w:pPr>
              <w:spacing w:after="0"/>
              <w:rPr>
                <w:sz w:val="15"/>
                <w:szCs w:val="15"/>
                <w:color w:val="auto"/>
              </w:rPr>
            </w:pPr>
          </w:p>
        </w:tc>
        <w:tc>
          <w:tcPr>
            <w:tcW w:w="1780" w:type="dxa"/>
            <w:vAlign w:val="bottom"/>
            <w:tcBorders>
              <w:top w:val="single" w:sz="8" w:color="auto"/>
            </w:tcBorders>
          </w:tcPr>
          <w:p>
            <w:pPr>
              <w:jc w:val="right"/>
              <w:spacing w:after="0" w:line="173" w:lineRule="exact"/>
              <w:rPr>
                <w:sz w:val="20"/>
                <w:szCs w:val="20"/>
                <w:color w:val="auto"/>
              </w:rPr>
            </w:pPr>
            <w:r>
              <w:rPr>
                <w:rFonts w:ascii="Arial" w:cs="Arial" w:eastAsia="Arial" w:hAnsi="Arial"/>
                <w:sz w:val="17"/>
                <w:szCs w:val="17"/>
                <w:color w:val="auto"/>
              </w:rPr>
              <w:t>Three months ended</w:t>
            </w:r>
          </w:p>
        </w:tc>
        <w:tc>
          <w:tcPr>
            <w:tcW w:w="0" w:type="dxa"/>
            <w:vAlign w:val="bottom"/>
          </w:tcPr>
          <w:p>
            <w:pPr>
              <w:spacing w:after="0"/>
              <w:rPr>
                <w:sz w:val="1"/>
                <w:szCs w:val="1"/>
                <w:color w:val="auto"/>
              </w:rPr>
            </w:pPr>
          </w:p>
        </w:tc>
      </w:tr>
      <w:tr>
        <w:trPr>
          <w:trHeight w:val="213"/>
        </w:trPr>
        <w:tc>
          <w:tcPr>
            <w:tcW w:w="5280" w:type="dxa"/>
            <w:vAlign w:val="bottom"/>
            <w:tcBorders>
              <w:bottom w:val="single" w:sz="8" w:color="auto"/>
            </w:tcBorders>
            <w:vMerge w:val="continue"/>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tcPr>
          <w:p>
            <w:pPr>
              <w:jc w:val="right"/>
              <w:ind w:right="136"/>
              <w:spacing w:after="0"/>
              <w:rPr>
                <w:sz w:val="20"/>
                <w:szCs w:val="20"/>
                <w:color w:val="auto"/>
              </w:rPr>
            </w:pPr>
            <w:r>
              <w:rPr>
                <w:rFonts w:ascii="Arial" w:cs="Arial" w:eastAsia="Arial" w:hAnsi="Arial"/>
                <w:sz w:val="17"/>
                <w:szCs w:val="17"/>
                <w:b w:val="1"/>
                <w:bCs w:val="1"/>
                <w:color w:val="00539B"/>
              </w:rPr>
              <w:t>June 30, 2023</w:t>
            </w:r>
          </w:p>
        </w:tc>
        <w:tc>
          <w:tcPr>
            <w:tcW w:w="1020" w:type="dxa"/>
            <w:vAlign w:val="bottom"/>
            <w:tcBorders>
              <w:bottom w:val="single" w:sz="8" w:color="auto"/>
            </w:tcBorders>
            <w:vMerge w:val="continue"/>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March 31, 2023</w:t>
            </w:r>
          </w:p>
        </w:tc>
        <w:tc>
          <w:tcPr>
            <w:tcW w:w="0" w:type="dxa"/>
            <w:vAlign w:val="bottom"/>
          </w:tcPr>
          <w:p>
            <w:pPr>
              <w:spacing w:after="0"/>
              <w:rPr>
                <w:sz w:val="1"/>
                <w:szCs w:val="1"/>
                <w:color w:val="auto"/>
              </w:rPr>
            </w:pPr>
          </w:p>
        </w:tc>
      </w:tr>
      <w:tr>
        <w:trPr>
          <w:trHeight w:val="215"/>
        </w:trPr>
        <w:tc>
          <w:tcPr>
            <w:tcW w:w="5280" w:type="dxa"/>
            <w:vAlign w:val="bottom"/>
          </w:tcPr>
          <w:p>
            <w:pPr>
              <w:ind w:left="20"/>
              <w:spacing w:after="0"/>
              <w:rPr>
                <w:sz w:val="20"/>
                <w:szCs w:val="20"/>
                <w:color w:val="auto"/>
              </w:rPr>
            </w:pPr>
            <w:r>
              <w:rPr>
                <w:rFonts w:ascii="Arial" w:cs="Arial" w:eastAsia="Arial" w:hAnsi="Arial"/>
                <w:sz w:val="17"/>
                <w:szCs w:val="17"/>
                <w:b w:val="1"/>
                <w:bCs w:val="1"/>
                <w:color w:val="auto"/>
              </w:rPr>
              <w:t>Net income</w:t>
            </w:r>
          </w:p>
        </w:tc>
        <w:tc>
          <w:tcPr>
            <w:tcW w:w="480" w:type="dxa"/>
            <w:vAlign w:val="bottom"/>
            <w:vMerge w:val="restart"/>
          </w:tcPr>
          <w:p>
            <w:pPr>
              <w:jc w:val="right"/>
              <w:ind w:right="56"/>
              <w:spacing w:after="0"/>
              <w:rPr>
                <w:sz w:val="20"/>
                <w:szCs w:val="20"/>
                <w:color w:val="auto"/>
              </w:rPr>
            </w:pPr>
            <w:r>
              <w:rPr>
                <w:rFonts w:ascii="Arial" w:cs="Arial" w:eastAsia="Arial" w:hAnsi="Arial"/>
                <w:sz w:val="17"/>
                <w:szCs w:val="17"/>
                <w:b w:val="1"/>
                <w:bCs w:val="1"/>
                <w:color w:val="00539B"/>
              </w:rPr>
              <w:t>$</w:t>
            </w:r>
          </w:p>
        </w:tc>
        <w:tc>
          <w:tcPr>
            <w:tcW w:w="2040" w:type="dxa"/>
            <w:vAlign w:val="bottom"/>
            <w:vMerge w:val="restart"/>
          </w:tcPr>
          <w:p>
            <w:pPr>
              <w:jc w:val="right"/>
              <w:ind w:right="196"/>
              <w:spacing w:after="0"/>
              <w:rPr>
                <w:sz w:val="20"/>
                <w:szCs w:val="20"/>
                <w:color w:val="auto"/>
              </w:rPr>
            </w:pPr>
            <w:r>
              <w:rPr>
                <w:rFonts w:ascii="Arial" w:cs="Arial" w:eastAsia="Arial" w:hAnsi="Arial"/>
                <w:sz w:val="17"/>
                <w:szCs w:val="17"/>
                <w:b w:val="1"/>
                <w:bCs w:val="1"/>
                <w:color w:val="00539B"/>
              </w:rPr>
              <w:t>1,059</w:t>
            </w: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280" w:type="dxa"/>
            <w:vAlign w:val="bottom"/>
          </w:tcPr>
          <w:p>
            <w:pPr>
              <w:ind w:left="220"/>
              <w:spacing w:after="0" w:line="219" w:lineRule="exact"/>
              <w:rPr>
                <w:sz w:val="20"/>
                <w:szCs w:val="20"/>
                <w:color w:val="auto"/>
              </w:rPr>
            </w:pPr>
            <w:r>
              <w:rPr>
                <w:rFonts w:ascii="Arial" w:cs="Arial" w:eastAsia="Arial" w:hAnsi="Arial"/>
                <w:sz w:val="17"/>
                <w:szCs w:val="17"/>
                <w:color w:val="auto"/>
              </w:rPr>
              <w:t xml:space="preserve">Oil and gas </w:t>
            </w:r>
            <w:r>
              <w:rPr>
                <w:rFonts w:ascii="Arial" w:cs="Arial" w:eastAsia="Arial" w:hAnsi="Arial"/>
                <w:sz w:val="21"/>
                <w:szCs w:val="21"/>
                <w:color w:val="auto"/>
                <w:vertAlign w:val="superscript"/>
              </w:rPr>
              <w:t>(a)</w:t>
            </w:r>
          </w:p>
        </w:tc>
        <w:tc>
          <w:tcPr>
            <w:tcW w:w="480" w:type="dxa"/>
            <w:vAlign w:val="bottom"/>
            <w:vMerge w:val="continue"/>
          </w:tcPr>
          <w:p>
            <w:pPr>
              <w:spacing w:after="0"/>
              <w:rPr>
                <w:sz w:val="19"/>
                <w:szCs w:val="19"/>
                <w:color w:val="auto"/>
              </w:rPr>
            </w:pPr>
          </w:p>
        </w:tc>
        <w:tc>
          <w:tcPr>
            <w:tcW w:w="2040" w:type="dxa"/>
            <w:vAlign w:val="bottom"/>
            <w:vMerge w:val="continue"/>
          </w:tcPr>
          <w:p>
            <w:pPr>
              <w:spacing w:after="0"/>
              <w:rPr>
                <w:sz w:val="19"/>
                <w:szCs w:val="19"/>
                <w:color w:val="auto"/>
              </w:rPr>
            </w:pPr>
          </w:p>
        </w:tc>
        <w:tc>
          <w:tcPr>
            <w:tcW w:w="1340" w:type="dxa"/>
            <w:vAlign w:val="bottom"/>
            <w:gridSpan w:val="2"/>
          </w:tcPr>
          <w:p>
            <w:pPr>
              <w:jc w:val="right"/>
              <w:ind w:right="116"/>
              <w:spacing w:after="0"/>
              <w:rPr>
                <w:sz w:val="20"/>
                <w:szCs w:val="20"/>
                <w:color w:val="auto"/>
              </w:rPr>
            </w:pPr>
            <w:r>
              <w:rPr>
                <w:rFonts w:ascii="Arial" w:cs="Arial" w:eastAsia="Arial" w:hAnsi="Arial"/>
                <w:sz w:val="17"/>
                <w:szCs w:val="17"/>
                <w:color w:val="auto"/>
              </w:rPr>
              <w:t>(35)% $</w:t>
            </w:r>
          </w:p>
        </w:tc>
        <w:tc>
          <w:tcPr>
            <w:tcW w:w="1780" w:type="dxa"/>
            <w:vAlign w:val="bottom"/>
          </w:tcPr>
          <w:p>
            <w:pPr>
              <w:jc w:val="right"/>
              <w:spacing w:after="0"/>
              <w:rPr>
                <w:sz w:val="20"/>
                <w:szCs w:val="20"/>
                <w:color w:val="auto"/>
              </w:rPr>
            </w:pPr>
            <w:r>
              <w:rPr>
                <w:rFonts w:ascii="Arial" w:cs="Arial" w:eastAsia="Arial" w:hAnsi="Arial"/>
                <w:sz w:val="17"/>
                <w:szCs w:val="17"/>
                <w:color w:val="auto"/>
              </w:rPr>
              <w:t>1,640</w:t>
            </w:r>
          </w:p>
        </w:tc>
        <w:tc>
          <w:tcPr>
            <w:tcW w:w="0" w:type="dxa"/>
            <w:vAlign w:val="bottom"/>
          </w:tcPr>
          <w:p>
            <w:pPr>
              <w:spacing w:after="0"/>
              <w:rPr>
                <w:sz w:val="1"/>
                <w:szCs w:val="1"/>
                <w:color w:val="auto"/>
              </w:rPr>
            </w:pPr>
          </w:p>
        </w:tc>
      </w:tr>
      <w:tr>
        <w:trPr>
          <w:trHeight w:val="213"/>
        </w:trPr>
        <w:tc>
          <w:tcPr>
            <w:tcW w:w="5280" w:type="dxa"/>
            <w:vAlign w:val="bottom"/>
          </w:tcPr>
          <w:p>
            <w:pPr>
              <w:ind w:left="220"/>
              <w:spacing w:after="0"/>
              <w:rPr>
                <w:sz w:val="20"/>
                <w:szCs w:val="20"/>
                <w:color w:val="auto"/>
              </w:rPr>
            </w:pPr>
            <w:r>
              <w:rPr>
                <w:rFonts w:ascii="Arial" w:cs="Arial" w:eastAsia="Arial" w:hAnsi="Arial"/>
                <w:sz w:val="17"/>
                <w:szCs w:val="17"/>
                <w:color w:val="auto"/>
              </w:rPr>
              <w:t>Chemical</w:t>
            </w:r>
          </w:p>
        </w:tc>
        <w:tc>
          <w:tcPr>
            <w:tcW w:w="480" w:type="dxa"/>
            <w:vAlign w:val="bottom"/>
          </w:tcPr>
          <w:p>
            <w:pPr>
              <w:spacing w:after="0"/>
              <w:rPr>
                <w:sz w:val="18"/>
                <w:szCs w:val="18"/>
                <w:color w:val="auto"/>
              </w:rPr>
            </w:pPr>
          </w:p>
        </w:tc>
        <w:tc>
          <w:tcPr>
            <w:tcW w:w="2040" w:type="dxa"/>
            <w:vAlign w:val="bottom"/>
          </w:tcPr>
          <w:p>
            <w:pPr>
              <w:jc w:val="right"/>
              <w:ind w:right="196"/>
              <w:spacing w:after="0"/>
              <w:rPr>
                <w:sz w:val="20"/>
                <w:szCs w:val="20"/>
                <w:color w:val="auto"/>
              </w:rPr>
            </w:pPr>
            <w:r>
              <w:rPr>
                <w:rFonts w:ascii="Arial" w:cs="Arial" w:eastAsia="Arial" w:hAnsi="Arial"/>
                <w:sz w:val="17"/>
                <w:szCs w:val="17"/>
                <w:b w:val="1"/>
                <w:bCs w:val="1"/>
                <w:color w:val="00539B"/>
              </w:rPr>
              <w:t>436</w:t>
            </w:r>
          </w:p>
        </w:tc>
        <w:tc>
          <w:tcPr>
            <w:tcW w:w="1020" w:type="dxa"/>
            <w:vAlign w:val="bottom"/>
          </w:tcPr>
          <w:p>
            <w:pPr>
              <w:jc w:val="right"/>
              <w:spacing w:after="0"/>
              <w:rPr>
                <w:sz w:val="20"/>
                <w:szCs w:val="20"/>
                <w:color w:val="auto"/>
              </w:rPr>
            </w:pPr>
            <w:r>
              <w:rPr>
                <w:rFonts w:ascii="Arial" w:cs="Arial" w:eastAsia="Arial" w:hAnsi="Arial"/>
                <w:sz w:val="17"/>
                <w:szCs w:val="17"/>
                <w:color w:val="auto"/>
              </w:rPr>
              <w:t>(8)%</w:t>
            </w:r>
          </w:p>
        </w:tc>
        <w:tc>
          <w:tcPr>
            <w:tcW w:w="32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7"/>
                <w:szCs w:val="17"/>
                <w:color w:val="auto"/>
              </w:rPr>
              <w:t>472</w:t>
            </w:r>
          </w:p>
        </w:tc>
        <w:tc>
          <w:tcPr>
            <w:tcW w:w="0" w:type="dxa"/>
            <w:vAlign w:val="bottom"/>
          </w:tcPr>
          <w:p>
            <w:pPr>
              <w:spacing w:after="0"/>
              <w:rPr>
                <w:sz w:val="1"/>
                <w:szCs w:val="1"/>
                <w:color w:val="auto"/>
              </w:rPr>
            </w:pPr>
          </w:p>
        </w:tc>
      </w:tr>
      <w:tr>
        <w:trPr>
          <w:trHeight w:val="240"/>
        </w:trPr>
        <w:tc>
          <w:tcPr>
            <w:tcW w:w="5280" w:type="dxa"/>
            <w:vAlign w:val="bottom"/>
            <w:tcBorders>
              <w:bottom w:val="single" w:sz="8" w:color="auto"/>
            </w:tcBorders>
          </w:tcPr>
          <w:p>
            <w:pPr>
              <w:ind w:left="220"/>
              <w:spacing w:after="0" w:line="240" w:lineRule="exact"/>
              <w:rPr>
                <w:sz w:val="20"/>
                <w:szCs w:val="20"/>
                <w:color w:val="auto"/>
              </w:rPr>
            </w:pPr>
            <w:r>
              <w:rPr>
                <w:rFonts w:ascii="Arial" w:cs="Arial" w:eastAsia="Arial" w:hAnsi="Arial"/>
                <w:sz w:val="17"/>
                <w:szCs w:val="17"/>
                <w:color w:val="auto"/>
              </w:rPr>
              <w:t xml:space="preserve">Midstream and marketing </w:t>
            </w:r>
            <w:r>
              <w:rPr>
                <w:rFonts w:ascii="Arial" w:cs="Arial" w:eastAsia="Arial" w:hAnsi="Arial"/>
                <w:sz w:val="21"/>
                <w:szCs w:val="21"/>
                <w:color w:val="auto"/>
                <w:vertAlign w:val="superscript"/>
              </w:rPr>
              <w:t>(a)</w:t>
            </w:r>
          </w:p>
        </w:tc>
        <w:tc>
          <w:tcPr>
            <w:tcW w:w="48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tcPr>
          <w:p>
            <w:pPr>
              <w:jc w:val="right"/>
              <w:ind w:right="136"/>
              <w:spacing w:after="0"/>
              <w:rPr>
                <w:sz w:val="20"/>
                <w:szCs w:val="20"/>
                <w:color w:val="auto"/>
              </w:rPr>
            </w:pPr>
            <w:r>
              <w:rPr>
                <w:rFonts w:ascii="Arial" w:cs="Arial" w:eastAsia="Arial" w:hAnsi="Arial"/>
                <w:sz w:val="17"/>
                <w:szCs w:val="17"/>
                <w:b w:val="1"/>
                <w:bCs w:val="1"/>
                <w:color w:val="00539B"/>
              </w:rPr>
              <w:t>(30)</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(1,600)%</w:t>
            </w:r>
          </w:p>
        </w:tc>
        <w:tc>
          <w:tcPr>
            <w:tcW w:w="3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20"/>
        </w:trPr>
        <w:tc>
          <w:tcPr>
            <w:tcW w:w="52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Total</w:t>
            </w:r>
          </w:p>
        </w:tc>
        <w:tc>
          <w:tcPr>
            <w:tcW w:w="48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ind w:right="196"/>
              <w:spacing w:after="0"/>
              <w:rPr>
                <w:sz w:val="20"/>
                <w:szCs w:val="20"/>
                <w:color w:val="auto"/>
              </w:rPr>
            </w:pPr>
            <w:r>
              <w:rPr>
                <w:rFonts w:ascii="Arial" w:cs="Arial" w:eastAsia="Arial" w:hAnsi="Arial"/>
                <w:sz w:val="17"/>
                <w:szCs w:val="17"/>
                <w:b w:val="1"/>
                <w:bCs w:val="1"/>
                <w:color w:val="00539B"/>
              </w:rPr>
              <w:t>1,465</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w:t>
            </w:r>
          </w:p>
        </w:tc>
        <w:tc>
          <w:tcPr>
            <w:tcW w:w="3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2,114</w:t>
            </w:r>
          </w:p>
        </w:tc>
        <w:tc>
          <w:tcPr>
            <w:tcW w:w="0" w:type="dxa"/>
            <w:vAlign w:val="bottom"/>
          </w:tcPr>
          <w:p>
            <w:pPr>
              <w:spacing w:after="0"/>
              <w:rPr>
                <w:sz w:val="1"/>
                <w:szCs w:val="1"/>
                <w:color w:val="auto"/>
              </w:rPr>
            </w:pPr>
          </w:p>
        </w:tc>
      </w:tr>
      <w:tr>
        <w:trPr>
          <w:trHeight w:val="202"/>
        </w:trPr>
        <w:tc>
          <w:tcPr>
            <w:tcW w:w="5280" w:type="dxa"/>
            <w:vAlign w:val="bottom"/>
          </w:tcPr>
          <w:p>
            <w:pPr>
              <w:ind w:left="20"/>
              <w:spacing w:after="0" w:line="202" w:lineRule="exact"/>
              <w:rPr>
                <w:sz w:val="20"/>
                <w:szCs w:val="20"/>
                <w:color w:val="auto"/>
              </w:rPr>
            </w:pPr>
            <w:r>
              <w:rPr>
                <w:rFonts w:ascii="Arial" w:cs="Arial" w:eastAsia="Arial" w:hAnsi="Arial"/>
                <w:sz w:val="17"/>
                <w:szCs w:val="17"/>
                <w:b w:val="1"/>
                <w:bCs w:val="1"/>
                <w:color w:val="auto"/>
              </w:rPr>
              <w:t xml:space="preserve">Unallocated Corporate Items </w:t>
            </w:r>
            <w:r>
              <w:rPr>
                <w:rFonts w:ascii="Arial" w:cs="Arial" w:eastAsia="Arial" w:hAnsi="Arial"/>
                <w:sz w:val="21"/>
                <w:szCs w:val="21"/>
                <w:b w:val="1"/>
                <w:bCs w:val="1"/>
                <w:color w:val="auto"/>
                <w:vertAlign w:val="superscript"/>
              </w:rPr>
              <w:t>(a)</w:t>
            </w:r>
          </w:p>
        </w:tc>
        <w:tc>
          <w:tcPr>
            <w:tcW w:w="480" w:type="dxa"/>
            <w:vAlign w:val="bottom"/>
          </w:tcPr>
          <w:p>
            <w:pPr>
              <w:spacing w:after="0"/>
              <w:rPr>
                <w:sz w:val="17"/>
                <w:szCs w:val="17"/>
                <w:color w:val="auto"/>
              </w:rPr>
            </w:pPr>
          </w:p>
        </w:tc>
        <w:tc>
          <w:tcPr>
            <w:tcW w:w="2040" w:type="dxa"/>
            <w:vAlign w:val="bottom"/>
            <w:vMerge w:val="restart"/>
          </w:tcPr>
          <w:p>
            <w:pPr>
              <w:jc w:val="right"/>
              <w:ind w:right="136"/>
              <w:spacing w:after="0"/>
              <w:rPr>
                <w:sz w:val="20"/>
                <w:szCs w:val="20"/>
                <w:color w:val="auto"/>
              </w:rPr>
            </w:pPr>
            <w:r>
              <w:rPr>
                <w:rFonts w:ascii="Arial" w:cs="Arial" w:eastAsia="Arial" w:hAnsi="Arial"/>
                <w:sz w:val="17"/>
                <w:szCs w:val="17"/>
                <w:b w:val="1"/>
                <w:bCs w:val="1"/>
                <w:color w:val="00539B"/>
              </w:rPr>
              <w:t>(230)</w:t>
            </w: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280" w:type="dxa"/>
            <w:vAlign w:val="bottom"/>
          </w:tcPr>
          <w:p>
            <w:pPr>
              <w:ind w:left="220"/>
              <w:spacing w:after="0"/>
              <w:rPr>
                <w:sz w:val="20"/>
                <w:szCs w:val="20"/>
                <w:color w:val="auto"/>
              </w:rPr>
            </w:pPr>
            <w:r>
              <w:rPr>
                <w:rFonts w:ascii="Arial" w:cs="Arial" w:eastAsia="Arial" w:hAnsi="Arial"/>
                <w:sz w:val="17"/>
                <w:szCs w:val="17"/>
                <w:color w:val="auto"/>
              </w:rPr>
              <w:t>Interest expense, net</w:t>
            </w:r>
          </w:p>
        </w:tc>
        <w:tc>
          <w:tcPr>
            <w:tcW w:w="480" w:type="dxa"/>
            <w:vAlign w:val="bottom"/>
          </w:tcPr>
          <w:p>
            <w:pPr>
              <w:spacing w:after="0"/>
              <w:rPr>
                <w:sz w:val="19"/>
                <w:szCs w:val="19"/>
                <w:color w:val="auto"/>
              </w:rPr>
            </w:pPr>
          </w:p>
        </w:tc>
        <w:tc>
          <w:tcPr>
            <w:tcW w:w="2040" w:type="dxa"/>
            <w:vAlign w:val="bottom"/>
            <w:vMerge w:val="continue"/>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3 %</w:t>
            </w:r>
          </w:p>
        </w:tc>
        <w:tc>
          <w:tcPr>
            <w:tcW w:w="3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7"/>
                <w:szCs w:val="17"/>
                <w:color w:val="auto"/>
              </w:rPr>
              <w:t>(238)</w:t>
            </w:r>
          </w:p>
        </w:tc>
        <w:tc>
          <w:tcPr>
            <w:tcW w:w="0" w:type="dxa"/>
            <w:vAlign w:val="bottom"/>
          </w:tcPr>
          <w:p>
            <w:pPr>
              <w:spacing w:after="0"/>
              <w:rPr>
                <w:sz w:val="1"/>
                <w:szCs w:val="1"/>
                <w:color w:val="auto"/>
              </w:rPr>
            </w:pPr>
          </w:p>
        </w:tc>
      </w:tr>
      <w:tr>
        <w:trPr>
          <w:trHeight w:val="227"/>
        </w:trPr>
        <w:tc>
          <w:tcPr>
            <w:tcW w:w="5280" w:type="dxa"/>
            <w:vAlign w:val="bottom"/>
          </w:tcPr>
          <w:p>
            <w:pPr>
              <w:ind w:left="220"/>
              <w:spacing w:after="0"/>
              <w:rPr>
                <w:sz w:val="20"/>
                <w:szCs w:val="20"/>
                <w:color w:val="auto"/>
              </w:rPr>
            </w:pPr>
            <w:r>
              <w:rPr>
                <w:rFonts w:ascii="Arial" w:cs="Arial" w:eastAsia="Arial" w:hAnsi="Arial"/>
                <w:sz w:val="17"/>
                <w:szCs w:val="17"/>
                <w:color w:val="auto"/>
              </w:rPr>
              <w:t>Income tax expense</w:t>
            </w:r>
          </w:p>
        </w:tc>
        <w:tc>
          <w:tcPr>
            <w:tcW w:w="480" w:type="dxa"/>
            <w:vAlign w:val="bottom"/>
          </w:tcPr>
          <w:p>
            <w:pPr>
              <w:spacing w:after="0"/>
              <w:rPr>
                <w:sz w:val="19"/>
                <w:szCs w:val="19"/>
                <w:color w:val="auto"/>
              </w:rPr>
            </w:pPr>
          </w:p>
        </w:tc>
        <w:tc>
          <w:tcPr>
            <w:tcW w:w="2040" w:type="dxa"/>
            <w:vAlign w:val="bottom"/>
          </w:tcPr>
          <w:p>
            <w:pPr>
              <w:jc w:val="right"/>
              <w:ind w:right="136"/>
              <w:spacing w:after="0"/>
              <w:rPr>
                <w:sz w:val="20"/>
                <w:szCs w:val="20"/>
                <w:color w:val="auto"/>
              </w:rPr>
            </w:pPr>
            <w:r>
              <w:rPr>
                <w:rFonts w:ascii="Arial" w:cs="Arial" w:eastAsia="Arial" w:hAnsi="Arial"/>
                <w:sz w:val="17"/>
                <w:szCs w:val="17"/>
                <w:b w:val="1"/>
                <w:bCs w:val="1"/>
                <w:color w:val="00539B"/>
              </w:rPr>
              <w:t>(467)</w:t>
            </w:r>
          </w:p>
        </w:tc>
        <w:tc>
          <w:tcPr>
            <w:tcW w:w="1020" w:type="dxa"/>
            <w:vAlign w:val="bottom"/>
          </w:tcPr>
          <w:p>
            <w:pPr>
              <w:jc w:val="right"/>
              <w:spacing w:after="0"/>
              <w:rPr>
                <w:sz w:val="20"/>
                <w:szCs w:val="20"/>
                <w:color w:val="auto"/>
              </w:rPr>
            </w:pPr>
            <w:r>
              <w:rPr>
                <w:rFonts w:ascii="Arial" w:cs="Arial" w:eastAsia="Arial" w:hAnsi="Arial"/>
                <w:sz w:val="17"/>
                <w:szCs w:val="17"/>
                <w:color w:val="auto"/>
              </w:rPr>
              <w:t>1 %</w:t>
            </w:r>
          </w:p>
        </w:tc>
        <w:tc>
          <w:tcPr>
            <w:tcW w:w="3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7"/>
                <w:szCs w:val="17"/>
                <w:color w:val="auto"/>
              </w:rPr>
              <w:t>(471)</w:t>
            </w:r>
          </w:p>
        </w:tc>
        <w:tc>
          <w:tcPr>
            <w:tcW w:w="0" w:type="dxa"/>
            <w:vAlign w:val="bottom"/>
          </w:tcPr>
          <w:p>
            <w:pPr>
              <w:spacing w:after="0"/>
              <w:rPr>
                <w:sz w:val="1"/>
                <w:szCs w:val="1"/>
                <w:color w:val="auto"/>
              </w:rPr>
            </w:pPr>
          </w:p>
        </w:tc>
      </w:tr>
      <w:tr>
        <w:trPr>
          <w:trHeight w:val="226"/>
        </w:trPr>
        <w:tc>
          <w:tcPr>
            <w:tcW w:w="528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Other items, net</w:t>
            </w:r>
          </w:p>
        </w:tc>
        <w:tc>
          <w:tcPr>
            <w:tcW w:w="48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ind w:right="196"/>
              <w:spacing w:after="0"/>
              <w:rPr>
                <w:sz w:val="20"/>
                <w:szCs w:val="20"/>
                <w:color w:val="auto"/>
              </w:rPr>
            </w:pPr>
            <w:r>
              <w:rPr>
                <w:rFonts w:ascii="Arial" w:cs="Arial" w:eastAsia="Arial" w:hAnsi="Arial"/>
                <w:sz w:val="17"/>
                <w:szCs w:val="17"/>
                <w:b w:val="1"/>
                <w:bCs w:val="1"/>
                <w:color w:val="00539B"/>
              </w:rPr>
              <w:t>92</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165 %</w:t>
            </w:r>
          </w:p>
        </w:tc>
        <w:tc>
          <w:tcPr>
            <w:tcW w:w="3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(142)</w:t>
            </w:r>
          </w:p>
        </w:tc>
        <w:tc>
          <w:tcPr>
            <w:tcW w:w="0" w:type="dxa"/>
            <w:vAlign w:val="bottom"/>
          </w:tcPr>
          <w:p>
            <w:pPr>
              <w:spacing w:after="0"/>
              <w:rPr>
                <w:sz w:val="1"/>
                <w:szCs w:val="1"/>
                <w:color w:val="auto"/>
              </w:rPr>
            </w:pPr>
          </w:p>
        </w:tc>
      </w:tr>
      <w:tr>
        <w:trPr>
          <w:trHeight w:val="207"/>
        </w:trPr>
        <w:tc>
          <w:tcPr>
            <w:tcW w:w="5280" w:type="dxa"/>
            <w:vAlign w:val="bottom"/>
          </w:tcPr>
          <w:p>
            <w:pPr>
              <w:ind w:left="20"/>
              <w:spacing w:after="0"/>
              <w:rPr>
                <w:sz w:val="20"/>
                <w:szCs w:val="20"/>
                <w:color w:val="auto"/>
              </w:rPr>
            </w:pPr>
            <w:r>
              <w:rPr>
                <w:rFonts w:ascii="Arial" w:cs="Arial" w:eastAsia="Arial" w:hAnsi="Arial"/>
                <w:sz w:val="17"/>
                <w:szCs w:val="17"/>
                <w:color w:val="auto"/>
              </w:rPr>
              <w:t>Net income</w:t>
            </w:r>
          </w:p>
        </w:tc>
        <w:tc>
          <w:tcPr>
            <w:tcW w:w="480" w:type="dxa"/>
            <w:vAlign w:val="bottom"/>
          </w:tcPr>
          <w:p>
            <w:pPr>
              <w:jc w:val="right"/>
              <w:ind w:right="56"/>
              <w:spacing w:after="0"/>
              <w:rPr>
                <w:sz w:val="20"/>
                <w:szCs w:val="20"/>
                <w:color w:val="auto"/>
              </w:rPr>
            </w:pPr>
            <w:r>
              <w:rPr>
                <w:rFonts w:ascii="Arial" w:cs="Arial" w:eastAsia="Arial" w:hAnsi="Arial"/>
                <w:sz w:val="17"/>
                <w:szCs w:val="17"/>
                <w:b w:val="1"/>
                <w:bCs w:val="1"/>
                <w:color w:val="00539B"/>
              </w:rPr>
              <w:t>$</w:t>
            </w:r>
          </w:p>
        </w:tc>
        <w:tc>
          <w:tcPr>
            <w:tcW w:w="2040" w:type="dxa"/>
            <w:vAlign w:val="bottom"/>
          </w:tcPr>
          <w:p>
            <w:pPr>
              <w:jc w:val="right"/>
              <w:ind w:right="196"/>
              <w:spacing w:after="0"/>
              <w:rPr>
                <w:sz w:val="20"/>
                <w:szCs w:val="20"/>
                <w:color w:val="auto"/>
              </w:rPr>
            </w:pPr>
            <w:r>
              <w:rPr>
                <w:rFonts w:ascii="Arial" w:cs="Arial" w:eastAsia="Arial" w:hAnsi="Arial"/>
                <w:sz w:val="17"/>
                <w:szCs w:val="17"/>
                <w:b w:val="1"/>
                <w:bCs w:val="1"/>
                <w:color w:val="00539B"/>
              </w:rPr>
              <w:t>860</w:t>
            </w:r>
          </w:p>
        </w:tc>
        <w:tc>
          <w:tcPr>
            <w:tcW w:w="1020" w:type="dxa"/>
            <w:vAlign w:val="bottom"/>
          </w:tcPr>
          <w:p>
            <w:pPr>
              <w:jc w:val="right"/>
              <w:spacing w:after="0"/>
              <w:rPr>
                <w:sz w:val="20"/>
                <w:szCs w:val="20"/>
                <w:color w:val="auto"/>
              </w:rPr>
            </w:pPr>
            <w:r>
              <w:rPr>
                <w:rFonts w:ascii="Arial" w:cs="Arial" w:eastAsia="Arial" w:hAnsi="Arial"/>
                <w:sz w:val="17"/>
                <w:szCs w:val="17"/>
                <w:color w:val="auto"/>
              </w:rPr>
              <w:t>(32)%</w:t>
            </w:r>
          </w:p>
        </w:tc>
        <w:tc>
          <w:tcPr>
            <w:tcW w:w="320" w:type="dxa"/>
            <w:vAlign w:val="bottom"/>
          </w:tcPr>
          <w:p>
            <w:pPr>
              <w:jc w:val="right"/>
              <w:ind w:right="116"/>
              <w:spacing w:after="0"/>
              <w:rPr>
                <w:sz w:val="20"/>
                <w:szCs w:val="20"/>
                <w:color w:val="auto"/>
              </w:rPr>
            </w:pPr>
            <w:r>
              <w:rPr>
                <w:rFonts w:ascii="Arial" w:cs="Arial" w:eastAsia="Arial" w:hAnsi="Arial"/>
                <w:sz w:val="17"/>
                <w:szCs w:val="17"/>
                <w:color w:val="auto"/>
              </w:rPr>
              <w:t>$</w:t>
            </w:r>
          </w:p>
        </w:tc>
        <w:tc>
          <w:tcPr>
            <w:tcW w:w="1780" w:type="dxa"/>
            <w:vAlign w:val="bottom"/>
          </w:tcPr>
          <w:p>
            <w:pPr>
              <w:jc w:val="right"/>
              <w:spacing w:after="0"/>
              <w:rPr>
                <w:sz w:val="20"/>
                <w:szCs w:val="20"/>
                <w:color w:val="auto"/>
              </w:rPr>
            </w:pPr>
            <w:r>
              <w:rPr>
                <w:rFonts w:ascii="Arial" w:cs="Arial" w:eastAsia="Arial" w:hAnsi="Arial"/>
                <w:sz w:val="17"/>
                <w:szCs w:val="17"/>
                <w:color w:val="auto"/>
              </w:rPr>
              <w:t>1,263</w:t>
            </w:r>
          </w:p>
        </w:tc>
        <w:tc>
          <w:tcPr>
            <w:tcW w:w="0" w:type="dxa"/>
            <w:vAlign w:val="bottom"/>
          </w:tcPr>
          <w:p>
            <w:pPr>
              <w:spacing w:after="0"/>
              <w:rPr>
                <w:sz w:val="1"/>
                <w:szCs w:val="1"/>
                <w:color w:val="auto"/>
              </w:rPr>
            </w:pPr>
          </w:p>
        </w:tc>
      </w:tr>
      <w:tr>
        <w:trPr>
          <w:trHeight w:val="237"/>
        </w:trPr>
        <w:tc>
          <w:tcPr>
            <w:tcW w:w="528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Less: Preferred stock dividends and redemption premiums</w:t>
            </w:r>
          </w:p>
        </w:tc>
        <w:tc>
          <w:tcPr>
            <w:tcW w:w="48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b w:val="1"/>
                <w:bCs w:val="1"/>
                <w:color w:val="00539B"/>
              </w:rPr>
              <w:t>$</w:t>
            </w:r>
          </w:p>
        </w:tc>
        <w:tc>
          <w:tcPr>
            <w:tcW w:w="2040" w:type="dxa"/>
            <w:vAlign w:val="bottom"/>
            <w:tcBorders>
              <w:bottom w:val="single" w:sz="8" w:color="auto"/>
            </w:tcBorders>
          </w:tcPr>
          <w:p>
            <w:pPr>
              <w:jc w:val="right"/>
              <w:ind w:right="136"/>
              <w:spacing w:after="0"/>
              <w:rPr>
                <w:sz w:val="20"/>
                <w:szCs w:val="20"/>
                <w:color w:val="auto"/>
              </w:rPr>
            </w:pPr>
            <w:r>
              <w:rPr>
                <w:rFonts w:ascii="Arial" w:cs="Arial" w:eastAsia="Arial" w:hAnsi="Arial"/>
                <w:sz w:val="17"/>
                <w:szCs w:val="17"/>
                <w:b w:val="1"/>
                <w:bCs w:val="1"/>
                <w:color w:val="00539B"/>
              </w:rPr>
              <w:t>(255)</w:t>
            </w:r>
          </w:p>
        </w:tc>
        <w:tc>
          <w:tcPr>
            <w:tcW w:w="1340" w:type="dxa"/>
            <w:vAlign w:val="bottom"/>
            <w:tcBorders>
              <w:bottom w:val="single" w:sz="8" w:color="auto"/>
            </w:tcBorders>
            <w:gridSpan w:val="2"/>
          </w:tcPr>
          <w:p>
            <w:pPr>
              <w:jc w:val="right"/>
              <w:ind w:right="116"/>
              <w:spacing w:after="0"/>
              <w:rPr>
                <w:sz w:val="20"/>
                <w:szCs w:val="20"/>
                <w:color w:val="auto"/>
              </w:rPr>
            </w:pPr>
            <w:r>
              <w:rPr>
                <w:rFonts w:ascii="Arial" w:cs="Arial" w:eastAsia="Arial" w:hAnsi="Arial"/>
                <w:sz w:val="17"/>
                <w:szCs w:val="17"/>
                <w:color w:val="auto"/>
              </w:rPr>
              <w:t>9 % $</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(280)</w:t>
            </w:r>
          </w:p>
        </w:tc>
        <w:tc>
          <w:tcPr>
            <w:tcW w:w="0" w:type="dxa"/>
            <w:vAlign w:val="bottom"/>
          </w:tcPr>
          <w:p>
            <w:pPr>
              <w:spacing w:after="0"/>
              <w:rPr>
                <w:sz w:val="1"/>
                <w:szCs w:val="1"/>
                <w:color w:val="auto"/>
              </w:rPr>
            </w:pPr>
          </w:p>
        </w:tc>
      </w:tr>
      <w:tr>
        <w:trPr>
          <w:trHeight w:val="209"/>
        </w:trPr>
        <w:tc>
          <w:tcPr>
            <w:tcW w:w="52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Net income attributable to common stockholders</w:t>
            </w:r>
          </w:p>
        </w:tc>
        <w:tc>
          <w:tcPr>
            <w:tcW w:w="48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b w:val="1"/>
                <w:bCs w:val="1"/>
                <w:color w:val="00539B"/>
              </w:rPr>
              <w:t>$</w:t>
            </w:r>
          </w:p>
        </w:tc>
        <w:tc>
          <w:tcPr>
            <w:tcW w:w="2040" w:type="dxa"/>
            <w:vAlign w:val="bottom"/>
            <w:tcBorders>
              <w:bottom w:val="single" w:sz="8" w:color="auto"/>
            </w:tcBorders>
          </w:tcPr>
          <w:p>
            <w:pPr>
              <w:jc w:val="right"/>
              <w:ind w:right="196"/>
              <w:spacing w:after="0"/>
              <w:rPr>
                <w:sz w:val="20"/>
                <w:szCs w:val="20"/>
                <w:color w:val="auto"/>
              </w:rPr>
            </w:pPr>
            <w:r>
              <w:rPr>
                <w:rFonts w:ascii="Arial" w:cs="Arial" w:eastAsia="Arial" w:hAnsi="Arial"/>
                <w:sz w:val="17"/>
                <w:szCs w:val="17"/>
                <w:b w:val="1"/>
                <w:bCs w:val="1"/>
                <w:color w:val="00539B"/>
              </w:rPr>
              <w:t>605</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w:t>
            </w:r>
          </w:p>
        </w:tc>
        <w:tc>
          <w:tcPr>
            <w:tcW w:w="320" w:type="dxa"/>
            <w:vAlign w:val="bottom"/>
            <w:tcBorders>
              <w:bottom w:val="single" w:sz="8" w:color="auto"/>
            </w:tcBorders>
          </w:tcPr>
          <w:p>
            <w:pPr>
              <w:jc w:val="right"/>
              <w:ind w:right="116"/>
              <w:spacing w:after="0"/>
              <w:rPr>
                <w:sz w:val="20"/>
                <w:szCs w:val="20"/>
                <w:color w:val="auto"/>
              </w:rPr>
            </w:pPr>
            <w:r>
              <w:rPr>
                <w:rFonts w:ascii="Arial" w:cs="Arial" w:eastAsia="Arial" w:hAnsi="Arial"/>
                <w:sz w:val="17"/>
                <w:szCs w:val="17"/>
                <w:color w:val="auto"/>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983</w:t>
            </w:r>
          </w:p>
        </w:tc>
        <w:tc>
          <w:tcPr>
            <w:tcW w:w="0" w:type="dxa"/>
            <w:vAlign w:val="bottom"/>
          </w:tcPr>
          <w:p>
            <w:pPr>
              <w:spacing w:after="0"/>
              <w:rPr>
                <w:sz w:val="1"/>
                <w:szCs w:val="1"/>
                <w:color w:val="auto"/>
              </w:rPr>
            </w:pPr>
          </w:p>
        </w:tc>
      </w:tr>
      <w:tr>
        <w:trPr>
          <w:trHeight w:val="260"/>
        </w:trPr>
        <w:tc>
          <w:tcPr>
            <w:tcW w:w="52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Net income per share attributable to common stockholders - diluted</w:t>
            </w:r>
          </w:p>
        </w:tc>
        <w:tc>
          <w:tcPr>
            <w:tcW w:w="48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b w:val="1"/>
                <w:bCs w:val="1"/>
                <w:color w:val="00539B"/>
              </w:rPr>
              <w:t>$</w:t>
            </w:r>
          </w:p>
        </w:tc>
        <w:tc>
          <w:tcPr>
            <w:tcW w:w="2040" w:type="dxa"/>
            <w:vAlign w:val="bottom"/>
            <w:tcBorders>
              <w:bottom w:val="single" w:sz="8" w:color="auto"/>
            </w:tcBorders>
          </w:tcPr>
          <w:p>
            <w:pPr>
              <w:jc w:val="right"/>
              <w:ind w:right="196"/>
              <w:spacing w:after="0"/>
              <w:rPr>
                <w:sz w:val="20"/>
                <w:szCs w:val="20"/>
                <w:color w:val="auto"/>
              </w:rPr>
            </w:pPr>
            <w:r>
              <w:rPr>
                <w:rFonts w:ascii="Arial" w:cs="Arial" w:eastAsia="Arial" w:hAnsi="Arial"/>
                <w:sz w:val="17"/>
                <w:szCs w:val="17"/>
                <w:b w:val="1"/>
                <w:bCs w:val="1"/>
                <w:color w:val="00539B"/>
              </w:rPr>
              <w:t>0.63</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w:t>
            </w:r>
          </w:p>
        </w:tc>
        <w:tc>
          <w:tcPr>
            <w:tcW w:w="320" w:type="dxa"/>
            <w:vAlign w:val="bottom"/>
            <w:tcBorders>
              <w:bottom w:val="single" w:sz="8" w:color="auto"/>
            </w:tcBorders>
          </w:tcPr>
          <w:p>
            <w:pPr>
              <w:jc w:val="right"/>
              <w:ind w:right="116"/>
              <w:spacing w:after="0"/>
              <w:rPr>
                <w:sz w:val="20"/>
                <w:szCs w:val="20"/>
                <w:color w:val="auto"/>
              </w:rPr>
            </w:pPr>
            <w:r>
              <w:rPr>
                <w:rFonts w:ascii="Arial" w:cs="Arial" w:eastAsia="Arial" w:hAnsi="Arial"/>
                <w:sz w:val="17"/>
                <w:szCs w:val="17"/>
                <w:color w:val="auto"/>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bl>
    <w:p>
      <w:pPr>
        <w:spacing w:after="0" w:line="83" w:lineRule="exact"/>
        <w:rPr>
          <w:sz w:val="20"/>
          <w:szCs w:val="20"/>
          <w:color w:val="auto"/>
        </w:rPr>
      </w:pPr>
    </w:p>
    <w:p>
      <w:pPr>
        <w:ind w:left="320" w:hanging="313"/>
        <w:spacing w:after="0" w:line="228" w:lineRule="auto"/>
        <w:tabs>
          <w:tab w:leader="none" w:pos="276" w:val="left"/>
        </w:tabs>
        <w:numPr>
          <w:ilvl w:val="0"/>
          <w:numId w:val="15"/>
        </w:numPr>
        <w:rPr>
          <w:rFonts w:ascii="Arial" w:cs="Arial" w:eastAsia="Arial" w:hAnsi="Arial"/>
          <w:sz w:val="21"/>
          <w:szCs w:val="21"/>
          <w:color w:val="auto"/>
          <w:vertAlign w:val="superscript"/>
        </w:rPr>
      </w:pPr>
      <w:r>
        <w:rPr>
          <w:rFonts w:ascii="Arial" w:cs="Arial" w:eastAsia="Arial" w:hAnsi="Arial"/>
          <w:sz w:val="16"/>
          <w:szCs w:val="16"/>
          <w:color w:val="auto"/>
        </w:rPr>
        <w:t>Refer to the Items Affecting Comparability table which sets forth items affecting Occidental's earnings that vary widely and unpredictably in nature, timing and amount.</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280" w:type="dxa"/>
            <w:vAlign w:val="bottom"/>
            <w:tcBorders>
              <w:top w:val="single" w:sz="8" w:color="auto"/>
            </w:tcBorders>
            <w:vMerge w:val="restart"/>
          </w:tcPr>
          <w:p>
            <w:pPr>
              <w:ind w:left="20"/>
              <w:spacing w:after="0"/>
              <w:rPr>
                <w:sz w:val="20"/>
                <w:szCs w:val="20"/>
                <w:color w:val="auto"/>
              </w:rPr>
            </w:pPr>
            <w:r>
              <w:rPr>
                <w:rFonts w:ascii="Arial" w:cs="Arial" w:eastAsia="Arial" w:hAnsi="Arial"/>
                <w:sz w:val="17"/>
                <w:szCs w:val="17"/>
                <w:i w:val="1"/>
                <w:iCs w:val="1"/>
                <w:color w:val="auto"/>
              </w:rPr>
              <w:t>millions</w:t>
            </w:r>
          </w:p>
        </w:tc>
        <w:tc>
          <w:tcPr>
            <w:tcW w:w="380" w:type="dxa"/>
            <w:vAlign w:val="bottom"/>
            <w:tcBorders>
              <w:top w:val="single" w:sz="8" w:color="auto"/>
            </w:tcBorders>
          </w:tcPr>
          <w:p>
            <w:pPr>
              <w:spacing w:after="0"/>
              <w:rPr>
                <w:sz w:val="15"/>
                <w:szCs w:val="15"/>
                <w:color w:val="auto"/>
              </w:rPr>
            </w:pPr>
          </w:p>
        </w:tc>
        <w:tc>
          <w:tcPr>
            <w:tcW w:w="2140" w:type="dxa"/>
            <w:vAlign w:val="bottom"/>
            <w:tcBorders>
              <w:top w:val="single" w:sz="8" w:color="auto"/>
            </w:tcBorders>
          </w:tcPr>
          <w:p>
            <w:pPr>
              <w:jc w:val="right"/>
              <w:ind w:right="136"/>
              <w:spacing w:after="0" w:line="174" w:lineRule="exact"/>
              <w:rPr>
                <w:sz w:val="20"/>
                <w:szCs w:val="20"/>
                <w:color w:val="auto"/>
              </w:rPr>
            </w:pPr>
            <w:r>
              <w:rPr>
                <w:rFonts w:ascii="Arial" w:cs="Arial" w:eastAsia="Arial" w:hAnsi="Arial"/>
                <w:sz w:val="17"/>
                <w:szCs w:val="17"/>
                <w:b w:val="1"/>
                <w:bCs w:val="1"/>
                <w:color w:val="00539B"/>
                <w:w w:val="99"/>
              </w:rPr>
              <w:t>Six months ended June</w:t>
            </w:r>
          </w:p>
        </w:tc>
        <w:tc>
          <w:tcPr>
            <w:tcW w:w="1020" w:type="dxa"/>
            <w:vAlign w:val="bottom"/>
            <w:tcBorders>
              <w:top w:val="single" w:sz="8" w:color="auto"/>
            </w:tcBorders>
          </w:tcPr>
          <w:p>
            <w:pPr>
              <w:spacing w:after="0"/>
              <w:rPr>
                <w:sz w:val="15"/>
                <w:szCs w:val="15"/>
                <w:color w:val="auto"/>
              </w:rPr>
            </w:pPr>
          </w:p>
        </w:tc>
        <w:tc>
          <w:tcPr>
            <w:tcW w:w="2100" w:type="dxa"/>
            <w:vAlign w:val="bottom"/>
            <w:tcBorders>
              <w:top w:val="single" w:sz="8" w:color="auto"/>
            </w:tcBorders>
            <w:gridSpan w:val="2"/>
          </w:tcPr>
          <w:p>
            <w:pPr>
              <w:jc w:val="right"/>
              <w:spacing w:after="0" w:line="174" w:lineRule="exact"/>
              <w:rPr>
                <w:sz w:val="20"/>
                <w:szCs w:val="20"/>
                <w:color w:val="auto"/>
              </w:rPr>
            </w:pPr>
            <w:r>
              <w:rPr>
                <w:rFonts w:ascii="Arial" w:cs="Arial" w:eastAsia="Arial" w:hAnsi="Arial"/>
                <w:sz w:val="17"/>
                <w:szCs w:val="17"/>
                <w:color w:val="auto"/>
                <w:w w:val="99"/>
              </w:rPr>
              <w:t>Six months ended June 30,</w:t>
            </w:r>
          </w:p>
        </w:tc>
        <w:tc>
          <w:tcPr>
            <w:tcW w:w="0" w:type="dxa"/>
            <w:vAlign w:val="bottom"/>
          </w:tcPr>
          <w:p>
            <w:pPr>
              <w:spacing w:after="0"/>
              <w:rPr>
                <w:sz w:val="1"/>
                <w:szCs w:val="1"/>
                <w:color w:val="auto"/>
              </w:rPr>
            </w:pPr>
          </w:p>
        </w:tc>
      </w:tr>
      <w:tr>
        <w:trPr>
          <w:trHeight w:val="226"/>
        </w:trPr>
        <w:tc>
          <w:tcPr>
            <w:tcW w:w="5280" w:type="dxa"/>
            <w:vAlign w:val="bottom"/>
            <w:tcBorders>
              <w:bottom w:val="single" w:sz="8" w:color="auto"/>
            </w:tcBorders>
            <w:vMerge w:val="continue"/>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tcPr>
          <w:p>
            <w:pPr>
              <w:jc w:val="right"/>
              <w:ind w:right="136"/>
              <w:spacing w:after="0"/>
              <w:rPr>
                <w:sz w:val="20"/>
                <w:szCs w:val="20"/>
                <w:color w:val="auto"/>
              </w:rPr>
            </w:pPr>
            <w:r>
              <w:rPr>
                <w:rFonts w:ascii="Arial" w:cs="Arial" w:eastAsia="Arial" w:hAnsi="Arial"/>
                <w:sz w:val="17"/>
                <w:szCs w:val="17"/>
                <w:b w:val="1"/>
                <w:bCs w:val="1"/>
                <w:color w:val="00539B"/>
              </w:rPr>
              <w:t>30, 2023</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 Change</w:t>
            </w:r>
          </w:p>
        </w:tc>
        <w:tc>
          <w:tcPr>
            <w:tcW w:w="8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2022</w:t>
            </w:r>
          </w:p>
        </w:tc>
        <w:tc>
          <w:tcPr>
            <w:tcW w:w="0" w:type="dxa"/>
            <w:vAlign w:val="bottom"/>
          </w:tcPr>
          <w:p>
            <w:pPr>
              <w:spacing w:after="0"/>
              <w:rPr>
                <w:sz w:val="1"/>
                <w:szCs w:val="1"/>
                <w:color w:val="auto"/>
              </w:rPr>
            </w:pPr>
          </w:p>
        </w:tc>
      </w:tr>
      <w:tr>
        <w:trPr>
          <w:trHeight w:val="202"/>
        </w:trPr>
        <w:tc>
          <w:tcPr>
            <w:tcW w:w="5280" w:type="dxa"/>
            <w:vAlign w:val="bottom"/>
          </w:tcPr>
          <w:p>
            <w:pPr>
              <w:ind w:left="20"/>
              <w:spacing w:after="0"/>
              <w:rPr>
                <w:sz w:val="20"/>
                <w:szCs w:val="20"/>
                <w:color w:val="auto"/>
              </w:rPr>
            </w:pPr>
            <w:r>
              <w:rPr>
                <w:rFonts w:ascii="Arial" w:cs="Arial" w:eastAsia="Arial" w:hAnsi="Arial"/>
                <w:sz w:val="17"/>
                <w:szCs w:val="17"/>
                <w:b w:val="1"/>
                <w:bCs w:val="1"/>
                <w:color w:val="auto"/>
              </w:rPr>
              <w:t>Net income</w:t>
            </w:r>
          </w:p>
        </w:tc>
        <w:tc>
          <w:tcPr>
            <w:tcW w:w="380" w:type="dxa"/>
            <w:vAlign w:val="bottom"/>
            <w:vMerge w:val="restart"/>
          </w:tcPr>
          <w:p>
            <w:pPr>
              <w:jc w:val="right"/>
              <w:spacing w:after="0"/>
              <w:rPr>
                <w:sz w:val="20"/>
                <w:szCs w:val="20"/>
                <w:color w:val="auto"/>
              </w:rPr>
            </w:pPr>
            <w:r>
              <w:rPr>
                <w:rFonts w:ascii="Arial" w:cs="Arial" w:eastAsia="Arial" w:hAnsi="Arial"/>
                <w:sz w:val="17"/>
                <w:szCs w:val="17"/>
                <w:b w:val="1"/>
                <w:bCs w:val="1"/>
                <w:color w:val="00539B"/>
              </w:rPr>
              <w:t>$</w:t>
            </w:r>
          </w:p>
        </w:tc>
        <w:tc>
          <w:tcPr>
            <w:tcW w:w="2140" w:type="dxa"/>
            <w:vAlign w:val="bottom"/>
            <w:vMerge w:val="restart"/>
          </w:tcPr>
          <w:p>
            <w:pPr>
              <w:jc w:val="right"/>
              <w:ind w:right="196"/>
              <w:spacing w:after="0"/>
              <w:rPr>
                <w:sz w:val="20"/>
                <w:szCs w:val="20"/>
                <w:color w:val="auto"/>
              </w:rPr>
            </w:pPr>
            <w:r>
              <w:rPr>
                <w:rFonts w:ascii="Arial" w:cs="Arial" w:eastAsia="Arial" w:hAnsi="Arial"/>
                <w:sz w:val="17"/>
                <w:szCs w:val="17"/>
                <w:b w:val="1"/>
                <w:bCs w:val="1"/>
                <w:color w:val="00539B"/>
              </w:rPr>
              <w:t>2,699</w:t>
            </w:r>
          </w:p>
        </w:tc>
        <w:tc>
          <w:tcPr>
            <w:tcW w:w="10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280" w:type="dxa"/>
            <w:vAlign w:val="bottom"/>
          </w:tcPr>
          <w:p>
            <w:pPr>
              <w:ind w:left="220"/>
              <w:spacing w:after="0" w:line="219" w:lineRule="exact"/>
              <w:rPr>
                <w:sz w:val="20"/>
                <w:szCs w:val="20"/>
                <w:color w:val="auto"/>
              </w:rPr>
            </w:pPr>
            <w:r>
              <w:rPr>
                <w:rFonts w:ascii="Arial" w:cs="Arial" w:eastAsia="Arial" w:hAnsi="Arial"/>
                <w:sz w:val="17"/>
                <w:szCs w:val="17"/>
                <w:color w:val="auto"/>
              </w:rPr>
              <w:t xml:space="preserve">Oil and gas </w:t>
            </w:r>
            <w:r>
              <w:rPr>
                <w:rFonts w:ascii="Arial" w:cs="Arial" w:eastAsia="Arial" w:hAnsi="Arial"/>
                <w:sz w:val="21"/>
                <w:szCs w:val="21"/>
                <w:color w:val="auto"/>
                <w:vertAlign w:val="superscript"/>
              </w:rPr>
              <w:t>(a)</w:t>
            </w:r>
          </w:p>
        </w:tc>
        <w:tc>
          <w:tcPr>
            <w:tcW w:w="380" w:type="dxa"/>
            <w:vAlign w:val="bottom"/>
            <w:vMerge w:val="continue"/>
          </w:tcPr>
          <w:p>
            <w:pPr>
              <w:spacing w:after="0"/>
              <w:rPr>
                <w:sz w:val="19"/>
                <w:szCs w:val="19"/>
                <w:color w:val="auto"/>
              </w:rPr>
            </w:pPr>
          </w:p>
        </w:tc>
        <w:tc>
          <w:tcPr>
            <w:tcW w:w="2140" w:type="dxa"/>
            <w:vAlign w:val="bottom"/>
            <w:vMerge w:val="continue"/>
          </w:tcPr>
          <w:p>
            <w:pPr>
              <w:spacing w:after="0"/>
              <w:rPr>
                <w:sz w:val="19"/>
                <w:szCs w:val="19"/>
                <w:color w:val="auto"/>
              </w:rPr>
            </w:pPr>
          </w:p>
        </w:tc>
        <w:tc>
          <w:tcPr>
            <w:tcW w:w="1880" w:type="dxa"/>
            <w:vAlign w:val="bottom"/>
            <w:gridSpan w:val="2"/>
          </w:tcPr>
          <w:p>
            <w:pPr>
              <w:jc w:val="right"/>
              <w:ind w:right="656"/>
              <w:spacing w:after="0"/>
              <w:rPr>
                <w:sz w:val="20"/>
                <w:szCs w:val="20"/>
                <w:color w:val="auto"/>
              </w:rPr>
            </w:pPr>
            <w:r>
              <w:rPr>
                <w:rFonts w:ascii="Arial" w:cs="Arial" w:eastAsia="Arial" w:hAnsi="Arial"/>
                <w:sz w:val="17"/>
                <w:szCs w:val="17"/>
                <w:color w:val="auto"/>
              </w:rPr>
              <w:t>(61)% $</w:t>
            </w:r>
          </w:p>
        </w:tc>
        <w:tc>
          <w:tcPr>
            <w:tcW w:w="1240" w:type="dxa"/>
            <w:vAlign w:val="bottom"/>
          </w:tcPr>
          <w:p>
            <w:pPr>
              <w:jc w:val="right"/>
              <w:spacing w:after="0"/>
              <w:rPr>
                <w:sz w:val="20"/>
                <w:szCs w:val="20"/>
                <w:color w:val="auto"/>
              </w:rPr>
            </w:pPr>
            <w:r>
              <w:rPr>
                <w:rFonts w:ascii="Arial" w:cs="Arial" w:eastAsia="Arial" w:hAnsi="Arial"/>
                <w:sz w:val="17"/>
                <w:szCs w:val="17"/>
                <w:color w:val="auto"/>
              </w:rPr>
              <w:t>6,992</w:t>
            </w:r>
          </w:p>
        </w:tc>
        <w:tc>
          <w:tcPr>
            <w:tcW w:w="0" w:type="dxa"/>
            <w:vAlign w:val="bottom"/>
          </w:tcPr>
          <w:p>
            <w:pPr>
              <w:spacing w:after="0"/>
              <w:rPr>
                <w:sz w:val="1"/>
                <w:szCs w:val="1"/>
                <w:color w:val="auto"/>
              </w:rPr>
            </w:pPr>
          </w:p>
        </w:tc>
      </w:tr>
      <w:tr>
        <w:trPr>
          <w:trHeight w:val="226"/>
        </w:trPr>
        <w:tc>
          <w:tcPr>
            <w:tcW w:w="5280" w:type="dxa"/>
            <w:vAlign w:val="bottom"/>
          </w:tcPr>
          <w:p>
            <w:pPr>
              <w:ind w:left="220"/>
              <w:spacing w:after="0"/>
              <w:rPr>
                <w:sz w:val="20"/>
                <w:szCs w:val="20"/>
                <w:color w:val="auto"/>
              </w:rPr>
            </w:pPr>
            <w:r>
              <w:rPr>
                <w:rFonts w:ascii="Arial" w:cs="Arial" w:eastAsia="Arial" w:hAnsi="Arial"/>
                <w:sz w:val="17"/>
                <w:szCs w:val="17"/>
                <w:color w:val="auto"/>
              </w:rPr>
              <w:t>Chemical</w:t>
            </w:r>
          </w:p>
        </w:tc>
        <w:tc>
          <w:tcPr>
            <w:tcW w:w="380" w:type="dxa"/>
            <w:vAlign w:val="bottom"/>
          </w:tcPr>
          <w:p>
            <w:pPr>
              <w:spacing w:after="0"/>
              <w:rPr>
                <w:sz w:val="19"/>
                <w:szCs w:val="19"/>
                <w:color w:val="auto"/>
              </w:rPr>
            </w:pPr>
          </w:p>
        </w:tc>
        <w:tc>
          <w:tcPr>
            <w:tcW w:w="2140" w:type="dxa"/>
            <w:vAlign w:val="bottom"/>
          </w:tcPr>
          <w:p>
            <w:pPr>
              <w:jc w:val="right"/>
              <w:ind w:right="196"/>
              <w:spacing w:after="0"/>
              <w:rPr>
                <w:sz w:val="20"/>
                <w:szCs w:val="20"/>
                <w:color w:val="auto"/>
              </w:rPr>
            </w:pPr>
            <w:r>
              <w:rPr>
                <w:rFonts w:ascii="Arial" w:cs="Arial" w:eastAsia="Arial" w:hAnsi="Arial"/>
                <w:sz w:val="17"/>
                <w:szCs w:val="17"/>
                <w:b w:val="1"/>
                <w:bCs w:val="1"/>
                <w:color w:val="00539B"/>
              </w:rPr>
              <w:t>908</w:t>
            </w:r>
          </w:p>
        </w:tc>
        <w:tc>
          <w:tcPr>
            <w:tcW w:w="1020" w:type="dxa"/>
            <w:vAlign w:val="bottom"/>
          </w:tcPr>
          <w:p>
            <w:pPr>
              <w:jc w:val="right"/>
              <w:spacing w:after="0"/>
              <w:rPr>
                <w:sz w:val="20"/>
                <w:szCs w:val="20"/>
                <w:color w:val="auto"/>
              </w:rPr>
            </w:pPr>
            <w:r>
              <w:rPr>
                <w:rFonts w:ascii="Arial" w:cs="Arial" w:eastAsia="Arial" w:hAnsi="Arial"/>
                <w:sz w:val="17"/>
                <w:szCs w:val="17"/>
                <w:color w:val="auto"/>
              </w:rPr>
              <w:t>(38)%</w:t>
            </w:r>
          </w:p>
        </w:tc>
        <w:tc>
          <w:tcPr>
            <w:tcW w:w="8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1,471</w:t>
            </w:r>
          </w:p>
        </w:tc>
        <w:tc>
          <w:tcPr>
            <w:tcW w:w="0" w:type="dxa"/>
            <w:vAlign w:val="bottom"/>
          </w:tcPr>
          <w:p>
            <w:pPr>
              <w:spacing w:after="0"/>
              <w:rPr>
                <w:sz w:val="1"/>
                <w:szCs w:val="1"/>
                <w:color w:val="auto"/>
              </w:rPr>
            </w:pPr>
          </w:p>
        </w:tc>
      </w:tr>
      <w:tr>
        <w:trPr>
          <w:trHeight w:val="227"/>
        </w:trPr>
        <w:tc>
          <w:tcPr>
            <w:tcW w:w="5280" w:type="dxa"/>
            <w:vAlign w:val="bottom"/>
            <w:tcBorders>
              <w:bottom w:val="single" w:sz="8" w:color="auto"/>
            </w:tcBorders>
          </w:tcPr>
          <w:p>
            <w:pPr>
              <w:ind w:left="220"/>
              <w:spacing w:after="0" w:line="227" w:lineRule="exact"/>
              <w:rPr>
                <w:sz w:val="20"/>
                <w:szCs w:val="20"/>
                <w:color w:val="auto"/>
              </w:rPr>
            </w:pPr>
            <w:r>
              <w:rPr>
                <w:rFonts w:ascii="Arial" w:cs="Arial" w:eastAsia="Arial" w:hAnsi="Arial"/>
                <w:sz w:val="17"/>
                <w:szCs w:val="17"/>
                <w:color w:val="auto"/>
              </w:rPr>
              <w:t xml:space="preserve">Midstream and marketing </w:t>
            </w:r>
            <w:r>
              <w:rPr>
                <w:rFonts w:ascii="Arial" w:cs="Arial" w:eastAsia="Arial" w:hAnsi="Arial"/>
                <w:sz w:val="21"/>
                <w:szCs w:val="21"/>
                <w:color w:val="auto"/>
                <w:vertAlign w:val="superscript"/>
              </w:rPr>
              <w:t>(a)</w:t>
            </w:r>
          </w:p>
        </w:tc>
        <w:tc>
          <w:tcPr>
            <w:tcW w:w="38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tcPr>
          <w:p>
            <w:pPr>
              <w:jc w:val="right"/>
              <w:ind w:right="136"/>
              <w:spacing w:after="0"/>
              <w:rPr>
                <w:sz w:val="20"/>
                <w:szCs w:val="20"/>
                <w:color w:val="auto"/>
              </w:rPr>
            </w:pPr>
            <w:r>
              <w:rPr>
                <w:rFonts w:ascii="Arial" w:cs="Arial" w:eastAsia="Arial" w:hAnsi="Arial"/>
                <w:sz w:val="17"/>
                <w:szCs w:val="17"/>
                <w:b w:val="1"/>
                <w:bCs w:val="1"/>
                <w:color w:val="00539B"/>
              </w:rPr>
              <w:t>(28)</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(113)%</w:t>
            </w:r>
          </w:p>
        </w:tc>
        <w:tc>
          <w:tcPr>
            <w:tcW w:w="8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214</w:t>
            </w:r>
          </w:p>
        </w:tc>
        <w:tc>
          <w:tcPr>
            <w:tcW w:w="0" w:type="dxa"/>
            <w:vAlign w:val="bottom"/>
          </w:tcPr>
          <w:p>
            <w:pPr>
              <w:spacing w:after="0"/>
              <w:rPr>
                <w:sz w:val="1"/>
                <w:szCs w:val="1"/>
                <w:color w:val="auto"/>
              </w:rPr>
            </w:pPr>
          </w:p>
        </w:tc>
      </w:tr>
      <w:tr>
        <w:trPr>
          <w:trHeight w:val="220"/>
        </w:trPr>
        <w:tc>
          <w:tcPr>
            <w:tcW w:w="52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Total</w:t>
            </w:r>
          </w:p>
        </w:tc>
        <w:tc>
          <w:tcPr>
            <w:tcW w:w="38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tcPr>
          <w:p>
            <w:pPr>
              <w:jc w:val="right"/>
              <w:ind w:right="196"/>
              <w:spacing w:after="0"/>
              <w:rPr>
                <w:sz w:val="20"/>
                <w:szCs w:val="20"/>
                <w:color w:val="auto"/>
              </w:rPr>
            </w:pPr>
            <w:r>
              <w:rPr>
                <w:rFonts w:ascii="Arial" w:cs="Arial" w:eastAsia="Arial" w:hAnsi="Arial"/>
                <w:sz w:val="17"/>
                <w:szCs w:val="17"/>
                <w:b w:val="1"/>
                <w:bCs w:val="1"/>
                <w:color w:val="00539B"/>
              </w:rPr>
              <w:t>3,579</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(59)%</w:t>
            </w:r>
          </w:p>
        </w:tc>
        <w:tc>
          <w:tcPr>
            <w:tcW w:w="8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8,677</w:t>
            </w:r>
          </w:p>
        </w:tc>
        <w:tc>
          <w:tcPr>
            <w:tcW w:w="0" w:type="dxa"/>
            <w:vAlign w:val="bottom"/>
          </w:tcPr>
          <w:p>
            <w:pPr>
              <w:spacing w:after="0"/>
              <w:rPr>
                <w:sz w:val="1"/>
                <w:szCs w:val="1"/>
                <w:color w:val="auto"/>
              </w:rPr>
            </w:pPr>
          </w:p>
        </w:tc>
      </w:tr>
      <w:tr>
        <w:trPr>
          <w:trHeight w:val="215"/>
        </w:trPr>
        <w:tc>
          <w:tcPr>
            <w:tcW w:w="5280" w:type="dxa"/>
            <w:vAlign w:val="bottom"/>
          </w:tcPr>
          <w:p>
            <w:pPr>
              <w:ind w:left="20"/>
              <w:spacing w:after="0" w:line="216" w:lineRule="exact"/>
              <w:rPr>
                <w:sz w:val="20"/>
                <w:szCs w:val="20"/>
                <w:color w:val="auto"/>
              </w:rPr>
            </w:pPr>
            <w:r>
              <w:rPr>
                <w:rFonts w:ascii="Arial" w:cs="Arial" w:eastAsia="Arial" w:hAnsi="Arial"/>
                <w:sz w:val="17"/>
                <w:szCs w:val="17"/>
                <w:b w:val="1"/>
                <w:bCs w:val="1"/>
                <w:color w:val="auto"/>
              </w:rPr>
              <w:t xml:space="preserve">Unallocated Corporate Items </w:t>
            </w:r>
            <w:r>
              <w:rPr>
                <w:rFonts w:ascii="Arial" w:cs="Arial" w:eastAsia="Arial" w:hAnsi="Arial"/>
                <w:sz w:val="21"/>
                <w:szCs w:val="21"/>
                <w:b w:val="1"/>
                <w:bCs w:val="1"/>
                <w:color w:val="auto"/>
                <w:vertAlign w:val="superscript"/>
              </w:rPr>
              <w:t>(a)</w:t>
            </w:r>
          </w:p>
        </w:tc>
        <w:tc>
          <w:tcPr>
            <w:tcW w:w="380" w:type="dxa"/>
            <w:vAlign w:val="bottom"/>
          </w:tcPr>
          <w:p>
            <w:pPr>
              <w:spacing w:after="0"/>
              <w:rPr>
                <w:sz w:val="18"/>
                <w:szCs w:val="18"/>
                <w:color w:val="auto"/>
              </w:rPr>
            </w:pPr>
          </w:p>
        </w:tc>
        <w:tc>
          <w:tcPr>
            <w:tcW w:w="2140" w:type="dxa"/>
            <w:vAlign w:val="bottom"/>
            <w:vMerge w:val="restart"/>
          </w:tcPr>
          <w:p>
            <w:pPr>
              <w:jc w:val="right"/>
              <w:ind w:right="136"/>
              <w:spacing w:after="0"/>
              <w:rPr>
                <w:sz w:val="20"/>
                <w:szCs w:val="20"/>
                <w:color w:val="auto"/>
              </w:rPr>
            </w:pPr>
            <w:r>
              <w:rPr>
                <w:rFonts w:ascii="Arial" w:cs="Arial" w:eastAsia="Arial" w:hAnsi="Arial"/>
                <w:sz w:val="17"/>
                <w:szCs w:val="17"/>
                <w:b w:val="1"/>
                <w:bCs w:val="1"/>
                <w:color w:val="00539B"/>
              </w:rPr>
              <w:t>(468)</w:t>
            </w:r>
          </w:p>
        </w:tc>
        <w:tc>
          <w:tcPr>
            <w:tcW w:w="10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5280" w:type="dxa"/>
            <w:vAlign w:val="bottom"/>
          </w:tcPr>
          <w:p>
            <w:pPr>
              <w:ind w:left="220"/>
              <w:spacing w:after="0"/>
              <w:rPr>
                <w:sz w:val="20"/>
                <w:szCs w:val="20"/>
                <w:color w:val="auto"/>
              </w:rPr>
            </w:pPr>
            <w:r>
              <w:rPr>
                <w:rFonts w:ascii="Arial" w:cs="Arial" w:eastAsia="Arial" w:hAnsi="Arial"/>
                <w:sz w:val="17"/>
                <w:szCs w:val="17"/>
                <w:color w:val="auto"/>
              </w:rPr>
              <w:t>Interest expense, net</w:t>
            </w:r>
          </w:p>
        </w:tc>
        <w:tc>
          <w:tcPr>
            <w:tcW w:w="380" w:type="dxa"/>
            <w:vAlign w:val="bottom"/>
          </w:tcPr>
          <w:p>
            <w:pPr>
              <w:spacing w:after="0"/>
              <w:rPr>
                <w:sz w:val="17"/>
                <w:szCs w:val="17"/>
                <w:color w:val="auto"/>
              </w:rPr>
            </w:pPr>
          </w:p>
        </w:tc>
        <w:tc>
          <w:tcPr>
            <w:tcW w:w="2140" w:type="dxa"/>
            <w:vAlign w:val="bottom"/>
            <w:vMerge w:val="continue"/>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4 %</w:t>
            </w:r>
          </w:p>
        </w:tc>
        <w:tc>
          <w:tcPr>
            <w:tcW w:w="8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(485)</w:t>
            </w:r>
          </w:p>
        </w:tc>
        <w:tc>
          <w:tcPr>
            <w:tcW w:w="0" w:type="dxa"/>
            <w:vAlign w:val="bottom"/>
          </w:tcPr>
          <w:p>
            <w:pPr>
              <w:spacing w:after="0"/>
              <w:rPr>
                <w:sz w:val="1"/>
                <w:szCs w:val="1"/>
                <w:color w:val="auto"/>
              </w:rPr>
            </w:pPr>
          </w:p>
        </w:tc>
      </w:tr>
      <w:tr>
        <w:trPr>
          <w:trHeight w:val="227"/>
        </w:trPr>
        <w:tc>
          <w:tcPr>
            <w:tcW w:w="5280" w:type="dxa"/>
            <w:vAlign w:val="bottom"/>
          </w:tcPr>
          <w:p>
            <w:pPr>
              <w:ind w:left="220"/>
              <w:spacing w:after="0"/>
              <w:rPr>
                <w:sz w:val="20"/>
                <w:szCs w:val="20"/>
                <w:color w:val="auto"/>
              </w:rPr>
            </w:pPr>
            <w:r>
              <w:rPr>
                <w:rFonts w:ascii="Arial" w:cs="Arial" w:eastAsia="Arial" w:hAnsi="Arial"/>
                <w:sz w:val="17"/>
                <w:szCs w:val="17"/>
                <w:color w:val="auto"/>
              </w:rPr>
              <w:t>Income tax expense</w:t>
            </w:r>
          </w:p>
        </w:tc>
        <w:tc>
          <w:tcPr>
            <w:tcW w:w="380" w:type="dxa"/>
            <w:vAlign w:val="bottom"/>
          </w:tcPr>
          <w:p>
            <w:pPr>
              <w:spacing w:after="0"/>
              <w:rPr>
                <w:sz w:val="19"/>
                <w:szCs w:val="19"/>
                <w:color w:val="auto"/>
              </w:rPr>
            </w:pPr>
          </w:p>
        </w:tc>
        <w:tc>
          <w:tcPr>
            <w:tcW w:w="2140" w:type="dxa"/>
            <w:vAlign w:val="bottom"/>
          </w:tcPr>
          <w:p>
            <w:pPr>
              <w:jc w:val="right"/>
              <w:ind w:right="136"/>
              <w:spacing w:after="0"/>
              <w:rPr>
                <w:sz w:val="20"/>
                <w:szCs w:val="20"/>
                <w:color w:val="auto"/>
              </w:rPr>
            </w:pPr>
            <w:r>
              <w:rPr>
                <w:rFonts w:ascii="Arial" w:cs="Arial" w:eastAsia="Arial" w:hAnsi="Arial"/>
                <w:sz w:val="17"/>
                <w:szCs w:val="17"/>
                <w:b w:val="1"/>
                <w:bCs w:val="1"/>
                <w:color w:val="00539B"/>
              </w:rPr>
              <w:t>(938)</w:t>
            </w:r>
          </w:p>
        </w:tc>
        <w:tc>
          <w:tcPr>
            <w:tcW w:w="1020" w:type="dxa"/>
            <w:vAlign w:val="bottom"/>
          </w:tcPr>
          <w:p>
            <w:pPr>
              <w:jc w:val="right"/>
              <w:spacing w:after="0"/>
              <w:rPr>
                <w:sz w:val="20"/>
                <w:szCs w:val="20"/>
                <w:color w:val="auto"/>
              </w:rPr>
            </w:pPr>
            <w:r>
              <w:rPr>
                <w:rFonts w:ascii="Arial" w:cs="Arial" w:eastAsia="Arial" w:hAnsi="Arial"/>
                <w:sz w:val="17"/>
                <w:szCs w:val="17"/>
                <w:color w:val="auto"/>
              </w:rPr>
              <w:t>(267)%</w:t>
            </w:r>
          </w:p>
        </w:tc>
        <w:tc>
          <w:tcPr>
            <w:tcW w:w="8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562</w:t>
            </w:r>
          </w:p>
        </w:tc>
        <w:tc>
          <w:tcPr>
            <w:tcW w:w="0" w:type="dxa"/>
            <w:vAlign w:val="bottom"/>
          </w:tcPr>
          <w:p>
            <w:pPr>
              <w:spacing w:after="0"/>
              <w:rPr>
                <w:sz w:val="1"/>
                <w:szCs w:val="1"/>
                <w:color w:val="auto"/>
              </w:rPr>
            </w:pPr>
          </w:p>
        </w:tc>
      </w:tr>
      <w:tr>
        <w:trPr>
          <w:trHeight w:val="237"/>
        </w:trPr>
        <w:tc>
          <w:tcPr>
            <w:tcW w:w="528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Other items, net</w:t>
            </w:r>
          </w:p>
        </w:tc>
        <w:tc>
          <w:tcPr>
            <w:tcW w:w="38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tcPr>
          <w:p>
            <w:pPr>
              <w:jc w:val="right"/>
              <w:ind w:right="136"/>
              <w:spacing w:after="0"/>
              <w:rPr>
                <w:sz w:val="20"/>
                <w:szCs w:val="20"/>
                <w:color w:val="auto"/>
              </w:rPr>
            </w:pPr>
            <w:r>
              <w:rPr>
                <w:rFonts w:ascii="Arial" w:cs="Arial" w:eastAsia="Arial" w:hAnsi="Arial"/>
                <w:sz w:val="17"/>
                <w:szCs w:val="17"/>
                <w:b w:val="1"/>
                <w:bCs w:val="1"/>
                <w:color w:val="00539B"/>
              </w:rPr>
              <w:t>(50)</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59 %</w:t>
            </w:r>
          </w:p>
        </w:tc>
        <w:tc>
          <w:tcPr>
            <w:tcW w:w="8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(123)</w:t>
            </w:r>
          </w:p>
        </w:tc>
        <w:tc>
          <w:tcPr>
            <w:tcW w:w="0" w:type="dxa"/>
            <w:vAlign w:val="bottom"/>
          </w:tcPr>
          <w:p>
            <w:pPr>
              <w:spacing w:after="0"/>
              <w:rPr>
                <w:sz w:val="1"/>
                <w:szCs w:val="1"/>
                <w:color w:val="auto"/>
              </w:rPr>
            </w:pPr>
          </w:p>
        </w:tc>
      </w:tr>
      <w:tr>
        <w:trPr>
          <w:trHeight w:val="196"/>
        </w:trPr>
        <w:tc>
          <w:tcPr>
            <w:tcW w:w="5280" w:type="dxa"/>
            <w:vAlign w:val="bottom"/>
          </w:tcPr>
          <w:p>
            <w:pPr>
              <w:ind w:left="20"/>
              <w:spacing w:after="0"/>
              <w:rPr>
                <w:sz w:val="20"/>
                <w:szCs w:val="20"/>
                <w:color w:val="auto"/>
              </w:rPr>
            </w:pPr>
            <w:r>
              <w:rPr>
                <w:rFonts w:ascii="Arial" w:cs="Arial" w:eastAsia="Arial" w:hAnsi="Arial"/>
                <w:sz w:val="17"/>
                <w:szCs w:val="17"/>
                <w:color w:val="auto"/>
              </w:rPr>
              <w:t>Net income</w:t>
            </w:r>
          </w:p>
        </w:tc>
        <w:tc>
          <w:tcPr>
            <w:tcW w:w="380" w:type="dxa"/>
            <w:vAlign w:val="bottom"/>
          </w:tcPr>
          <w:p>
            <w:pPr>
              <w:jc w:val="right"/>
              <w:spacing w:after="0"/>
              <w:rPr>
                <w:sz w:val="20"/>
                <w:szCs w:val="20"/>
                <w:color w:val="auto"/>
              </w:rPr>
            </w:pPr>
            <w:r>
              <w:rPr>
                <w:rFonts w:ascii="Arial" w:cs="Arial" w:eastAsia="Arial" w:hAnsi="Arial"/>
                <w:sz w:val="17"/>
                <w:szCs w:val="17"/>
                <w:b w:val="1"/>
                <w:bCs w:val="1"/>
                <w:color w:val="00539B"/>
              </w:rPr>
              <w:t>$</w:t>
            </w:r>
          </w:p>
        </w:tc>
        <w:tc>
          <w:tcPr>
            <w:tcW w:w="2140" w:type="dxa"/>
            <w:vAlign w:val="bottom"/>
          </w:tcPr>
          <w:p>
            <w:pPr>
              <w:jc w:val="right"/>
              <w:ind w:right="196"/>
              <w:spacing w:after="0"/>
              <w:rPr>
                <w:sz w:val="20"/>
                <w:szCs w:val="20"/>
                <w:color w:val="auto"/>
              </w:rPr>
            </w:pPr>
            <w:r>
              <w:rPr>
                <w:rFonts w:ascii="Arial" w:cs="Arial" w:eastAsia="Arial" w:hAnsi="Arial"/>
                <w:sz w:val="17"/>
                <w:szCs w:val="17"/>
                <w:b w:val="1"/>
                <w:bCs w:val="1"/>
                <w:color w:val="00539B"/>
              </w:rPr>
              <w:t>2,123</w:t>
            </w:r>
          </w:p>
        </w:tc>
        <w:tc>
          <w:tcPr>
            <w:tcW w:w="1020" w:type="dxa"/>
            <w:vAlign w:val="bottom"/>
          </w:tcPr>
          <w:p>
            <w:pPr>
              <w:jc w:val="right"/>
              <w:spacing w:after="0"/>
              <w:rPr>
                <w:sz w:val="20"/>
                <w:szCs w:val="20"/>
                <w:color w:val="auto"/>
              </w:rPr>
            </w:pPr>
            <w:r>
              <w:rPr>
                <w:rFonts w:ascii="Arial" w:cs="Arial" w:eastAsia="Arial" w:hAnsi="Arial"/>
                <w:sz w:val="17"/>
                <w:szCs w:val="17"/>
                <w:color w:val="auto"/>
              </w:rPr>
              <w:t>(75)%</w:t>
            </w:r>
          </w:p>
        </w:tc>
        <w:tc>
          <w:tcPr>
            <w:tcW w:w="860" w:type="dxa"/>
            <w:vAlign w:val="bottom"/>
          </w:tcPr>
          <w:p>
            <w:pPr>
              <w:jc w:val="right"/>
              <w:ind w:right="656"/>
              <w:spacing w:after="0"/>
              <w:rPr>
                <w:sz w:val="20"/>
                <w:szCs w:val="20"/>
                <w:color w:val="auto"/>
              </w:rPr>
            </w:pPr>
            <w:r>
              <w:rPr>
                <w:rFonts w:ascii="Arial" w:cs="Arial" w:eastAsia="Arial" w:hAnsi="Arial"/>
                <w:sz w:val="17"/>
                <w:szCs w:val="17"/>
                <w:color w:val="auto"/>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8,631</w:t>
            </w:r>
          </w:p>
        </w:tc>
        <w:tc>
          <w:tcPr>
            <w:tcW w:w="0" w:type="dxa"/>
            <w:vAlign w:val="bottom"/>
          </w:tcPr>
          <w:p>
            <w:pPr>
              <w:spacing w:after="0"/>
              <w:rPr>
                <w:sz w:val="1"/>
                <w:szCs w:val="1"/>
                <w:color w:val="auto"/>
              </w:rPr>
            </w:pPr>
          </w:p>
        </w:tc>
      </w:tr>
      <w:tr>
        <w:trPr>
          <w:trHeight w:val="237"/>
        </w:trPr>
        <w:tc>
          <w:tcPr>
            <w:tcW w:w="528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Less: Preferred stock dividends and redemption premiums</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w:t>
            </w:r>
          </w:p>
        </w:tc>
        <w:tc>
          <w:tcPr>
            <w:tcW w:w="2140" w:type="dxa"/>
            <w:vAlign w:val="bottom"/>
            <w:tcBorders>
              <w:bottom w:val="single" w:sz="8" w:color="auto"/>
            </w:tcBorders>
          </w:tcPr>
          <w:p>
            <w:pPr>
              <w:jc w:val="right"/>
              <w:ind w:right="136"/>
              <w:spacing w:after="0"/>
              <w:rPr>
                <w:sz w:val="20"/>
                <w:szCs w:val="20"/>
                <w:color w:val="auto"/>
              </w:rPr>
            </w:pPr>
            <w:r>
              <w:rPr>
                <w:rFonts w:ascii="Arial" w:cs="Arial" w:eastAsia="Arial" w:hAnsi="Arial"/>
                <w:sz w:val="17"/>
                <w:szCs w:val="17"/>
                <w:b w:val="1"/>
                <w:bCs w:val="1"/>
                <w:color w:val="00539B"/>
              </w:rPr>
              <w:t>(535)</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w:t>
            </w:r>
          </w:p>
        </w:tc>
        <w:tc>
          <w:tcPr>
            <w:tcW w:w="860" w:type="dxa"/>
            <w:vAlign w:val="bottom"/>
            <w:tcBorders>
              <w:bottom w:val="single" w:sz="8" w:color="auto"/>
            </w:tcBorders>
          </w:tcPr>
          <w:p>
            <w:pPr>
              <w:jc w:val="right"/>
              <w:ind w:right="656"/>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(400)</w:t>
            </w:r>
          </w:p>
        </w:tc>
        <w:tc>
          <w:tcPr>
            <w:tcW w:w="0" w:type="dxa"/>
            <w:vAlign w:val="bottom"/>
          </w:tcPr>
          <w:p>
            <w:pPr>
              <w:spacing w:after="0"/>
              <w:rPr>
                <w:sz w:val="1"/>
                <w:szCs w:val="1"/>
                <w:color w:val="auto"/>
              </w:rPr>
            </w:pPr>
          </w:p>
        </w:tc>
      </w:tr>
      <w:tr>
        <w:trPr>
          <w:trHeight w:val="223"/>
        </w:trPr>
        <w:tc>
          <w:tcPr>
            <w:tcW w:w="52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Net income attributable to common stockholders</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w:t>
            </w:r>
          </w:p>
        </w:tc>
        <w:tc>
          <w:tcPr>
            <w:tcW w:w="2140" w:type="dxa"/>
            <w:vAlign w:val="bottom"/>
            <w:tcBorders>
              <w:bottom w:val="single" w:sz="8" w:color="auto"/>
            </w:tcBorders>
          </w:tcPr>
          <w:p>
            <w:pPr>
              <w:jc w:val="right"/>
              <w:ind w:right="196"/>
              <w:spacing w:after="0"/>
              <w:rPr>
                <w:sz w:val="20"/>
                <w:szCs w:val="20"/>
                <w:color w:val="auto"/>
              </w:rPr>
            </w:pPr>
            <w:r>
              <w:rPr>
                <w:rFonts w:ascii="Arial" w:cs="Arial" w:eastAsia="Arial" w:hAnsi="Arial"/>
                <w:sz w:val="17"/>
                <w:szCs w:val="17"/>
                <w:b w:val="1"/>
                <w:bCs w:val="1"/>
                <w:color w:val="00539B"/>
              </w:rPr>
              <w:t>1,588</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(81)%</w:t>
            </w:r>
          </w:p>
        </w:tc>
        <w:tc>
          <w:tcPr>
            <w:tcW w:w="860" w:type="dxa"/>
            <w:vAlign w:val="bottom"/>
            <w:tcBorders>
              <w:bottom w:val="single" w:sz="8" w:color="auto"/>
            </w:tcBorders>
          </w:tcPr>
          <w:p>
            <w:pPr>
              <w:jc w:val="right"/>
              <w:ind w:right="656"/>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8,231</w:t>
            </w:r>
          </w:p>
        </w:tc>
        <w:tc>
          <w:tcPr>
            <w:tcW w:w="0" w:type="dxa"/>
            <w:vAlign w:val="bottom"/>
          </w:tcPr>
          <w:p>
            <w:pPr>
              <w:spacing w:after="0"/>
              <w:rPr>
                <w:sz w:val="1"/>
                <w:szCs w:val="1"/>
                <w:color w:val="auto"/>
              </w:rPr>
            </w:pPr>
          </w:p>
        </w:tc>
      </w:tr>
      <w:tr>
        <w:trPr>
          <w:trHeight w:val="258"/>
        </w:trPr>
        <w:tc>
          <w:tcPr>
            <w:tcW w:w="52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Net income per share attributable to common stockholders - diluted</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w:t>
            </w:r>
          </w:p>
        </w:tc>
        <w:tc>
          <w:tcPr>
            <w:tcW w:w="2140" w:type="dxa"/>
            <w:vAlign w:val="bottom"/>
            <w:tcBorders>
              <w:bottom w:val="single" w:sz="8" w:color="auto"/>
            </w:tcBorders>
          </w:tcPr>
          <w:p>
            <w:pPr>
              <w:jc w:val="right"/>
              <w:ind w:right="196"/>
              <w:spacing w:after="0"/>
              <w:rPr>
                <w:sz w:val="20"/>
                <w:szCs w:val="20"/>
                <w:color w:val="auto"/>
              </w:rPr>
            </w:pPr>
            <w:r>
              <w:rPr>
                <w:rFonts w:ascii="Arial" w:cs="Arial" w:eastAsia="Arial" w:hAnsi="Arial"/>
                <w:sz w:val="17"/>
                <w:szCs w:val="17"/>
                <w:b w:val="1"/>
                <w:bCs w:val="1"/>
                <w:color w:val="00539B"/>
              </w:rPr>
              <w:t>1.63</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(80)%</w:t>
            </w:r>
          </w:p>
        </w:tc>
        <w:tc>
          <w:tcPr>
            <w:tcW w:w="860" w:type="dxa"/>
            <w:vAlign w:val="bottom"/>
            <w:tcBorders>
              <w:bottom w:val="single" w:sz="8" w:color="auto"/>
            </w:tcBorders>
          </w:tcPr>
          <w:p>
            <w:pPr>
              <w:jc w:val="right"/>
              <w:ind w:right="656"/>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8.11</w:t>
            </w:r>
          </w:p>
        </w:tc>
        <w:tc>
          <w:tcPr>
            <w:tcW w:w="0" w:type="dxa"/>
            <w:vAlign w:val="bottom"/>
          </w:tcPr>
          <w:p>
            <w:pPr>
              <w:spacing w:after="0"/>
              <w:rPr>
                <w:sz w:val="1"/>
                <w:szCs w:val="1"/>
                <w:color w:val="auto"/>
              </w:rPr>
            </w:pPr>
          </w:p>
        </w:tc>
      </w:tr>
    </w:tbl>
    <w:p>
      <w:pPr>
        <w:spacing w:after="0" w:line="70" w:lineRule="exact"/>
        <w:rPr>
          <w:sz w:val="20"/>
          <w:szCs w:val="20"/>
          <w:color w:val="auto"/>
        </w:rPr>
      </w:pPr>
    </w:p>
    <w:p>
      <w:pPr>
        <w:ind w:left="320" w:hanging="313"/>
        <w:spacing w:after="0" w:line="228" w:lineRule="auto"/>
        <w:tabs>
          <w:tab w:leader="none" w:pos="276" w:val="left"/>
        </w:tabs>
        <w:numPr>
          <w:ilvl w:val="0"/>
          <w:numId w:val="16"/>
        </w:numPr>
        <w:rPr>
          <w:rFonts w:ascii="Arial" w:cs="Arial" w:eastAsia="Arial" w:hAnsi="Arial"/>
          <w:sz w:val="21"/>
          <w:szCs w:val="21"/>
          <w:color w:val="auto"/>
          <w:vertAlign w:val="superscript"/>
        </w:rPr>
      </w:pPr>
      <w:r>
        <w:rPr>
          <w:rFonts w:ascii="Arial" w:cs="Arial" w:eastAsia="Arial" w:hAnsi="Arial"/>
          <w:sz w:val="16"/>
          <w:szCs w:val="16"/>
          <w:color w:val="auto"/>
        </w:rPr>
        <w:t>Refer to the Items Affecting Comparability table which sets forth items affecting Occidental's earnings that vary widely and unpredictably in nature, timing and amount.</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715962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25" w:right="339" w:bottom="1440" w:gutter="0" w:footer="0" w:header="0"/>
        </w:sectPr>
      </w:pPr>
    </w:p>
    <w:bookmarkStart w:id="30" w:name="page31"/>
    <w:bookmarkEnd w:id="30"/>
    <w:p>
      <w:pPr>
        <w:spacing w:after="0"/>
        <w:rPr>
          <w:sz w:val="20"/>
          <w:szCs w:val="20"/>
          <w:color w:val="auto"/>
        </w:rPr>
      </w:pPr>
      <w:r>
        <w:rPr>
          <w:rFonts w:ascii="Arial" w:cs="Arial" w:eastAsia="Arial" w:hAnsi="Arial"/>
          <w:sz w:val="20"/>
          <w:szCs w:val="20"/>
          <w:b w:val="1"/>
          <w:bCs w:val="1"/>
          <w:color w:val="00539B"/>
        </w:rPr>
        <w:t>ITEMS AFFECTING COMPARABILITY</w:t>
      </w:r>
    </w:p>
    <w:p>
      <w:pPr>
        <w:spacing w:after="0" w:line="15" w:lineRule="exact"/>
        <w:rPr>
          <w:sz w:val="20"/>
          <w:szCs w:val="20"/>
          <w:color w:val="auto"/>
        </w:rPr>
      </w:pPr>
    </w:p>
    <w:p>
      <w:pPr>
        <w:ind w:firstLine="240"/>
        <w:spacing w:after="0" w:line="271" w:lineRule="auto"/>
        <w:rPr>
          <w:sz w:val="20"/>
          <w:szCs w:val="20"/>
          <w:color w:val="auto"/>
        </w:rPr>
      </w:pPr>
      <w:r>
        <w:rPr>
          <w:rFonts w:ascii="Arial" w:cs="Arial" w:eastAsia="Arial" w:hAnsi="Arial"/>
          <w:sz w:val="17"/>
          <w:szCs w:val="17"/>
          <w:color w:val="auto"/>
        </w:rPr>
        <w:t>The following table sets forth items affecting the comparability of Occidental's earnings that vary widely and unpredictably in nature, timing and amount: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000" w:type="dxa"/>
            <w:vAlign w:val="bottom"/>
            <w:tcBorders>
              <w:top w:val="single" w:sz="8" w:color="auto"/>
              <w:bottom w:val="single" w:sz="8" w:color="auto"/>
            </w:tcBorders>
            <w:vMerge w:val="restart"/>
          </w:tcPr>
          <w:p>
            <w:pPr>
              <w:ind w:left="20"/>
              <w:spacing w:after="0"/>
              <w:rPr>
                <w:sz w:val="20"/>
                <w:szCs w:val="20"/>
                <w:color w:val="auto"/>
              </w:rPr>
            </w:pPr>
            <w:r>
              <w:rPr>
                <w:rFonts w:ascii="Arial" w:cs="Arial" w:eastAsia="Arial" w:hAnsi="Arial"/>
                <w:sz w:val="17"/>
                <w:szCs w:val="17"/>
                <w:i w:val="1"/>
                <w:iCs w:val="1"/>
                <w:color w:val="auto"/>
              </w:rPr>
              <w:t>millions</w:t>
            </w:r>
          </w:p>
        </w:tc>
        <w:tc>
          <w:tcPr>
            <w:tcW w:w="32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spacing w:after="0"/>
              <w:rPr>
                <w:sz w:val="19"/>
                <w:szCs w:val="19"/>
                <w:color w:val="auto"/>
              </w:rPr>
            </w:pPr>
          </w:p>
        </w:tc>
        <w:tc>
          <w:tcPr>
            <w:tcW w:w="1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w w:val="98"/>
              </w:rPr>
              <w:t>Three months ended</w:t>
            </w:r>
          </w:p>
        </w:tc>
        <w:tc>
          <w:tcPr>
            <w:tcW w:w="40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Six months ended</w:t>
            </w:r>
          </w:p>
        </w:tc>
        <w:tc>
          <w:tcPr>
            <w:tcW w:w="0" w:type="dxa"/>
            <w:vAlign w:val="bottom"/>
          </w:tcPr>
          <w:p>
            <w:pPr>
              <w:spacing w:after="0"/>
              <w:rPr>
                <w:sz w:val="1"/>
                <w:szCs w:val="1"/>
                <w:color w:val="auto"/>
              </w:rPr>
            </w:pPr>
          </w:p>
        </w:tc>
      </w:tr>
      <w:tr>
        <w:trPr>
          <w:trHeight w:val="220"/>
        </w:trPr>
        <w:tc>
          <w:tcPr>
            <w:tcW w:w="4000" w:type="dxa"/>
            <w:vAlign w:val="bottom"/>
            <w:tcBorders>
              <w:bottom w:val="single" w:sz="8" w:color="auto"/>
            </w:tcBorders>
            <w:vMerge w:val="continue"/>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2"/>
          </w:tcPr>
          <w:p>
            <w:pPr>
              <w:jc w:val="right"/>
              <w:ind w:right="216"/>
              <w:spacing w:after="0"/>
              <w:rPr>
                <w:sz w:val="20"/>
                <w:szCs w:val="20"/>
                <w:color w:val="auto"/>
              </w:rPr>
            </w:pPr>
            <w:r>
              <w:rPr>
                <w:rFonts w:ascii="Arial" w:cs="Arial" w:eastAsia="Arial" w:hAnsi="Arial"/>
                <w:sz w:val="17"/>
                <w:szCs w:val="17"/>
                <w:b w:val="1"/>
                <w:bCs w:val="1"/>
                <w:color w:val="00539B"/>
              </w:rPr>
              <w:t>June 30, 2023</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March 31, 2023</w:t>
            </w:r>
          </w:p>
        </w:tc>
        <w:tc>
          <w:tcPr>
            <w:tcW w:w="4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June 30, 2023</w:t>
            </w:r>
          </w:p>
        </w:tc>
        <w:tc>
          <w:tcPr>
            <w:tcW w:w="2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June 30, 2022</w:t>
            </w:r>
          </w:p>
        </w:tc>
        <w:tc>
          <w:tcPr>
            <w:tcW w:w="0" w:type="dxa"/>
            <w:vAlign w:val="bottom"/>
          </w:tcPr>
          <w:p>
            <w:pPr>
              <w:spacing w:after="0"/>
              <w:rPr>
                <w:sz w:val="1"/>
                <w:szCs w:val="1"/>
                <w:color w:val="auto"/>
              </w:rPr>
            </w:pPr>
          </w:p>
        </w:tc>
      </w:tr>
      <w:tr>
        <w:trPr>
          <w:trHeight w:val="215"/>
        </w:trPr>
        <w:tc>
          <w:tcPr>
            <w:tcW w:w="4000" w:type="dxa"/>
            <w:vAlign w:val="bottom"/>
          </w:tcPr>
          <w:p>
            <w:pPr>
              <w:ind w:left="20"/>
              <w:spacing w:after="0"/>
              <w:rPr>
                <w:sz w:val="20"/>
                <w:szCs w:val="20"/>
                <w:color w:val="auto"/>
              </w:rPr>
            </w:pPr>
            <w:r>
              <w:rPr>
                <w:rFonts w:ascii="Arial" w:cs="Arial" w:eastAsia="Arial" w:hAnsi="Arial"/>
                <w:sz w:val="17"/>
                <w:szCs w:val="17"/>
                <w:b w:val="1"/>
                <w:bCs w:val="1"/>
                <w:color w:val="auto"/>
              </w:rPr>
              <w:t>Oil and gas</w:t>
            </w:r>
          </w:p>
        </w:tc>
        <w:tc>
          <w:tcPr>
            <w:tcW w:w="320" w:type="dxa"/>
            <w:vAlign w:val="bottom"/>
            <w:vMerge w:val="restart"/>
          </w:tcPr>
          <w:p>
            <w:pPr>
              <w:jc w:val="right"/>
              <w:ind w:right="116"/>
              <w:spacing w:after="0"/>
              <w:rPr>
                <w:sz w:val="20"/>
                <w:szCs w:val="20"/>
                <w:color w:val="auto"/>
              </w:rPr>
            </w:pPr>
            <w:r>
              <w:rPr>
                <w:rFonts w:ascii="Arial" w:cs="Arial" w:eastAsia="Arial" w:hAnsi="Arial"/>
                <w:sz w:val="17"/>
                <w:szCs w:val="17"/>
                <w:b w:val="1"/>
                <w:bCs w:val="1"/>
                <w:color w:val="00539B"/>
              </w:rPr>
              <w:t>$</w:t>
            </w:r>
          </w:p>
        </w:tc>
        <w:tc>
          <w:tcPr>
            <w:tcW w:w="1320" w:type="dxa"/>
            <w:vAlign w:val="bottom"/>
            <w:vMerge w:val="restart"/>
          </w:tcPr>
          <w:p>
            <w:pPr>
              <w:jc w:val="right"/>
              <w:spacing w:after="0"/>
              <w:rPr>
                <w:sz w:val="20"/>
                <w:szCs w:val="20"/>
                <w:color w:val="auto"/>
              </w:rPr>
            </w:pPr>
            <w:r>
              <w:rPr>
                <w:rFonts w:ascii="Arial" w:cs="Arial" w:eastAsia="Arial" w:hAnsi="Arial"/>
                <w:sz w:val="17"/>
                <w:szCs w:val="17"/>
                <w:b w:val="1"/>
                <w:bCs w:val="1"/>
                <w:color w:val="00539B"/>
              </w:rPr>
              <w:t>(209)</w:t>
            </w:r>
          </w:p>
        </w:tc>
        <w:tc>
          <w:tcPr>
            <w:tcW w:w="300" w:type="dxa"/>
            <w:vAlign w:val="bottom"/>
          </w:tcPr>
          <w:p>
            <w:pPr>
              <w:spacing w:after="0"/>
              <w:rPr>
                <w:sz w:val="18"/>
                <w:szCs w:val="18"/>
                <w:color w:val="auto"/>
              </w:rPr>
            </w:pPr>
          </w:p>
        </w:tc>
        <w:tc>
          <w:tcPr>
            <w:tcW w:w="1780" w:type="dxa"/>
            <w:vAlign w:val="bottom"/>
            <w:gridSpan w:val="2"/>
            <w:vMerge w:val="restart"/>
          </w:tcPr>
          <w:p>
            <w:pPr>
              <w:jc w:val="right"/>
              <w:ind w:right="216"/>
              <w:spacing w:after="0"/>
              <w:rPr>
                <w:sz w:val="20"/>
                <w:szCs w:val="20"/>
                <w:color w:val="auto"/>
              </w:rPr>
            </w:pPr>
            <w:r>
              <w:rPr>
                <w:rFonts w:ascii="Arial" w:cs="Arial" w:eastAsia="Arial" w:hAnsi="Arial"/>
                <w:sz w:val="17"/>
                <w:szCs w:val="17"/>
                <w:color w:val="auto"/>
              </w:rPr>
              <w:t xml:space="preserve">— </w:t>
            </w:r>
            <w:r>
              <w:rPr>
                <w:rFonts w:ascii="Arial" w:cs="Arial" w:eastAsia="Arial" w:hAnsi="Arial"/>
                <w:sz w:val="17"/>
                <w:szCs w:val="17"/>
                <w:b w:val="1"/>
                <w:bCs w:val="1"/>
                <w:color w:val="00539B"/>
              </w:rPr>
              <w:t>$</w:t>
            </w:r>
          </w:p>
        </w:tc>
        <w:tc>
          <w:tcPr>
            <w:tcW w:w="1400" w:type="dxa"/>
            <w:vAlign w:val="bottom"/>
            <w:vMerge w:val="restart"/>
          </w:tcPr>
          <w:p>
            <w:pPr>
              <w:jc w:val="right"/>
              <w:spacing w:after="0"/>
              <w:rPr>
                <w:sz w:val="20"/>
                <w:szCs w:val="20"/>
                <w:color w:val="auto"/>
              </w:rPr>
            </w:pPr>
            <w:r>
              <w:rPr>
                <w:rFonts w:ascii="Arial" w:cs="Arial" w:eastAsia="Arial" w:hAnsi="Arial"/>
                <w:sz w:val="17"/>
                <w:szCs w:val="17"/>
                <w:b w:val="1"/>
                <w:bCs w:val="1"/>
                <w:color w:val="00539B"/>
              </w:rPr>
              <w:t>(209)</w:t>
            </w:r>
          </w:p>
        </w:tc>
        <w:tc>
          <w:tcPr>
            <w:tcW w:w="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000" w:type="dxa"/>
            <w:vAlign w:val="bottom"/>
          </w:tcPr>
          <w:p>
            <w:pPr>
              <w:ind w:left="220"/>
              <w:spacing w:after="0"/>
              <w:rPr>
                <w:sz w:val="20"/>
                <w:szCs w:val="20"/>
                <w:color w:val="auto"/>
              </w:rPr>
            </w:pPr>
            <w:r>
              <w:rPr>
                <w:rFonts w:ascii="Arial" w:cs="Arial" w:eastAsia="Arial" w:hAnsi="Arial"/>
                <w:sz w:val="17"/>
                <w:szCs w:val="17"/>
                <w:color w:val="auto"/>
              </w:rPr>
              <w:t>Asset impairments - domestic</w:t>
            </w:r>
          </w:p>
        </w:tc>
        <w:tc>
          <w:tcPr>
            <w:tcW w:w="320" w:type="dxa"/>
            <w:vAlign w:val="bottom"/>
            <w:vMerge w:val="continue"/>
          </w:tcPr>
          <w:p>
            <w:pPr>
              <w:spacing w:after="0"/>
              <w:rPr>
                <w:sz w:val="17"/>
                <w:szCs w:val="17"/>
                <w:color w:val="auto"/>
              </w:rPr>
            </w:pPr>
          </w:p>
        </w:tc>
        <w:tc>
          <w:tcPr>
            <w:tcW w:w="1320" w:type="dxa"/>
            <w:vAlign w:val="bottom"/>
            <w:vMerge w:val="continue"/>
          </w:tcPr>
          <w:p>
            <w:pPr>
              <w:spacing w:after="0"/>
              <w:rPr>
                <w:sz w:val="17"/>
                <w:szCs w:val="17"/>
                <w:color w:val="auto"/>
              </w:rPr>
            </w:pPr>
          </w:p>
        </w:tc>
        <w:tc>
          <w:tcPr>
            <w:tcW w:w="300" w:type="dxa"/>
            <w:vAlign w:val="bottom"/>
          </w:tcPr>
          <w:p>
            <w:pPr>
              <w:jc w:val="right"/>
              <w:ind w:right="96"/>
              <w:spacing w:after="0"/>
              <w:rPr>
                <w:sz w:val="20"/>
                <w:szCs w:val="20"/>
                <w:color w:val="auto"/>
              </w:rPr>
            </w:pPr>
            <w:r>
              <w:rPr>
                <w:rFonts w:ascii="Arial" w:cs="Arial" w:eastAsia="Arial" w:hAnsi="Arial"/>
                <w:sz w:val="17"/>
                <w:szCs w:val="17"/>
                <w:color w:val="auto"/>
              </w:rPr>
              <w:t>$</w:t>
            </w:r>
          </w:p>
        </w:tc>
        <w:tc>
          <w:tcPr>
            <w:tcW w:w="1780" w:type="dxa"/>
            <w:vAlign w:val="bottom"/>
            <w:gridSpan w:val="2"/>
            <w:vMerge w:val="continue"/>
          </w:tcPr>
          <w:p>
            <w:pPr>
              <w:spacing w:after="0"/>
              <w:rPr>
                <w:sz w:val="17"/>
                <w:szCs w:val="17"/>
                <w:color w:val="auto"/>
              </w:rPr>
            </w:pPr>
          </w:p>
        </w:tc>
        <w:tc>
          <w:tcPr>
            <w:tcW w:w="1400" w:type="dxa"/>
            <w:vAlign w:val="bottom"/>
            <w:vMerge w:val="continue"/>
          </w:tcPr>
          <w:p>
            <w:pPr>
              <w:spacing w:after="0"/>
              <w:rPr>
                <w:sz w:val="17"/>
                <w:szCs w:val="17"/>
                <w:color w:val="auto"/>
              </w:rPr>
            </w:pPr>
          </w:p>
        </w:tc>
        <w:tc>
          <w:tcPr>
            <w:tcW w:w="220" w:type="dxa"/>
            <w:vAlign w:val="bottom"/>
          </w:tcPr>
          <w:p>
            <w:pPr>
              <w:jc w:val="right"/>
              <w:ind w:right="36"/>
              <w:spacing w:after="0"/>
              <w:rPr>
                <w:sz w:val="20"/>
                <w:szCs w:val="20"/>
                <w:color w:val="auto"/>
              </w:rPr>
            </w:pPr>
            <w:r>
              <w:rPr>
                <w:rFonts w:ascii="Arial" w:cs="Arial" w:eastAsia="Arial" w:hAnsi="Arial"/>
                <w:sz w:val="17"/>
                <w:szCs w:val="17"/>
                <w:color w:val="auto"/>
                <w:w w:val="84"/>
              </w:rPr>
              <w:t>$</w:t>
            </w:r>
          </w:p>
        </w:tc>
        <w:tc>
          <w:tcPr>
            <w:tcW w:w="158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7"/>
        </w:trPr>
        <w:tc>
          <w:tcPr>
            <w:tcW w:w="4000" w:type="dxa"/>
            <w:vAlign w:val="bottom"/>
          </w:tcPr>
          <w:p>
            <w:pPr>
              <w:ind w:left="220"/>
              <w:spacing w:after="0"/>
              <w:rPr>
                <w:sz w:val="20"/>
                <w:szCs w:val="20"/>
                <w:color w:val="auto"/>
              </w:rPr>
            </w:pPr>
            <w:r>
              <w:rPr>
                <w:rFonts w:ascii="Arial" w:cs="Arial" w:eastAsia="Arial" w:hAnsi="Arial"/>
                <w:sz w:val="17"/>
                <w:szCs w:val="17"/>
                <w:color w:val="auto"/>
              </w:rPr>
              <w:t>Asset sales gains, net - domestic</w:t>
            </w: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b w:val="1"/>
                <w:bCs w:val="1"/>
                <w:color w:val="00539B"/>
              </w:rPr>
              <w:t>—</w:t>
            </w: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b w:val="1"/>
                <w:bCs w:val="1"/>
                <w:color w:val="00539B"/>
              </w:rPr>
              <w:t>—</w:t>
            </w: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137</w:t>
            </w:r>
          </w:p>
        </w:tc>
        <w:tc>
          <w:tcPr>
            <w:tcW w:w="0" w:type="dxa"/>
            <w:vAlign w:val="bottom"/>
          </w:tcPr>
          <w:p>
            <w:pPr>
              <w:spacing w:after="0"/>
              <w:rPr>
                <w:sz w:val="1"/>
                <w:szCs w:val="1"/>
                <w:color w:val="auto"/>
              </w:rPr>
            </w:pPr>
          </w:p>
        </w:tc>
      </w:tr>
      <w:tr>
        <w:trPr>
          <w:trHeight w:val="227"/>
        </w:trPr>
        <w:tc>
          <w:tcPr>
            <w:tcW w:w="4000" w:type="dxa"/>
            <w:vAlign w:val="bottom"/>
          </w:tcPr>
          <w:p>
            <w:pPr>
              <w:ind w:left="220"/>
              <w:spacing w:after="0"/>
              <w:rPr>
                <w:sz w:val="20"/>
                <w:szCs w:val="20"/>
                <w:color w:val="auto"/>
              </w:rPr>
            </w:pPr>
            <w:r>
              <w:rPr>
                <w:rFonts w:ascii="Arial" w:cs="Arial" w:eastAsia="Arial" w:hAnsi="Arial"/>
                <w:sz w:val="17"/>
                <w:szCs w:val="17"/>
                <w:color w:val="auto"/>
              </w:rPr>
              <w:t>Legal settlement gain</w:t>
            </w: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b w:val="1"/>
                <w:bCs w:val="1"/>
                <w:color w:val="00539B"/>
              </w:rPr>
              <w:t>—</w:t>
            </w: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26</w:t>
            </w:r>
          </w:p>
        </w:tc>
        <w:tc>
          <w:tcPr>
            <w:tcW w:w="4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b w:val="1"/>
                <w:bCs w:val="1"/>
                <w:color w:val="00539B"/>
              </w:rPr>
              <w:t>26</w:t>
            </w: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6"/>
        </w:trPr>
        <w:tc>
          <w:tcPr>
            <w:tcW w:w="400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Asset sales gains, net - international</w:t>
            </w:r>
          </w:p>
        </w:tc>
        <w:tc>
          <w:tcPr>
            <w:tcW w:w="3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w:t>
            </w:r>
          </w:p>
        </w:tc>
        <w:tc>
          <w:tcPr>
            <w:tcW w:w="3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4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w:t>
            </w:r>
          </w:p>
        </w:tc>
        <w:tc>
          <w:tcPr>
            <w:tcW w:w="2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20"/>
        </w:trPr>
        <w:tc>
          <w:tcPr>
            <w:tcW w:w="40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Total oil and gas</w:t>
            </w:r>
          </w:p>
        </w:tc>
        <w:tc>
          <w:tcPr>
            <w:tcW w:w="3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(209)</w:t>
            </w:r>
          </w:p>
        </w:tc>
        <w:tc>
          <w:tcPr>
            <w:tcW w:w="3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w:t>
            </w:r>
          </w:p>
        </w:tc>
        <w:tc>
          <w:tcPr>
            <w:tcW w:w="4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(183)</w:t>
            </w:r>
          </w:p>
        </w:tc>
        <w:tc>
          <w:tcPr>
            <w:tcW w:w="2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147</w:t>
            </w:r>
          </w:p>
        </w:tc>
        <w:tc>
          <w:tcPr>
            <w:tcW w:w="0" w:type="dxa"/>
            <w:vAlign w:val="bottom"/>
          </w:tcPr>
          <w:p>
            <w:pPr>
              <w:spacing w:after="0"/>
              <w:rPr>
                <w:sz w:val="1"/>
                <w:szCs w:val="1"/>
                <w:color w:val="auto"/>
              </w:rPr>
            </w:pPr>
          </w:p>
        </w:tc>
      </w:tr>
      <w:tr>
        <w:trPr>
          <w:trHeight w:val="469"/>
        </w:trPr>
        <w:tc>
          <w:tcPr>
            <w:tcW w:w="4000" w:type="dxa"/>
            <w:vAlign w:val="bottom"/>
          </w:tcPr>
          <w:p>
            <w:pPr>
              <w:ind w:left="20"/>
              <w:spacing w:after="0"/>
              <w:rPr>
                <w:sz w:val="20"/>
                <w:szCs w:val="20"/>
                <w:color w:val="auto"/>
              </w:rPr>
            </w:pPr>
            <w:r>
              <w:rPr>
                <w:rFonts w:ascii="Arial" w:cs="Arial" w:eastAsia="Arial" w:hAnsi="Arial"/>
                <w:sz w:val="17"/>
                <w:szCs w:val="17"/>
                <w:b w:val="1"/>
                <w:bCs w:val="1"/>
                <w:color w:val="auto"/>
              </w:rPr>
              <w:t>Midstream and marketing</w:t>
            </w:r>
          </w:p>
        </w:tc>
        <w:tc>
          <w:tcPr>
            <w:tcW w:w="320" w:type="dxa"/>
            <w:vAlign w:val="bottom"/>
          </w:tcPr>
          <w:p>
            <w:pPr>
              <w:spacing w:after="0"/>
              <w:rPr>
                <w:sz w:val="24"/>
                <w:szCs w:val="24"/>
                <w:color w:val="auto"/>
              </w:rPr>
            </w:pPr>
          </w:p>
        </w:tc>
        <w:tc>
          <w:tcPr>
            <w:tcW w:w="1320" w:type="dxa"/>
            <w:vAlign w:val="bottom"/>
            <w:vMerge w:val="restart"/>
          </w:tcPr>
          <w:p>
            <w:pPr>
              <w:jc w:val="right"/>
              <w:spacing w:after="0"/>
              <w:rPr>
                <w:sz w:val="20"/>
                <w:szCs w:val="20"/>
                <w:color w:val="auto"/>
              </w:rPr>
            </w:pPr>
            <w:r>
              <w:rPr>
                <w:rFonts w:ascii="Arial" w:cs="Arial" w:eastAsia="Arial" w:hAnsi="Arial"/>
                <w:sz w:val="17"/>
                <w:szCs w:val="17"/>
                <w:b w:val="1"/>
                <w:bCs w:val="1"/>
                <w:color w:val="00539B"/>
              </w:rPr>
              <w:t>—</w:t>
            </w:r>
          </w:p>
        </w:tc>
        <w:tc>
          <w:tcPr>
            <w:tcW w:w="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0" w:type="dxa"/>
            <w:vAlign w:val="bottom"/>
            <w:vMerge w:val="restart"/>
          </w:tcPr>
          <w:p>
            <w:pPr>
              <w:jc w:val="right"/>
              <w:spacing w:after="0"/>
              <w:rPr>
                <w:sz w:val="20"/>
                <w:szCs w:val="20"/>
                <w:color w:val="auto"/>
              </w:rPr>
            </w:pPr>
            <w:r>
              <w:rPr>
                <w:rFonts w:ascii="Arial" w:cs="Arial" w:eastAsia="Arial" w:hAnsi="Arial"/>
                <w:sz w:val="17"/>
                <w:szCs w:val="17"/>
                <w:b w:val="1"/>
                <w:bCs w:val="1"/>
                <w:color w:val="00539B"/>
              </w:rPr>
              <w:t>(26)</w:t>
            </w:r>
          </w:p>
        </w:tc>
        <w:tc>
          <w:tcPr>
            <w:tcW w:w="2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4000" w:type="dxa"/>
            <w:vAlign w:val="bottom"/>
          </w:tcPr>
          <w:p>
            <w:pPr>
              <w:ind w:left="220"/>
              <w:spacing w:after="0" w:line="219" w:lineRule="exact"/>
              <w:rPr>
                <w:sz w:val="20"/>
                <w:szCs w:val="20"/>
                <w:color w:val="auto"/>
              </w:rPr>
            </w:pPr>
            <w:r>
              <w:rPr>
                <w:rFonts w:ascii="Arial" w:cs="Arial" w:eastAsia="Arial" w:hAnsi="Arial"/>
                <w:sz w:val="17"/>
                <w:szCs w:val="17"/>
                <w:color w:val="auto"/>
              </w:rPr>
              <w:t xml:space="preserve">Asset impairments </w:t>
            </w:r>
            <w:r>
              <w:rPr>
                <w:rFonts w:ascii="Arial" w:cs="Arial" w:eastAsia="Arial" w:hAnsi="Arial"/>
                <w:sz w:val="21"/>
                <w:szCs w:val="21"/>
                <w:color w:val="auto"/>
                <w:vertAlign w:val="superscript"/>
              </w:rPr>
              <w:t>(a)</w:t>
            </w:r>
          </w:p>
        </w:tc>
        <w:tc>
          <w:tcPr>
            <w:tcW w:w="320" w:type="dxa"/>
            <w:vAlign w:val="bottom"/>
          </w:tcPr>
          <w:p>
            <w:pPr>
              <w:spacing w:after="0"/>
              <w:rPr>
                <w:sz w:val="19"/>
                <w:szCs w:val="19"/>
                <w:color w:val="auto"/>
              </w:rPr>
            </w:pPr>
          </w:p>
        </w:tc>
        <w:tc>
          <w:tcPr>
            <w:tcW w:w="132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(26)</w:t>
            </w:r>
          </w:p>
        </w:tc>
        <w:tc>
          <w:tcPr>
            <w:tcW w:w="400" w:type="dxa"/>
            <w:vAlign w:val="bottom"/>
          </w:tcPr>
          <w:p>
            <w:pPr>
              <w:spacing w:after="0"/>
              <w:rPr>
                <w:sz w:val="19"/>
                <w:szCs w:val="19"/>
                <w:color w:val="auto"/>
              </w:rPr>
            </w:pPr>
          </w:p>
        </w:tc>
        <w:tc>
          <w:tcPr>
            <w:tcW w:w="140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7"/>
        </w:trPr>
        <w:tc>
          <w:tcPr>
            <w:tcW w:w="400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Derivative gains (losses), net</w:t>
            </w:r>
          </w:p>
        </w:tc>
        <w:tc>
          <w:tcPr>
            <w:tcW w:w="3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48</w:t>
            </w:r>
          </w:p>
        </w:tc>
        <w:tc>
          <w:tcPr>
            <w:tcW w:w="3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w:t>
            </w:r>
          </w:p>
        </w:tc>
        <w:tc>
          <w:tcPr>
            <w:tcW w:w="4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40</w:t>
            </w:r>
          </w:p>
        </w:tc>
        <w:tc>
          <w:tcPr>
            <w:tcW w:w="2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(102)</w:t>
            </w:r>
          </w:p>
        </w:tc>
        <w:tc>
          <w:tcPr>
            <w:tcW w:w="0" w:type="dxa"/>
            <w:vAlign w:val="bottom"/>
          </w:tcPr>
          <w:p>
            <w:pPr>
              <w:spacing w:after="0"/>
              <w:rPr>
                <w:sz w:val="1"/>
                <w:szCs w:val="1"/>
                <w:color w:val="auto"/>
              </w:rPr>
            </w:pPr>
          </w:p>
        </w:tc>
      </w:tr>
      <w:tr>
        <w:trPr>
          <w:trHeight w:val="209"/>
        </w:trPr>
        <w:tc>
          <w:tcPr>
            <w:tcW w:w="40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Total midstream and marketing</w:t>
            </w:r>
          </w:p>
        </w:tc>
        <w:tc>
          <w:tcPr>
            <w:tcW w:w="3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48</w:t>
            </w:r>
          </w:p>
        </w:tc>
        <w:tc>
          <w:tcPr>
            <w:tcW w:w="3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w:t>
            </w:r>
          </w:p>
        </w:tc>
        <w:tc>
          <w:tcPr>
            <w:tcW w:w="4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14</w:t>
            </w:r>
          </w:p>
        </w:tc>
        <w:tc>
          <w:tcPr>
            <w:tcW w:w="2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(102)</w:t>
            </w:r>
          </w:p>
        </w:tc>
        <w:tc>
          <w:tcPr>
            <w:tcW w:w="0" w:type="dxa"/>
            <w:vAlign w:val="bottom"/>
          </w:tcPr>
          <w:p>
            <w:pPr>
              <w:spacing w:after="0"/>
              <w:rPr>
                <w:sz w:val="1"/>
                <w:szCs w:val="1"/>
                <w:color w:val="auto"/>
              </w:rPr>
            </w:pPr>
          </w:p>
        </w:tc>
      </w:tr>
      <w:tr>
        <w:trPr>
          <w:trHeight w:val="362"/>
        </w:trPr>
        <w:tc>
          <w:tcPr>
            <w:tcW w:w="4000" w:type="dxa"/>
            <w:vAlign w:val="bottom"/>
          </w:tcPr>
          <w:p>
            <w:pPr>
              <w:ind w:left="20"/>
              <w:spacing w:after="0"/>
              <w:rPr>
                <w:sz w:val="20"/>
                <w:szCs w:val="20"/>
                <w:color w:val="auto"/>
              </w:rPr>
            </w:pPr>
            <w:r>
              <w:rPr>
                <w:rFonts w:ascii="Arial" w:cs="Arial" w:eastAsia="Arial" w:hAnsi="Arial"/>
                <w:sz w:val="17"/>
                <w:szCs w:val="17"/>
                <w:b w:val="1"/>
                <w:bCs w:val="1"/>
                <w:color w:val="auto"/>
              </w:rPr>
              <w:t>Corporate</w:t>
            </w:r>
          </w:p>
        </w:tc>
        <w:tc>
          <w:tcPr>
            <w:tcW w:w="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0" w:type="dxa"/>
            <w:vAlign w:val="bottom"/>
            <w:vMerge w:val="restart"/>
          </w:tcPr>
          <w:p>
            <w:pPr>
              <w:jc w:val="right"/>
              <w:spacing w:after="0"/>
              <w:rPr>
                <w:sz w:val="20"/>
                <w:szCs w:val="20"/>
                <w:color w:val="auto"/>
              </w:rPr>
            </w:pPr>
            <w:r>
              <w:rPr>
                <w:rFonts w:ascii="Arial" w:cs="Arial" w:eastAsia="Arial" w:hAnsi="Arial"/>
                <w:sz w:val="17"/>
                <w:szCs w:val="17"/>
                <w:b w:val="1"/>
                <w:bCs w:val="1"/>
                <w:color w:val="00539B"/>
              </w:rPr>
              <w:t>—</w:t>
            </w:r>
          </w:p>
        </w:tc>
        <w:tc>
          <w:tcPr>
            <w:tcW w:w="2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4000" w:type="dxa"/>
            <w:vAlign w:val="bottom"/>
          </w:tcPr>
          <w:p>
            <w:pPr>
              <w:ind w:left="180"/>
              <w:spacing w:after="0"/>
              <w:rPr>
                <w:sz w:val="20"/>
                <w:szCs w:val="20"/>
                <w:color w:val="auto"/>
              </w:rPr>
            </w:pPr>
            <w:r>
              <w:rPr>
                <w:rFonts w:ascii="Arial" w:cs="Arial" w:eastAsia="Arial" w:hAnsi="Arial"/>
                <w:sz w:val="17"/>
                <w:szCs w:val="17"/>
                <w:color w:val="auto"/>
              </w:rPr>
              <w:t>Anadarko acquisition-related costs</w:t>
            </w: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00539B"/>
              </w:rPr>
              <w:t>—</w:t>
            </w: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19"/>
                <w:szCs w:val="19"/>
                <w:color w:val="auto"/>
              </w:rPr>
            </w:pPr>
          </w:p>
        </w:tc>
        <w:tc>
          <w:tcPr>
            <w:tcW w:w="140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(78)</w:t>
            </w:r>
          </w:p>
        </w:tc>
        <w:tc>
          <w:tcPr>
            <w:tcW w:w="0" w:type="dxa"/>
            <w:vAlign w:val="bottom"/>
          </w:tcPr>
          <w:p>
            <w:pPr>
              <w:spacing w:after="0"/>
              <w:rPr>
                <w:sz w:val="1"/>
                <w:szCs w:val="1"/>
                <w:color w:val="auto"/>
              </w:rPr>
            </w:pPr>
          </w:p>
        </w:tc>
      </w:tr>
      <w:tr>
        <w:trPr>
          <w:trHeight w:val="227"/>
        </w:trPr>
        <w:tc>
          <w:tcPr>
            <w:tcW w:w="4000" w:type="dxa"/>
            <w:vAlign w:val="bottom"/>
          </w:tcPr>
          <w:p>
            <w:pPr>
              <w:ind w:left="180"/>
              <w:spacing w:after="0"/>
              <w:rPr>
                <w:sz w:val="20"/>
                <w:szCs w:val="20"/>
                <w:color w:val="auto"/>
              </w:rPr>
            </w:pPr>
            <w:r>
              <w:rPr>
                <w:rFonts w:ascii="Arial" w:cs="Arial" w:eastAsia="Arial" w:hAnsi="Arial"/>
                <w:sz w:val="17"/>
                <w:szCs w:val="17"/>
                <w:color w:val="auto"/>
              </w:rPr>
              <w:t>Interest rate swap gains, net</w:t>
            </w: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b w:val="1"/>
                <w:bCs w:val="1"/>
                <w:color w:val="00539B"/>
              </w:rPr>
              <w:t>—</w:t>
            </w: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b w:val="1"/>
                <w:bCs w:val="1"/>
                <w:color w:val="00539B"/>
              </w:rPr>
              <w:t>—</w:t>
            </w: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262</w:t>
            </w:r>
          </w:p>
        </w:tc>
        <w:tc>
          <w:tcPr>
            <w:tcW w:w="0" w:type="dxa"/>
            <w:vAlign w:val="bottom"/>
          </w:tcPr>
          <w:p>
            <w:pPr>
              <w:spacing w:after="0"/>
              <w:rPr>
                <w:sz w:val="1"/>
                <w:szCs w:val="1"/>
                <w:color w:val="auto"/>
              </w:rPr>
            </w:pPr>
          </w:p>
        </w:tc>
      </w:tr>
      <w:tr>
        <w:trPr>
          <w:trHeight w:val="213"/>
        </w:trPr>
        <w:tc>
          <w:tcPr>
            <w:tcW w:w="4000" w:type="dxa"/>
            <w:vAlign w:val="bottom"/>
          </w:tcPr>
          <w:p>
            <w:pPr>
              <w:ind w:left="180"/>
              <w:spacing w:after="0"/>
              <w:rPr>
                <w:sz w:val="20"/>
                <w:szCs w:val="20"/>
                <w:color w:val="auto"/>
              </w:rPr>
            </w:pPr>
            <w:r>
              <w:rPr>
                <w:rFonts w:ascii="Arial" w:cs="Arial" w:eastAsia="Arial" w:hAnsi="Arial"/>
                <w:sz w:val="17"/>
                <w:szCs w:val="17"/>
                <w:color w:val="auto"/>
              </w:rPr>
              <w:t>Maxus receivable valuation allowance adjustment</w:t>
            </w:r>
          </w:p>
        </w:tc>
        <w:tc>
          <w:tcPr>
            <w:tcW w:w="3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b w:val="1"/>
                <w:bCs w:val="1"/>
                <w:color w:val="00539B"/>
              </w:rPr>
              <w:t>260</w:t>
            </w:r>
          </w:p>
        </w:tc>
        <w:tc>
          <w:tcPr>
            <w:tcW w:w="3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b w:val="1"/>
                <w:bCs w:val="1"/>
                <w:color w:val="00539B"/>
              </w:rPr>
              <w:t>260</w:t>
            </w:r>
          </w:p>
        </w:tc>
        <w:tc>
          <w:tcPr>
            <w:tcW w:w="2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(22)</w:t>
            </w:r>
          </w:p>
        </w:tc>
        <w:tc>
          <w:tcPr>
            <w:tcW w:w="0" w:type="dxa"/>
            <w:vAlign w:val="bottom"/>
          </w:tcPr>
          <w:p>
            <w:pPr>
              <w:spacing w:after="0"/>
              <w:rPr>
                <w:sz w:val="1"/>
                <w:szCs w:val="1"/>
                <w:color w:val="auto"/>
              </w:rPr>
            </w:pPr>
          </w:p>
        </w:tc>
      </w:tr>
      <w:tr>
        <w:trPr>
          <w:trHeight w:val="237"/>
        </w:trPr>
        <w:tc>
          <w:tcPr>
            <w:tcW w:w="4000" w:type="dxa"/>
            <w:vAlign w:val="bottom"/>
            <w:tcBorders>
              <w:bottom w:val="single" w:sz="8" w:color="auto"/>
            </w:tcBorders>
          </w:tcPr>
          <w:p>
            <w:pPr>
              <w:ind w:left="180"/>
              <w:spacing w:after="0"/>
              <w:rPr>
                <w:sz w:val="20"/>
                <w:szCs w:val="20"/>
                <w:color w:val="auto"/>
              </w:rPr>
            </w:pPr>
            <w:r>
              <w:rPr>
                <w:rFonts w:ascii="Arial" w:cs="Arial" w:eastAsia="Arial" w:hAnsi="Arial"/>
                <w:sz w:val="17"/>
                <w:szCs w:val="17"/>
                <w:color w:val="auto"/>
              </w:rPr>
              <w:t>Early debt extinguishment</w:t>
            </w:r>
          </w:p>
        </w:tc>
        <w:tc>
          <w:tcPr>
            <w:tcW w:w="3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w:t>
            </w:r>
          </w:p>
        </w:tc>
        <w:tc>
          <w:tcPr>
            <w:tcW w:w="3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4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w:t>
            </w:r>
          </w:p>
        </w:tc>
        <w:tc>
          <w:tcPr>
            <w:tcW w:w="2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161</w:t>
            </w:r>
          </w:p>
        </w:tc>
        <w:tc>
          <w:tcPr>
            <w:tcW w:w="0" w:type="dxa"/>
            <w:vAlign w:val="bottom"/>
          </w:tcPr>
          <w:p>
            <w:pPr>
              <w:spacing w:after="0"/>
              <w:rPr>
                <w:sz w:val="1"/>
                <w:szCs w:val="1"/>
                <w:color w:val="auto"/>
              </w:rPr>
            </w:pPr>
          </w:p>
        </w:tc>
      </w:tr>
      <w:tr>
        <w:trPr>
          <w:trHeight w:val="223"/>
        </w:trPr>
        <w:tc>
          <w:tcPr>
            <w:tcW w:w="40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Total corporate</w:t>
            </w:r>
          </w:p>
        </w:tc>
        <w:tc>
          <w:tcPr>
            <w:tcW w:w="3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260</w:t>
            </w:r>
          </w:p>
        </w:tc>
        <w:tc>
          <w:tcPr>
            <w:tcW w:w="3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4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260</w:t>
            </w:r>
          </w:p>
        </w:tc>
        <w:tc>
          <w:tcPr>
            <w:tcW w:w="2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323</w:t>
            </w:r>
          </w:p>
        </w:tc>
        <w:tc>
          <w:tcPr>
            <w:tcW w:w="0" w:type="dxa"/>
            <w:vAlign w:val="bottom"/>
          </w:tcPr>
          <w:p>
            <w:pPr>
              <w:spacing w:after="0"/>
              <w:rPr>
                <w:sz w:val="1"/>
                <w:szCs w:val="1"/>
                <w:color w:val="auto"/>
              </w:rPr>
            </w:pPr>
          </w:p>
        </w:tc>
      </w:tr>
      <w:tr>
        <w:trPr>
          <w:trHeight w:val="354"/>
        </w:trPr>
        <w:tc>
          <w:tcPr>
            <w:tcW w:w="4000" w:type="dxa"/>
            <w:vAlign w:val="bottom"/>
          </w:tcPr>
          <w:p>
            <w:pPr>
              <w:ind w:left="180"/>
              <w:spacing w:after="0"/>
              <w:rPr>
                <w:sz w:val="20"/>
                <w:szCs w:val="20"/>
                <w:color w:val="auto"/>
              </w:rPr>
            </w:pPr>
            <w:r>
              <w:rPr>
                <w:rFonts w:ascii="Arial" w:cs="Arial" w:eastAsia="Arial" w:hAnsi="Arial"/>
                <w:sz w:val="17"/>
                <w:szCs w:val="17"/>
                <w:color w:val="auto"/>
              </w:rPr>
              <w:t>Income tax impact of legal entity reorganization</w:t>
            </w:r>
          </w:p>
        </w:tc>
        <w:tc>
          <w:tcPr>
            <w:tcW w:w="32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7"/>
                <w:szCs w:val="17"/>
                <w:b w:val="1"/>
                <w:bCs w:val="1"/>
                <w:color w:val="00539B"/>
              </w:rPr>
              <w:t>—</w:t>
            </w:r>
          </w:p>
        </w:tc>
        <w:tc>
          <w:tcPr>
            <w:tcW w:w="30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7"/>
                <w:szCs w:val="17"/>
                <w:b w:val="1"/>
                <w:bCs w:val="1"/>
                <w:color w:val="00539B"/>
              </w:rPr>
              <w:t>—</w:t>
            </w:r>
          </w:p>
        </w:tc>
        <w:tc>
          <w:tcPr>
            <w:tcW w:w="22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2,594</w:t>
            </w:r>
          </w:p>
        </w:tc>
        <w:tc>
          <w:tcPr>
            <w:tcW w:w="0" w:type="dxa"/>
            <w:vAlign w:val="bottom"/>
          </w:tcPr>
          <w:p>
            <w:pPr>
              <w:spacing w:after="0"/>
              <w:rPr>
                <w:sz w:val="1"/>
                <w:szCs w:val="1"/>
                <w:color w:val="auto"/>
              </w:rPr>
            </w:pPr>
          </w:p>
        </w:tc>
      </w:tr>
      <w:tr>
        <w:trPr>
          <w:trHeight w:val="213"/>
        </w:trPr>
        <w:tc>
          <w:tcPr>
            <w:tcW w:w="4000" w:type="dxa"/>
            <w:vAlign w:val="bottom"/>
          </w:tcPr>
          <w:p>
            <w:pPr>
              <w:ind w:left="180"/>
              <w:spacing w:after="0"/>
              <w:rPr>
                <w:sz w:val="20"/>
                <w:szCs w:val="20"/>
                <w:color w:val="auto"/>
              </w:rPr>
            </w:pPr>
            <w:r>
              <w:rPr>
                <w:rFonts w:ascii="Arial" w:cs="Arial" w:eastAsia="Arial" w:hAnsi="Arial"/>
                <w:sz w:val="17"/>
                <w:szCs w:val="17"/>
                <w:color w:val="auto"/>
              </w:rPr>
              <w:t>Exploration license expiration tax benefit</w:t>
            </w:r>
          </w:p>
        </w:tc>
        <w:tc>
          <w:tcPr>
            <w:tcW w:w="3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b w:val="1"/>
                <w:bCs w:val="1"/>
                <w:color w:val="00539B"/>
              </w:rPr>
              <w:t>—</w:t>
            </w:r>
          </w:p>
        </w:tc>
        <w:tc>
          <w:tcPr>
            <w:tcW w:w="3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b w:val="1"/>
                <w:bCs w:val="1"/>
                <w:color w:val="00539B"/>
              </w:rPr>
              <w:t>—</w:t>
            </w:r>
          </w:p>
        </w:tc>
        <w:tc>
          <w:tcPr>
            <w:tcW w:w="2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27"/>
        </w:trPr>
        <w:tc>
          <w:tcPr>
            <w:tcW w:w="4000" w:type="dxa"/>
            <w:vAlign w:val="bottom"/>
          </w:tcPr>
          <w:p>
            <w:pPr>
              <w:ind w:left="180"/>
              <w:spacing w:after="0"/>
              <w:rPr>
                <w:sz w:val="20"/>
                <w:szCs w:val="20"/>
                <w:color w:val="auto"/>
              </w:rPr>
            </w:pPr>
            <w:r>
              <w:rPr>
                <w:rFonts w:ascii="Arial" w:cs="Arial" w:eastAsia="Arial" w:hAnsi="Arial"/>
                <w:sz w:val="17"/>
                <w:szCs w:val="17"/>
                <w:color w:val="auto"/>
              </w:rPr>
              <w:t>State tax rate revaluation</w:t>
            </w: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b w:val="1"/>
                <w:bCs w:val="1"/>
                <w:color w:val="00539B"/>
              </w:rPr>
              <w:t>—</w:t>
            </w: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b w:val="1"/>
                <w:bCs w:val="1"/>
                <w:color w:val="00539B"/>
              </w:rPr>
              <w:t>—</w:t>
            </w: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27"/>
        </w:trPr>
        <w:tc>
          <w:tcPr>
            <w:tcW w:w="4000" w:type="dxa"/>
            <w:vAlign w:val="bottom"/>
          </w:tcPr>
          <w:p>
            <w:pPr>
              <w:ind w:left="180"/>
              <w:spacing w:after="0"/>
              <w:rPr>
                <w:sz w:val="20"/>
                <w:szCs w:val="20"/>
                <w:color w:val="auto"/>
              </w:rPr>
            </w:pPr>
            <w:r>
              <w:rPr>
                <w:rFonts w:ascii="Arial" w:cs="Arial" w:eastAsia="Arial" w:hAnsi="Arial"/>
                <w:sz w:val="17"/>
                <w:szCs w:val="17"/>
                <w:color w:val="auto"/>
              </w:rPr>
              <w:t>Deferred taxes on Algeria contract renewal</w:t>
            </w: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b w:val="1"/>
                <w:bCs w:val="1"/>
                <w:color w:val="00539B"/>
              </w:rPr>
              <w:t>(68)</w:t>
            </w: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b w:val="1"/>
                <w:bCs w:val="1"/>
                <w:color w:val="00539B"/>
              </w:rPr>
              <w:t>(68)</w:t>
            </w: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6"/>
        </w:trPr>
        <w:tc>
          <w:tcPr>
            <w:tcW w:w="4000" w:type="dxa"/>
            <w:vAlign w:val="bottom"/>
            <w:tcBorders>
              <w:bottom w:val="single" w:sz="8" w:color="auto"/>
            </w:tcBorders>
          </w:tcPr>
          <w:p>
            <w:pPr>
              <w:ind w:left="180"/>
              <w:spacing w:after="0"/>
              <w:rPr>
                <w:sz w:val="20"/>
                <w:szCs w:val="20"/>
                <w:color w:val="auto"/>
              </w:rPr>
            </w:pPr>
            <w:r>
              <w:rPr>
                <w:rFonts w:ascii="Arial" w:cs="Arial" w:eastAsia="Arial" w:hAnsi="Arial"/>
                <w:sz w:val="17"/>
                <w:szCs w:val="17"/>
                <w:color w:val="auto"/>
              </w:rPr>
              <w:t>Income taxes</w:t>
            </w:r>
          </w:p>
        </w:tc>
        <w:tc>
          <w:tcPr>
            <w:tcW w:w="3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(22)</w:t>
            </w:r>
          </w:p>
        </w:tc>
        <w:tc>
          <w:tcPr>
            <w:tcW w:w="3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w:t>
            </w:r>
          </w:p>
        </w:tc>
        <w:tc>
          <w:tcPr>
            <w:tcW w:w="4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(20)</w:t>
            </w:r>
          </w:p>
        </w:tc>
        <w:tc>
          <w:tcPr>
            <w:tcW w:w="2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w:t>
            </w:r>
          </w:p>
        </w:tc>
        <w:tc>
          <w:tcPr>
            <w:tcW w:w="0" w:type="dxa"/>
            <w:vAlign w:val="bottom"/>
          </w:tcPr>
          <w:p>
            <w:pPr>
              <w:spacing w:after="0"/>
              <w:rPr>
                <w:sz w:val="1"/>
                <w:szCs w:val="1"/>
                <w:color w:val="auto"/>
              </w:rPr>
            </w:pPr>
          </w:p>
        </w:tc>
      </w:tr>
      <w:tr>
        <w:trPr>
          <w:trHeight w:val="207"/>
        </w:trPr>
        <w:tc>
          <w:tcPr>
            <w:tcW w:w="4000" w:type="dxa"/>
            <w:vAlign w:val="bottom"/>
          </w:tcPr>
          <w:p>
            <w:pPr>
              <w:ind w:left="20"/>
              <w:spacing w:after="0"/>
              <w:rPr>
                <w:sz w:val="20"/>
                <w:szCs w:val="20"/>
                <w:color w:val="auto"/>
              </w:rPr>
            </w:pPr>
            <w:r>
              <w:rPr>
                <w:rFonts w:ascii="Arial" w:cs="Arial" w:eastAsia="Arial" w:hAnsi="Arial"/>
                <w:sz w:val="17"/>
                <w:szCs w:val="17"/>
                <w:b w:val="1"/>
                <w:bCs w:val="1"/>
                <w:color w:val="auto"/>
              </w:rPr>
              <w:t>Income (loss)</w:t>
            </w:r>
          </w:p>
        </w:tc>
        <w:tc>
          <w:tcPr>
            <w:tcW w:w="3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b w:val="1"/>
                <w:bCs w:val="1"/>
                <w:color w:val="00539B"/>
              </w:rPr>
              <w:t>9</w:t>
            </w:r>
          </w:p>
        </w:tc>
        <w:tc>
          <w:tcPr>
            <w:tcW w:w="3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(6)</w:t>
            </w:r>
          </w:p>
        </w:tc>
        <w:tc>
          <w:tcPr>
            <w:tcW w:w="4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b w:val="1"/>
                <w:bCs w:val="1"/>
                <w:color w:val="00539B"/>
              </w:rPr>
              <w:t>3</w:t>
            </w:r>
          </w:p>
        </w:tc>
        <w:tc>
          <w:tcPr>
            <w:tcW w:w="2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2,864</w:t>
            </w:r>
          </w:p>
        </w:tc>
        <w:tc>
          <w:tcPr>
            <w:tcW w:w="0" w:type="dxa"/>
            <w:vAlign w:val="bottom"/>
          </w:tcPr>
          <w:p>
            <w:pPr>
              <w:spacing w:after="0"/>
              <w:rPr>
                <w:sz w:val="1"/>
                <w:szCs w:val="1"/>
                <w:color w:val="auto"/>
              </w:rPr>
            </w:pPr>
          </w:p>
        </w:tc>
      </w:tr>
      <w:tr>
        <w:trPr>
          <w:trHeight w:val="226"/>
        </w:trPr>
        <w:tc>
          <w:tcPr>
            <w:tcW w:w="400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Preferred redemption premiums</w:t>
            </w:r>
          </w:p>
        </w:tc>
        <w:tc>
          <w:tcPr>
            <w:tcW w:w="3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(65)</w:t>
            </w:r>
          </w:p>
        </w:tc>
        <w:tc>
          <w:tcPr>
            <w:tcW w:w="3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(80)</w:t>
            </w:r>
          </w:p>
        </w:tc>
        <w:tc>
          <w:tcPr>
            <w:tcW w:w="4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(145)</w:t>
            </w:r>
          </w:p>
        </w:tc>
        <w:tc>
          <w:tcPr>
            <w:tcW w:w="2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400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Total</w:t>
            </w:r>
          </w:p>
        </w:tc>
        <w:tc>
          <w:tcPr>
            <w:tcW w:w="320" w:type="dxa"/>
            <w:vAlign w:val="bottom"/>
            <w:tcBorders>
              <w:bottom w:val="single" w:sz="8" w:color="auto"/>
            </w:tcBorders>
          </w:tcPr>
          <w:p>
            <w:pPr>
              <w:jc w:val="right"/>
              <w:ind w:right="116"/>
              <w:spacing w:after="0"/>
              <w:rPr>
                <w:sz w:val="20"/>
                <w:szCs w:val="20"/>
                <w:color w:val="auto"/>
              </w:rPr>
            </w:pPr>
            <w:r>
              <w:rPr>
                <w:rFonts w:ascii="Arial" w:cs="Arial" w:eastAsia="Arial" w:hAnsi="Arial"/>
                <w:sz w:val="17"/>
                <w:szCs w:val="17"/>
                <w:b w:val="1"/>
                <w:bCs w:val="1"/>
                <w:color w:val="00539B"/>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(56)</w:t>
            </w:r>
          </w:p>
        </w:tc>
        <w:tc>
          <w:tcPr>
            <w:tcW w:w="300" w:type="dxa"/>
            <w:vAlign w:val="bottom"/>
            <w:tcBorders>
              <w:bottom w:val="single" w:sz="8" w:color="auto"/>
            </w:tcBorders>
          </w:tcPr>
          <w:p>
            <w:pPr>
              <w:jc w:val="right"/>
              <w:ind w:right="96"/>
              <w:spacing w:after="0"/>
              <w:rPr>
                <w:sz w:val="20"/>
                <w:szCs w:val="20"/>
                <w:color w:val="auto"/>
              </w:rPr>
            </w:pPr>
            <w:r>
              <w:rPr>
                <w:rFonts w:ascii="Arial" w:cs="Arial" w:eastAsia="Arial" w:hAnsi="Arial"/>
                <w:sz w:val="17"/>
                <w:szCs w:val="17"/>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(86)</w:t>
            </w:r>
          </w:p>
        </w:tc>
        <w:tc>
          <w:tcPr>
            <w:tcW w:w="400" w:type="dxa"/>
            <w:vAlign w:val="bottom"/>
            <w:tcBorders>
              <w:bottom w:val="single" w:sz="8" w:color="auto"/>
            </w:tcBorders>
          </w:tcPr>
          <w:p>
            <w:pPr>
              <w:jc w:val="right"/>
              <w:ind w:right="216"/>
              <w:spacing w:after="0"/>
              <w:rPr>
                <w:sz w:val="20"/>
                <w:szCs w:val="20"/>
                <w:color w:val="auto"/>
              </w:rPr>
            </w:pPr>
            <w:r>
              <w:rPr>
                <w:rFonts w:ascii="Arial" w:cs="Arial" w:eastAsia="Arial" w:hAnsi="Arial"/>
                <w:sz w:val="17"/>
                <w:szCs w:val="17"/>
                <w:b w:val="1"/>
                <w:bCs w:val="1"/>
                <w:color w:val="00539B"/>
                <w:w w:val="84"/>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(142)</w:t>
            </w:r>
          </w:p>
        </w:tc>
        <w:tc>
          <w:tcPr>
            <w:tcW w:w="22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w w:val="84"/>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2,864</w:t>
            </w:r>
          </w:p>
        </w:tc>
        <w:tc>
          <w:tcPr>
            <w:tcW w:w="0" w:type="dxa"/>
            <w:vAlign w:val="bottom"/>
          </w:tcPr>
          <w:p>
            <w:pPr>
              <w:spacing w:after="0"/>
              <w:rPr>
                <w:sz w:val="1"/>
                <w:szCs w:val="1"/>
                <w:color w:val="auto"/>
              </w:rPr>
            </w:pPr>
          </w:p>
        </w:tc>
      </w:tr>
    </w:tbl>
    <w:p>
      <w:pPr>
        <w:spacing w:after="0" w:line="20" w:lineRule="exact"/>
        <w:rPr>
          <w:sz w:val="20"/>
          <w:szCs w:val="20"/>
          <w:color w:val="auto"/>
        </w:rPr>
      </w:pPr>
    </w:p>
    <w:p>
      <w:pPr>
        <w:ind w:left="240" w:hanging="233"/>
        <w:spacing w:after="0"/>
        <w:tabs>
          <w:tab w:leader="none" w:pos="240" w:val="left"/>
        </w:tabs>
        <w:numPr>
          <w:ilvl w:val="0"/>
          <w:numId w:val="17"/>
        </w:numPr>
        <w:rPr>
          <w:rFonts w:ascii="Arial" w:cs="Arial" w:eastAsia="Arial" w:hAnsi="Arial"/>
          <w:sz w:val="21"/>
          <w:szCs w:val="21"/>
          <w:color w:val="auto"/>
          <w:vertAlign w:val="superscript"/>
        </w:rPr>
      </w:pPr>
      <w:r>
        <w:rPr>
          <w:rFonts w:ascii="Arial" w:cs="Arial" w:eastAsia="Arial" w:hAnsi="Arial"/>
          <w:sz w:val="16"/>
          <w:szCs w:val="16"/>
          <w:color w:val="auto"/>
        </w:rPr>
        <w:t>Included in Income from equity investments and other in the Consolidated Condensed Statement of Operations.</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539B"/>
        </w:rPr>
        <w:t>Q2 2023 compared to Q1 2023</w:t>
      </w:r>
    </w:p>
    <w:p>
      <w:pPr>
        <w:spacing w:after="0" w:line="11" w:lineRule="exact"/>
        <w:rPr>
          <w:sz w:val="20"/>
          <w:szCs w:val="20"/>
          <w:color w:val="auto"/>
        </w:rPr>
      </w:pPr>
    </w:p>
    <w:p>
      <w:pPr>
        <w:jc w:val="both"/>
        <w:ind w:firstLine="240"/>
        <w:spacing w:after="0" w:line="258" w:lineRule="auto"/>
        <w:rPr>
          <w:sz w:val="20"/>
          <w:szCs w:val="20"/>
          <w:color w:val="auto"/>
        </w:rPr>
      </w:pPr>
      <w:r>
        <w:rPr>
          <w:rFonts w:ascii="Arial" w:cs="Arial" w:eastAsia="Arial" w:hAnsi="Arial"/>
          <w:sz w:val="17"/>
          <w:szCs w:val="17"/>
          <w:color w:val="auto"/>
        </w:rPr>
        <w:t>Excluding items affecting comparability, the decrease in net income for the three months ended June 30, 2023, compared to the three months ended March 31, 2023, was primarily due to lower domestic natural gas and NGL commodity prices and lower domestic crude oil volumes, partially offset by higher international sales volumes in the oil and gas segment.</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539B"/>
        </w:rPr>
        <w:t>YTD 2023 compared to YTD 2022</w:t>
      </w:r>
    </w:p>
    <w:p>
      <w:pPr>
        <w:spacing w:after="0" w:line="25" w:lineRule="exact"/>
        <w:rPr>
          <w:sz w:val="20"/>
          <w:szCs w:val="20"/>
          <w:color w:val="auto"/>
        </w:rPr>
      </w:pPr>
    </w:p>
    <w:p>
      <w:pPr>
        <w:jc w:val="both"/>
        <w:ind w:firstLine="240"/>
        <w:spacing w:after="0" w:line="248" w:lineRule="auto"/>
        <w:rPr>
          <w:sz w:val="20"/>
          <w:szCs w:val="20"/>
          <w:color w:val="auto"/>
        </w:rPr>
      </w:pPr>
      <w:r>
        <w:rPr>
          <w:rFonts w:ascii="Arial" w:cs="Arial" w:eastAsia="Arial" w:hAnsi="Arial"/>
          <w:sz w:val="17"/>
          <w:szCs w:val="17"/>
          <w:color w:val="auto"/>
        </w:rPr>
        <w:t>Excluding items affecting comparability, the decrease in net income for the six months ended June 30, 2023, compared to the six months ended June 30, 2022, was primarily due to lower worldwide crude oil, domestic NGL and domestic natural gas commodity prices in the oil and gas segment and lower realized PVC prices and lower demand across most product lines in the chemicals segment, partially offset by higher worldwide sales volumes in the oil and gas segment and lower ethylene and energy costs in the chemical segment.</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715962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31" w:name="page32"/>
    <w:bookmarkEnd w:id="31"/>
    <w:p>
      <w:pPr>
        <w:spacing w:after="0"/>
        <w:rPr>
          <w:sz w:val="20"/>
          <w:szCs w:val="20"/>
          <w:color w:val="auto"/>
        </w:rPr>
      </w:pPr>
      <w:r>
        <w:rPr>
          <w:rFonts w:ascii="Arial" w:cs="Arial" w:eastAsia="Arial" w:hAnsi="Arial"/>
          <w:sz w:val="20"/>
          <w:szCs w:val="20"/>
          <w:b w:val="1"/>
          <w:bCs w:val="1"/>
          <w:color w:val="00539B"/>
        </w:rPr>
        <w:t>SELECTED STATEMENTS OF OPERATIONS ITEMS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700" w:type="dxa"/>
            <w:vAlign w:val="bottom"/>
            <w:tcBorders>
              <w:top w:val="single" w:sz="8" w:color="auto"/>
              <w:bottom w:val="single" w:sz="8" w:color="auto"/>
            </w:tcBorders>
            <w:vMerge w:val="restart"/>
          </w:tcPr>
          <w:p>
            <w:pPr>
              <w:ind w:left="20"/>
              <w:spacing w:after="0"/>
              <w:rPr>
                <w:sz w:val="20"/>
                <w:szCs w:val="20"/>
                <w:color w:val="auto"/>
              </w:rPr>
            </w:pPr>
            <w:r>
              <w:rPr>
                <w:rFonts w:ascii="Arial" w:cs="Arial" w:eastAsia="Arial" w:hAnsi="Arial"/>
                <w:sz w:val="17"/>
                <w:szCs w:val="17"/>
                <w:i w:val="1"/>
                <w:iCs w:val="1"/>
                <w:color w:val="auto"/>
              </w:rPr>
              <w:t>millions</w:t>
            </w:r>
          </w:p>
        </w:tc>
        <w:tc>
          <w:tcPr>
            <w:tcW w:w="260" w:type="dxa"/>
            <w:vAlign w:val="bottom"/>
            <w:tcBorders>
              <w:top w:val="single" w:sz="8" w:color="auto"/>
              <w:bottom w:val="single" w:sz="8" w:color="auto"/>
            </w:tcBorders>
          </w:tcPr>
          <w:p>
            <w:pPr>
              <w:spacing w:after="0"/>
              <w:rPr>
                <w:sz w:val="18"/>
                <w:szCs w:val="18"/>
                <w:color w:val="auto"/>
              </w:rPr>
            </w:pPr>
          </w:p>
        </w:tc>
        <w:tc>
          <w:tcPr>
            <w:tcW w:w="28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Three months ended</w:t>
            </w:r>
          </w:p>
        </w:tc>
        <w:tc>
          <w:tcPr>
            <w:tcW w:w="28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spacing w:after="0"/>
              <w:rPr>
                <w:sz w:val="18"/>
                <w:szCs w:val="18"/>
                <w:color w:val="auto"/>
              </w:rPr>
            </w:pPr>
          </w:p>
        </w:tc>
        <w:tc>
          <w:tcPr>
            <w:tcW w:w="15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rPr>
              <w:t>Six months ended</w:t>
            </w:r>
          </w:p>
        </w:tc>
        <w:tc>
          <w:tcPr>
            <w:tcW w:w="0" w:type="dxa"/>
            <w:vAlign w:val="bottom"/>
          </w:tcPr>
          <w:p>
            <w:pPr>
              <w:spacing w:after="0"/>
              <w:rPr>
                <w:sz w:val="1"/>
                <w:szCs w:val="1"/>
                <w:color w:val="auto"/>
              </w:rPr>
            </w:pPr>
          </w:p>
        </w:tc>
      </w:tr>
      <w:tr>
        <w:trPr>
          <w:trHeight w:val="220"/>
        </w:trPr>
        <w:tc>
          <w:tcPr>
            <w:tcW w:w="4700" w:type="dxa"/>
            <w:vAlign w:val="bottom"/>
            <w:tcBorders>
              <w:bottom w:val="single" w:sz="8" w:color="auto"/>
            </w:tcBorders>
            <w:vMerge w:val="continue"/>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June 30, 2023</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March 31, 2023</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June 30, 2023</w:t>
            </w: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June 30, 2022</w:t>
            </w:r>
          </w:p>
        </w:tc>
        <w:tc>
          <w:tcPr>
            <w:tcW w:w="0" w:type="dxa"/>
            <w:vAlign w:val="bottom"/>
          </w:tcPr>
          <w:p>
            <w:pPr>
              <w:spacing w:after="0"/>
              <w:rPr>
                <w:sz w:val="1"/>
                <w:szCs w:val="1"/>
                <w:color w:val="auto"/>
              </w:rPr>
            </w:pPr>
          </w:p>
        </w:tc>
      </w:tr>
      <w:tr>
        <w:trPr>
          <w:trHeight w:val="207"/>
        </w:trPr>
        <w:tc>
          <w:tcPr>
            <w:tcW w:w="4700" w:type="dxa"/>
            <w:vAlign w:val="bottom"/>
          </w:tcPr>
          <w:p>
            <w:pPr>
              <w:ind w:left="20"/>
              <w:spacing w:after="0"/>
              <w:rPr>
                <w:sz w:val="20"/>
                <w:szCs w:val="20"/>
                <w:color w:val="auto"/>
              </w:rPr>
            </w:pPr>
            <w:r>
              <w:rPr>
                <w:rFonts w:ascii="Arial" w:cs="Arial" w:eastAsia="Arial" w:hAnsi="Arial"/>
                <w:sz w:val="17"/>
                <w:szCs w:val="17"/>
                <w:color w:val="auto"/>
              </w:rPr>
              <w:t>Net sales</w:t>
            </w:r>
          </w:p>
        </w:tc>
        <w:tc>
          <w:tcPr>
            <w:tcW w:w="260" w:type="dxa"/>
            <w:vAlign w:val="bottom"/>
          </w:tcPr>
          <w:p>
            <w:pPr>
              <w:jc w:val="right"/>
              <w:ind w:right="76"/>
              <w:spacing w:after="0"/>
              <w:rPr>
                <w:sz w:val="20"/>
                <w:szCs w:val="20"/>
                <w:color w:val="auto"/>
              </w:rPr>
            </w:pPr>
            <w:r>
              <w:rPr>
                <w:rFonts w:ascii="Arial" w:cs="Arial" w:eastAsia="Arial" w:hAnsi="Arial"/>
                <w:sz w:val="17"/>
                <w:szCs w:val="17"/>
                <w:b w:val="1"/>
                <w:bCs w:val="1"/>
                <w:color w:val="00539B"/>
                <w:w w:val="84"/>
              </w:rPr>
              <w:t>$</w:t>
            </w:r>
          </w:p>
        </w:tc>
        <w:tc>
          <w:tcPr>
            <w:tcW w:w="1280" w:type="dxa"/>
            <w:vAlign w:val="bottom"/>
          </w:tcPr>
          <w:p>
            <w:pPr>
              <w:jc w:val="right"/>
              <w:spacing w:after="0"/>
              <w:rPr>
                <w:sz w:val="20"/>
                <w:szCs w:val="20"/>
                <w:color w:val="auto"/>
              </w:rPr>
            </w:pPr>
            <w:r>
              <w:rPr>
                <w:rFonts w:ascii="Arial" w:cs="Arial" w:eastAsia="Arial" w:hAnsi="Arial"/>
                <w:sz w:val="17"/>
                <w:szCs w:val="17"/>
                <w:b w:val="1"/>
                <w:bCs w:val="1"/>
                <w:color w:val="00539B"/>
              </w:rPr>
              <w:t>6,702</w:t>
            </w:r>
          </w:p>
        </w:tc>
        <w:tc>
          <w:tcPr>
            <w:tcW w:w="240" w:type="dxa"/>
            <w:vAlign w:val="bottom"/>
          </w:tcPr>
          <w:p>
            <w:pPr>
              <w:jc w:val="right"/>
              <w:ind w:right="36"/>
              <w:spacing w:after="0"/>
              <w:rPr>
                <w:sz w:val="20"/>
                <w:szCs w:val="20"/>
                <w:color w:val="auto"/>
              </w:rPr>
            </w:pPr>
            <w:r>
              <w:rPr>
                <w:rFonts w:ascii="Arial" w:cs="Arial" w:eastAsia="Arial" w:hAnsi="Arial"/>
                <w:sz w:val="17"/>
                <w:szCs w:val="17"/>
                <w:color w:val="auto"/>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7,225</w:t>
            </w:r>
          </w:p>
        </w:tc>
        <w:tc>
          <w:tcPr>
            <w:tcW w:w="280" w:type="dxa"/>
            <w:vAlign w:val="bottom"/>
          </w:tcPr>
          <w:p>
            <w:pPr>
              <w:jc w:val="right"/>
              <w:ind w:right="76"/>
              <w:spacing w:after="0"/>
              <w:rPr>
                <w:sz w:val="20"/>
                <w:szCs w:val="20"/>
                <w:color w:val="auto"/>
              </w:rPr>
            </w:pPr>
            <w:r>
              <w:rPr>
                <w:rFonts w:ascii="Arial" w:cs="Arial" w:eastAsia="Arial" w:hAnsi="Arial"/>
                <w:sz w:val="17"/>
                <w:szCs w:val="17"/>
                <w:b w:val="1"/>
                <w:bCs w:val="1"/>
                <w:color w:val="00539B"/>
              </w:rPr>
              <w:t>$</w:t>
            </w:r>
          </w:p>
        </w:tc>
        <w:tc>
          <w:tcPr>
            <w:tcW w:w="1280" w:type="dxa"/>
            <w:vAlign w:val="bottom"/>
          </w:tcPr>
          <w:p>
            <w:pPr>
              <w:jc w:val="right"/>
              <w:spacing w:after="0"/>
              <w:rPr>
                <w:sz w:val="20"/>
                <w:szCs w:val="20"/>
                <w:color w:val="auto"/>
              </w:rPr>
            </w:pPr>
            <w:r>
              <w:rPr>
                <w:rFonts w:ascii="Arial" w:cs="Arial" w:eastAsia="Arial" w:hAnsi="Arial"/>
                <w:sz w:val="17"/>
                <w:szCs w:val="17"/>
                <w:b w:val="1"/>
                <w:bCs w:val="1"/>
                <w:color w:val="00539B"/>
              </w:rPr>
              <w:t>13,927</w:t>
            </w:r>
          </w:p>
        </w:tc>
        <w:tc>
          <w:tcPr>
            <w:tcW w:w="300" w:type="dxa"/>
            <w:vAlign w:val="bottom"/>
          </w:tcPr>
          <w:p>
            <w:pPr>
              <w:jc w:val="right"/>
              <w:ind w:right="96"/>
              <w:spacing w:after="0"/>
              <w:rPr>
                <w:sz w:val="20"/>
                <w:szCs w:val="20"/>
                <w:color w:val="auto"/>
              </w:rPr>
            </w:pPr>
            <w:r>
              <w:rPr>
                <w:rFonts w:ascii="Arial" w:cs="Arial" w:eastAsia="Arial" w:hAnsi="Arial"/>
                <w:sz w:val="17"/>
                <w:szCs w:val="17"/>
                <w:color w:val="auto"/>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19,025</w:t>
            </w:r>
          </w:p>
        </w:tc>
        <w:tc>
          <w:tcPr>
            <w:tcW w:w="0" w:type="dxa"/>
            <w:vAlign w:val="bottom"/>
          </w:tcPr>
          <w:p>
            <w:pPr>
              <w:spacing w:after="0"/>
              <w:rPr>
                <w:sz w:val="1"/>
                <w:szCs w:val="1"/>
                <w:color w:val="auto"/>
              </w:rPr>
            </w:pPr>
          </w:p>
        </w:tc>
      </w:tr>
      <w:tr>
        <w:trPr>
          <w:trHeight w:val="213"/>
        </w:trPr>
        <w:tc>
          <w:tcPr>
            <w:tcW w:w="4700" w:type="dxa"/>
            <w:vAlign w:val="bottom"/>
          </w:tcPr>
          <w:p>
            <w:pPr>
              <w:ind w:left="20"/>
              <w:spacing w:after="0"/>
              <w:rPr>
                <w:sz w:val="20"/>
                <w:szCs w:val="20"/>
                <w:color w:val="auto"/>
              </w:rPr>
            </w:pPr>
            <w:r>
              <w:rPr>
                <w:rFonts w:ascii="Arial" w:cs="Arial" w:eastAsia="Arial" w:hAnsi="Arial"/>
                <w:sz w:val="17"/>
                <w:szCs w:val="17"/>
                <w:color w:val="auto"/>
              </w:rPr>
              <w:t>Interest, dividends and other income</w:t>
            </w:r>
          </w:p>
        </w:tc>
        <w:tc>
          <w:tcPr>
            <w:tcW w:w="260" w:type="dxa"/>
            <w:vAlign w:val="bottom"/>
          </w:tcPr>
          <w:p>
            <w:pPr>
              <w:jc w:val="right"/>
              <w:ind w:right="76"/>
              <w:spacing w:after="0"/>
              <w:rPr>
                <w:sz w:val="20"/>
                <w:szCs w:val="20"/>
                <w:color w:val="auto"/>
              </w:rPr>
            </w:pPr>
            <w:r>
              <w:rPr>
                <w:rFonts w:ascii="Arial" w:cs="Arial" w:eastAsia="Arial" w:hAnsi="Arial"/>
                <w:sz w:val="17"/>
                <w:szCs w:val="17"/>
                <w:b w:val="1"/>
                <w:bCs w:val="1"/>
                <w:color w:val="00539B"/>
                <w:w w:val="84"/>
              </w:rPr>
              <w:t>$</w:t>
            </w:r>
          </w:p>
        </w:tc>
        <w:tc>
          <w:tcPr>
            <w:tcW w:w="1280" w:type="dxa"/>
            <w:vAlign w:val="bottom"/>
          </w:tcPr>
          <w:p>
            <w:pPr>
              <w:jc w:val="right"/>
              <w:spacing w:after="0"/>
              <w:rPr>
                <w:sz w:val="20"/>
                <w:szCs w:val="20"/>
                <w:color w:val="auto"/>
              </w:rPr>
            </w:pPr>
            <w:r>
              <w:rPr>
                <w:rFonts w:ascii="Arial" w:cs="Arial" w:eastAsia="Arial" w:hAnsi="Arial"/>
                <w:sz w:val="17"/>
                <w:szCs w:val="17"/>
                <w:b w:val="1"/>
                <w:bCs w:val="1"/>
                <w:color w:val="00539B"/>
              </w:rPr>
              <w:t>28</w:t>
            </w:r>
          </w:p>
        </w:tc>
        <w:tc>
          <w:tcPr>
            <w:tcW w:w="240" w:type="dxa"/>
            <w:vAlign w:val="bottom"/>
          </w:tcPr>
          <w:p>
            <w:pPr>
              <w:jc w:val="right"/>
              <w:ind w:right="36"/>
              <w:spacing w:after="0"/>
              <w:rPr>
                <w:sz w:val="20"/>
                <w:szCs w:val="20"/>
                <w:color w:val="auto"/>
              </w:rPr>
            </w:pPr>
            <w:r>
              <w:rPr>
                <w:rFonts w:ascii="Arial" w:cs="Arial" w:eastAsia="Arial" w:hAnsi="Arial"/>
                <w:sz w:val="17"/>
                <w:szCs w:val="17"/>
                <w:color w:val="auto"/>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29</w:t>
            </w:r>
          </w:p>
        </w:tc>
        <w:tc>
          <w:tcPr>
            <w:tcW w:w="280" w:type="dxa"/>
            <w:vAlign w:val="bottom"/>
          </w:tcPr>
          <w:p>
            <w:pPr>
              <w:jc w:val="right"/>
              <w:ind w:right="76"/>
              <w:spacing w:after="0"/>
              <w:rPr>
                <w:sz w:val="20"/>
                <w:szCs w:val="20"/>
                <w:color w:val="auto"/>
              </w:rPr>
            </w:pPr>
            <w:r>
              <w:rPr>
                <w:rFonts w:ascii="Arial" w:cs="Arial" w:eastAsia="Arial" w:hAnsi="Arial"/>
                <w:sz w:val="17"/>
                <w:szCs w:val="17"/>
                <w:b w:val="1"/>
                <w:bCs w:val="1"/>
                <w:color w:val="00539B"/>
              </w:rPr>
              <w:t>$</w:t>
            </w:r>
          </w:p>
        </w:tc>
        <w:tc>
          <w:tcPr>
            <w:tcW w:w="1280" w:type="dxa"/>
            <w:vAlign w:val="bottom"/>
          </w:tcPr>
          <w:p>
            <w:pPr>
              <w:jc w:val="right"/>
              <w:spacing w:after="0"/>
              <w:rPr>
                <w:sz w:val="20"/>
                <w:szCs w:val="20"/>
                <w:color w:val="auto"/>
              </w:rPr>
            </w:pPr>
            <w:r>
              <w:rPr>
                <w:rFonts w:ascii="Arial" w:cs="Arial" w:eastAsia="Arial" w:hAnsi="Arial"/>
                <w:sz w:val="17"/>
                <w:szCs w:val="17"/>
                <w:b w:val="1"/>
                <w:bCs w:val="1"/>
                <w:color w:val="00539B"/>
              </w:rPr>
              <w:t>57</w:t>
            </w:r>
          </w:p>
        </w:tc>
        <w:tc>
          <w:tcPr>
            <w:tcW w:w="300" w:type="dxa"/>
            <w:vAlign w:val="bottom"/>
          </w:tcPr>
          <w:p>
            <w:pPr>
              <w:jc w:val="right"/>
              <w:ind w:right="96"/>
              <w:spacing w:after="0"/>
              <w:rPr>
                <w:sz w:val="20"/>
                <w:szCs w:val="20"/>
                <w:color w:val="auto"/>
              </w:rPr>
            </w:pPr>
            <w:r>
              <w:rPr>
                <w:rFonts w:ascii="Arial" w:cs="Arial" w:eastAsia="Arial" w:hAnsi="Arial"/>
                <w:sz w:val="17"/>
                <w:szCs w:val="17"/>
                <w:color w:val="auto"/>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85</w:t>
            </w:r>
          </w:p>
        </w:tc>
        <w:tc>
          <w:tcPr>
            <w:tcW w:w="0" w:type="dxa"/>
            <w:vAlign w:val="bottom"/>
          </w:tcPr>
          <w:p>
            <w:pPr>
              <w:spacing w:after="0"/>
              <w:rPr>
                <w:sz w:val="1"/>
                <w:szCs w:val="1"/>
                <w:color w:val="auto"/>
              </w:rPr>
            </w:pPr>
          </w:p>
        </w:tc>
      </w:tr>
      <w:tr>
        <w:trPr>
          <w:trHeight w:val="227"/>
        </w:trPr>
        <w:tc>
          <w:tcPr>
            <w:tcW w:w="4700" w:type="dxa"/>
            <w:vAlign w:val="bottom"/>
          </w:tcPr>
          <w:p>
            <w:pPr>
              <w:ind w:left="20"/>
              <w:spacing w:after="0"/>
              <w:rPr>
                <w:sz w:val="20"/>
                <w:szCs w:val="20"/>
                <w:color w:val="auto"/>
              </w:rPr>
            </w:pPr>
            <w:r>
              <w:rPr>
                <w:rFonts w:ascii="Arial" w:cs="Arial" w:eastAsia="Arial" w:hAnsi="Arial"/>
                <w:sz w:val="17"/>
                <w:szCs w:val="17"/>
                <w:color w:val="auto"/>
              </w:rPr>
              <w:t>Gain on sale of assets, net</w:t>
            </w:r>
          </w:p>
        </w:tc>
        <w:tc>
          <w:tcPr>
            <w:tcW w:w="260" w:type="dxa"/>
            <w:vAlign w:val="bottom"/>
          </w:tcPr>
          <w:p>
            <w:pPr>
              <w:jc w:val="right"/>
              <w:ind w:right="76"/>
              <w:spacing w:after="0"/>
              <w:rPr>
                <w:sz w:val="20"/>
                <w:szCs w:val="20"/>
                <w:color w:val="auto"/>
              </w:rPr>
            </w:pPr>
            <w:r>
              <w:rPr>
                <w:rFonts w:ascii="Arial" w:cs="Arial" w:eastAsia="Arial" w:hAnsi="Arial"/>
                <w:sz w:val="17"/>
                <w:szCs w:val="17"/>
                <w:b w:val="1"/>
                <w:bCs w:val="1"/>
                <w:color w:val="00539B"/>
                <w:w w:val="84"/>
              </w:rPr>
              <w:t>$</w:t>
            </w:r>
          </w:p>
        </w:tc>
        <w:tc>
          <w:tcPr>
            <w:tcW w:w="1280" w:type="dxa"/>
            <w:vAlign w:val="bottom"/>
          </w:tcPr>
          <w:p>
            <w:pPr>
              <w:jc w:val="right"/>
              <w:spacing w:after="0"/>
              <w:rPr>
                <w:sz w:val="20"/>
                <w:szCs w:val="20"/>
                <w:color w:val="auto"/>
              </w:rPr>
            </w:pPr>
            <w:r>
              <w:rPr>
                <w:rFonts w:ascii="Arial" w:cs="Arial" w:eastAsia="Arial" w:hAnsi="Arial"/>
                <w:sz w:val="17"/>
                <w:szCs w:val="17"/>
                <w:b w:val="1"/>
                <w:bCs w:val="1"/>
                <w:color w:val="00539B"/>
              </w:rPr>
              <w:t>1</w:t>
            </w:r>
          </w:p>
        </w:tc>
        <w:tc>
          <w:tcPr>
            <w:tcW w:w="240" w:type="dxa"/>
            <w:vAlign w:val="bottom"/>
          </w:tcPr>
          <w:p>
            <w:pPr>
              <w:jc w:val="right"/>
              <w:ind w:right="36"/>
              <w:spacing w:after="0"/>
              <w:rPr>
                <w:sz w:val="20"/>
                <w:szCs w:val="20"/>
                <w:color w:val="auto"/>
              </w:rPr>
            </w:pPr>
            <w:r>
              <w:rPr>
                <w:rFonts w:ascii="Arial" w:cs="Arial" w:eastAsia="Arial" w:hAnsi="Arial"/>
                <w:sz w:val="17"/>
                <w:szCs w:val="17"/>
                <w:color w:val="auto"/>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4</w:t>
            </w:r>
          </w:p>
        </w:tc>
        <w:tc>
          <w:tcPr>
            <w:tcW w:w="280" w:type="dxa"/>
            <w:vAlign w:val="bottom"/>
          </w:tcPr>
          <w:p>
            <w:pPr>
              <w:jc w:val="right"/>
              <w:ind w:right="76"/>
              <w:spacing w:after="0"/>
              <w:rPr>
                <w:sz w:val="20"/>
                <w:szCs w:val="20"/>
                <w:color w:val="auto"/>
              </w:rPr>
            </w:pPr>
            <w:r>
              <w:rPr>
                <w:rFonts w:ascii="Arial" w:cs="Arial" w:eastAsia="Arial" w:hAnsi="Arial"/>
                <w:sz w:val="17"/>
                <w:szCs w:val="17"/>
                <w:b w:val="1"/>
                <w:bCs w:val="1"/>
                <w:color w:val="00539B"/>
              </w:rPr>
              <w:t>$</w:t>
            </w:r>
          </w:p>
        </w:tc>
        <w:tc>
          <w:tcPr>
            <w:tcW w:w="1280" w:type="dxa"/>
            <w:vAlign w:val="bottom"/>
          </w:tcPr>
          <w:p>
            <w:pPr>
              <w:jc w:val="right"/>
              <w:spacing w:after="0"/>
              <w:rPr>
                <w:sz w:val="20"/>
                <w:szCs w:val="20"/>
                <w:color w:val="auto"/>
              </w:rPr>
            </w:pPr>
            <w:r>
              <w:rPr>
                <w:rFonts w:ascii="Arial" w:cs="Arial" w:eastAsia="Arial" w:hAnsi="Arial"/>
                <w:sz w:val="17"/>
                <w:szCs w:val="17"/>
                <w:b w:val="1"/>
                <w:bCs w:val="1"/>
                <w:color w:val="00539B"/>
              </w:rPr>
              <w:t>5</w:t>
            </w:r>
          </w:p>
        </w:tc>
        <w:tc>
          <w:tcPr>
            <w:tcW w:w="300" w:type="dxa"/>
            <w:vAlign w:val="bottom"/>
          </w:tcPr>
          <w:p>
            <w:pPr>
              <w:jc w:val="right"/>
              <w:ind w:right="96"/>
              <w:spacing w:after="0"/>
              <w:rPr>
                <w:sz w:val="20"/>
                <w:szCs w:val="20"/>
                <w:color w:val="auto"/>
              </w:rPr>
            </w:pPr>
            <w:r>
              <w:rPr>
                <w:rFonts w:ascii="Arial" w:cs="Arial" w:eastAsia="Arial" w:hAnsi="Arial"/>
                <w:sz w:val="17"/>
                <w:szCs w:val="17"/>
                <w:color w:val="auto"/>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158</w:t>
            </w:r>
          </w:p>
        </w:tc>
        <w:tc>
          <w:tcPr>
            <w:tcW w:w="0" w:type="dxa"/>
            <w:vAlign w:val="bottom"/>
          </w:tcPr>
          <w:p>
            <w:pPr>
              <w:spacing w:after="0"/>
              <w:rPr>
                <w:sz w:val="1"/>
                <w:szCs w:val="1"/>
                <w:color w:val="auto"/>
              </w:rPr>
            </w:pPr>
          </w:p>
        </w:tc>
      </w:tr>
      <w:tr>
        <w:trPr>
          <w:trHeight w:val="227"/>
        </w:trPr>
        <w:tc>
          <w:tcPr>
            <w:tcW w:w="4700" w:type="dxa"/>
            <w:vAlign w:val="bottom"/>
          </w:tcPr>
          <w:p>
            <w:pPr>
              <w:ind w:left="20"/>
              <w:spacing w:after="0"/>
              <w:rPr>
                <w:sz w:val="20"/>
                <w:szCs w:val="20"/>
                <w:color w:val="auto"/>
              </w:rPr>
            </w:pPr>
            <w:r>
              <w:rPr>
                <w:rFonts w:ascii="Arial" w:cs="Arial" w:eastAsia="Arial" w:hAnsi="Arial"/>
                <w:sz w:val="17"/>
                <w:szCs w:val="17"/>
                <w:color w:val="auto"/>
              </w:rPr>
              <w:t>Oil and gas operating expense</w:t>
            </w:r>
          </w:p>
        </w:tc>
        <w:tc>
          <w:tcPr>
            <w:tcW w:w="260" w:type="dxa"/>
            <w:vAlign w:val="bottom"/>
          </w:tcPr>
          <w:p>
            <w:pPr>
              <w:jc w:val="right"/>
              <w:ind w:right="76"/>
              <w:spacing w:after="0"/>
              <w:rPr>
                <w:sz w:val="20"/>
                <w:szCs w:val="20"/>
                <w:color w:val="auto"/>
              </w:rPr>
            </w:pPr>
            <w:r>
              <w:rPr>
                <w:rFonts w:ascii="Arial" w:cs="Arial" w:eastAsia="Arial" w:hAnsi="Arial"/>
                <w:sz w:val="17"/>
                <w:szCs w:val="17"/>
                <w:b w:val="1"/>
                <w:bCs w:val="1"/>
                <w:color w:val="00539B"/>
                <w:w w:val="84"/>
              </w:rPr>
              <w:t>$</w:t>
            </w:r>
          </w:p>
        </w:tc>
        <w:tc>
          <w:tcPr>
            <w:tcW w:w="1280" w:type="dxa"/>
            <w:vAlign w:val="bottom"/>
          </w:tcPr>
          <w:p>
            <w:pPr>
              <w:jc w:val="right"/>
              <w:spacing w:after="0"/>
              <w:rPr>
                <w:sz w:val="20"/>
                <w:szCs w:val="20"/>
                <w:color w:val="auto"/>
              </w:rPr>
            </w:pPr>
            <w:r>
              <w:rPr>
                <w:rFonts w:ascii="Arial" w:cs="Arial" w:eastAsia="Arial" w:hAnsi="Arial"/>
                <w:sz w:val="17"/>
                <w:szCs w:val="17"/>
                <w:b w:val="1"/>
                <w:bCs w:val="1"/>
                <w:color w:val="00539B"/>
              </w:rPr>
              <w:t>1,130</w:t>
            </w:r>
          </w:p>
        </w:tc>
        <w:tc>
          <w:tcPr>
            <w:tcW w:w="240" w:type="dxa"/>
            <w:vAlign w:val="bottom"/>
          </w:tcPr>
          <w:p>
            <w:pPr>
              <w:jc w:val="right"/>
              <w:ind w:right="36"/>
              <w:spacing w:after="0"/>
              <w:rPr>
                <w:sz w:val="20"/>
                <w:szCs w:val="20"/>
                <w:color w:val="auto"/>
              </w:rPr>
            </w:pPr>
            <w:r>
              <w:rPr>
                <w:rFonts w:ascii="Arial" w:cs="Arial" w:eastAsia="Arial" w:hAnsi="Arial"/>
                <w:sz w:val="17"/>
                <w:szCs w:val="17"/>
                <w:color w:val="auto"/>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1,081</w:t>
            </w:r>
          </w:p>
        </w:tc>
        <w:tc>
          <w:tcPr>
            <w:tcW w:w="280" w:type="dxa"/>
            <w:vAlign w:val="bottom"/>
          </w:tcPr>
          <w:p>
            <w:pPr>
              <w:jc w:val="right"/>
              <w:ind w:right="76"/>
              <w:spacing w:after="0"/>
              <w:rPr>
                <w:sz w:val="20"/>
                <w:szCs w:val="20"/>
                <w:color w:val="auto"/>
              </w:rPr>
            </w:pPr>
            <w:r>
              <w:rPr>
                <w:rFonts w:ascii="Arial" w:cs="Arial" w:eastAsia="Arial" w:hAnsi="Arial"/>
                <w:sz w:val="17"/>
                <w:szCs w:val="17"/>
                <w:b w:val="1"/>
                <w:bCs w:val="1"/>
                <w:color w:val="00539B"/>
              </w:rPr>
              <w:t>$</w:t>
            </w:r>
          </w:p>
        </w:tc>
        <w:tc>
          <w:tcPr>
            <w:tcW w:w="1280" w:type="dxa"/>
            <w:vAlign w:val="bottom"/>
          </w:tcPr>
          <w:p>
            <w:pPr>
              <w:jc w:val="right"/>
              <w:spacing w:after="0"/>
              <w:rPr>
                <w:sz w:val="20"/>
                <w:szCs w:val="20"/>
                <w:color w:val="auto"/>
              </w:rPr>
            </w:pPr>
            <w:r>
              <w:rPr>
                <w:rFonts w:ascii="Arial" w:cs="Arial" w:eastAsia="Arial" w:hAnsi="Arial"/>
                <w:sz w:val="17"/>
                <w:szCs w:val="17"/>
                <w:b w:val="1"/>
                <w:bCs w:val="1"/>
                <w:color w:val="00539B"/>
              </w:rPr>
              <w:t>2,211</w:t>
            </w:r>
          </w:p>
        </w:tc>
        <w:tc>
          <w:tcPr>
            <w:tcW w:w="300" w:type="dxa"/>
            <w:vAlign w:val="bottom"/>
          </w:tcPr>
          <w:p>
            <w:pPr>
              <w:jc w:val="right"/>
              <w:ind w:right="96"/>
              <w:spacing w:after="0"/>
              <w:rPr>
                <w:sz w:val="20"/>
                <w:szCs w:val="20"/>
                <w:color w:val="auto"/>
              </w:rPr>
            </w:pPr>
            <w:r>
              <w:rPr>
                <w:rFonts w:ascii="Arial" w:cs="Arial" w:eastAsia="Arial" w:hAnsi="Arial"/>
                <w:sz w:val="17"/>
                <w:szCs w:val="17"/>
                <w:color w:val="auto"/>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1,869</w:t>
            </w:r>
          </w:p>
        </w:tc>
        <w:tc>
          <w:tcPr>
            <w:tcW w:w="0" w:type="dxa"/>
            <w:vAlign w:val="bottom"/>
          </w:tcPr>
          <w:p>
            <w:pPr>
              <w:spacing w:after="0"/>
              <w:rPr>
                <w:sz w:val="1"/>
                <w:szCs w:val="1"/>
                <w:color w:val="auto"/>
              </w:rPr>
            </w:pPr>
          </w:p>
        </w:tc>
      </w:tr>
      <w:tr>
        <w:trPr>
          <w:trHeight w:val="213"/>
        </w:trPr>
        <w:tc>
          <w:tcPr>
            <w:tcW w:w="4700" w:type="dxa"/>
            <w:vAlign w:val="bottom"/>
          </w:tcPr>
          <w:p>
            <w:pPr>
              <w:ind w:left="20"/>
              <w:spacing w:after="0"/>
              <w:rPr>
                <w:sz w:val="20"/>
                <w:szCs w:val="20"/>
                <w:color w:val="auto"/>
              </w:rPr>
            </w:pPr>
            <w:r>
              <w:rPr>
                <w:rFonts w:ascii="Arial" w:cs="Arial" w:eastAsia="Arial" w:hAnsi="Arial"/>
                <w:sz w:val="17"/>
                <w:szCs w:val="17"/>
                <w:color w:val="auto"/>
              </w:rPr>
              <w:t>Transportation and gathering expense</w:t>
            </w:r>
          </w:p>
        </w:tc>
        <w:tc>
          <w:tcPr>
            <w:tcW w:w="260" w:type="dxa"/>
            <w:vAlign w:val="bottom"/>
          </w:tcPr>
          <w:p>
            <w:pPr>
              <w:jc w:val="right"/>
              <w:ind w:right="76"/>
              <w:spacing w:after="0"/>
              <w:rPr>
                <w:sz w:val="20"/>
                <w:szCs w:val="20"/>
                <w:color w:val="auto"/>
              </w:rPr>
            </w:pPr>
            <w:r>
              <w:rPr>
                <w:rFonts w:ascii="Arial" w:cs="Arial" w:eastAsia="Arial" w:hAnsi="Arial"/>
                <w:sz w:val="17"/>
                <w:szCs w:val="17"/>
                <w:b w:val="1"/>
                <w:bCs w:val="1"/>
                <w:color w:val="00539B"/>
                <w:w w:val="84"/>
              </w:rPr>
              <w:t>$</w:t>
            </w:r>
          </w:p>
        </w:tc>
        <w:tc>
          <w:tcPr>
            <w:tcW w:w="1280" w:type="dxa"/>
            <w:vAlign w:val="bottom"/>
          </w:tcPr>
          <w:p>
            <w:pPr>
              <w:jc w:val="right"/>
              <w:spacing w:after="0"/>
              <w:rPr>
                <w:sz w:val="20"/>
                <w:szCs w:val="20"/>
                <w:color w:val="auto"/>
              </w:rPr>
            </w:pPr>
            <w:r>
              <w:rPr>
                <w:rFonts w:ascii="Arial" w:cs="Arial" w:eastAsia="Arial" w:hAnsi="Arial"/>
                <w:sz w:val="17"/>
                <w:szCs w:val="17"/>
                <w:b w:val="1"/>
                <w:bCs w:val="1"/>
                <w:color w:val="00539B"/>
              </w:rPr>
              <w:t>375</w:t>
            </w:r>
          </w:p>
        </w:tc>
        <w:tc>
          <w:tcPr>
            <w:tcW w:w="240" w:type="dxa"/>
            <w:vAlign w:val="bottom"/>
          </w:tcPr>
          <w:p>
            <w:pPr>
              <w:jc w:val="right"/>
              <w:ind w:right="36"/>
              <w:spacing w:after="0"/>
              <w:rPr>
                <w:sz w:val="20"/>
                <w:szCs w:val="20"/>
                <w:color w:val="auto"/>
              </w:rPr>
            </w:pPr>
            <w:r>
              <w:rPr>
                <w:rFonts w:ascii="Arial" w:cs="Arial" w:eastAsia="Arial" w:hAnsi="Arial"/>
                <w:sz w:val="17"/>
                <w:szCs w:val="17"/>
                <w:color w:val="auto"/>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384</w:t>
            </w:r>
          </w:p>
        </w:tc>
        <w:tc>
          <w:tcPr>
            <w:tcW w:w="280" w:type="dxa"/>
            <w:vAlign w:val="bottom"/>
          </w:tcPr>
          <w:p>
            <w:pPr>
              <w:jc w:val="right"/>
              <w:ind w:right="76"/>
              <w:spacing w:after="0"/>
              <w:rPr>
                <w:sz w:val="20"/>
                <w:szCs w:val="20"/>
                <w:color w:val="auto"/>
              </w:rPr>
            </w:pPr>
            <w:r>
              <w:rPr>
                <w:rFonts w:ascii="Arial" w:cs="Arial" w:eastAsia="Arial" w:hAnsi="Arial"/>
                <w:sz w:val="17"/>
                <w:szCs w:val="17"/>
                <w:b w:val="1"/>
                <w:bCs w:val="1"/>
                <w:color w:val="00539B"/>
              </w:rPr>
              <w:t>$</w:t>
            </w:r>
          </w:p>
        </w:tc>
        <w:tc>
          <w:tcPr>
            <w:tcW w:w="1280" w:type="dxa"/>
            <w:vAlign w:val="bottom"/>
          </w:tcPr>
          <w:p>
            <w:pPr>
              <w:jc w:val="right"/>
              <w:spacing w:after="0"/>
              <w:rPr>
                <w:sz w:val="20"/>
                <w:szCs w:val="20"/>
                <w:color w:val="auto"/>
              </w:rPr>
            </w:pPr>
            <w:r>
              <w:rPr>
                <w:rFonts w:ascii="Arial" w:cs="Arial" w:eastAsia="Arial" w:hAnsi="Arial"/>
                <w:sz w:val="17"/>
                <w:szCs w:val="17"/>
                <w:b w:val="1"/>
                <w:bCs w:val="1"/>
                <w:color w:val="00539B"/>
              </w:rPr>
              <w:t>759</w:t>
            </w:r>
          </w:p>
        </w:tc>
        <w:tc>
          <w:tcPr>
            <w:tcW w:w="300" w:type="dxa"/>
            <w:vAlign w:val="bottom"/>
          </w:tcPr>
          <w:p>
            <w:pPr>
              <w:jc w:val="right"/>
              <w:ind w:right="96"/>
              <w:spacing w:after="0"/>
              <w:rPr>
                <w:sz w:val="20"/>
                <w:szCs w:val="20"/>
                <w:color w:val="auto"/>
              </w:rPr>
            </w:pPr>
            <w:r>
              <w:rPr>
                <w:rFonts w:ascii="Arial" w:cs="Arial" w:eastAsia="Arial" w:hAnsi="Arial"/>
                <w:sz w:val="17"/>
                <w:szCs w:val="17"/>
                <w:color w:val="auto"/>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711</w:t>
            </w:r>
          </w:p>
        </w:tc>
        <w:tc>
          <w:tcPr>
            <w:tcW w:w="0" w:type="dxa"/>
            <w:vAlign w:val="bottom"/>
          </w:tcPr>
          <w:p>
            <w:pPr>
              <w:spacing w:after="0"/>
              <w:rPr>
                <w:sz w:val="1"/>
                <w:szCs w:val="1"/>
                <w:color w:val="auto"/>
              </w:rPr>
            </w:pPr>
          </w:p>
        </w:tc>
      </w:tr>
      <w:tr>
        <w:trPr>
          <w:trHeight w:val="227"/>
        </w:trPr>
        <w:tc>
          <w:tcPr>
            <w:tcW w:w="4700" w:type="dxa"/>
            <w:vAlign w:val="bottom"/>
          </w:tcPr>
          <w:p>
            <w:pPr>
              <w:ind w:left="20"/>
              <w:spacing w:after="0"/>
              <w:rPr>
                <w:sz w:val="20"/>
                <w:szCs w:val="20"/>
                <w:color w:val="auto"/>
              </w:rPr>
            </w:pPr>
            <w:r>
              <w:rPr>
                <w:rFonts w:ascii="Arial" w:cs="Arial" w:eastAsia="Arial" w:hAnsi="Arial"/>
                <w:sz w:val="17"/>
                <w:szCs w:val="17"/>
                <w:color w:val="auto"/>
              </w:rPr>
              <w:t>Chemical and midstream cost of sales</w:t>
            </w:r>
          </w:p>
        </w:tc>
        <w:tc>
          <w:tcPr>
            <w:tcW w:w="260" w:type="dxa"/>
            <w:vAlign w:val="bottom"/>
          </w:tcPr>
          <w:p>
            <w:pPr>
              <w:jc w:val="right"/>
              <w:ind w:right="76"/>
              <w:spacing w:after="0"/>
              <w:rPr>
                <w:sz w:val="20"/>
                <w:szCs w:val="20"/>
                <w:color w:val="auto"/>
              </w:rPr>
            </w:pPr>
            <w:r>
              <w:rPr>
                <w:rFonts w:ascii="Arial" w:cs="Arial" w:eastAsia="Arial" w:hAnsi="Arial"/>
                <w:sz w:val="17"/>
                <w:szCs w:val="17"/>
                <w:b w:val="1"/>
                <w:bCs w:val="1"/>
                <w:color w:val="00539B"/>
                <w:w w:val="84"/>
              </w:rPr>
              <w:t>$</w:t>
            </w:r>
          </w:p>
        </w:tc>
        <w:tc>
          <w:tcPr>
            <w:tcW w:w="1280" w:type="dxa"/>
            <w:vAlign w:val="bottom"/>
          </w:tcPr>
          <w:p>
            <w:pPr>
              <w:jc w:val="right"/>
              <w:spacing w:after="0"/>
              <w:rPr>
                <w:sz w:val="20"/>
                <w:szCs w:val="20"/>
                <w:color w:val="auto"/>
              </w:rPr>
            </w:pPr>
            <w:r>
              <w:rPr>
                <w:rFonts w:ascii="Arial" w:cs="Arial" w:eastAsia="Arial" w:hAnsi="Arial"/>
                <w:sz w:val="17"/>
                <w:szCs w:val="17"/>
                <w:b w:val="1"/>
                <w:bCs w:val="1"/>
                <w:color w:val="00539B"/>
              </w:rPr>
              <w:t>791</w:t>
            </w:r>
          </w:p>
        </w:tc>
        <w:tc>
          <w:tcPr>
            <w:tcW w:w="240" w:type="dxa"/>
            <w:vAlign w:val="bottom"/>
          </w:tcPr>
          <w:p>
            <w:pPr>
              <w:jc w:val="right"/>
              <w:ind w:right="36"/>
              <w:spacing w:after="0"/>
              <w:rPr>
                <w:sz w:val="20"/>
                <w:szCs w:val="20"/>
                <w:color w:val="auto"/>
              </w:rPr>
            </w:pPr>
            <w:r>
              <w:rPr>
                <w:rFonts w:ascii="Arial" w:cs="Arial" w:eastAsia="Arial" w:hAnsi="Arial"/>
                <w:sz w:val="17"/>
                <w:szCs w:val="17"/>
                <w:color w:val="auto"/>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745</w:t>
            </w:r>
          </w:p>
        </w:tc>
        <w:tc>
          <w:tcPr>
            <w:tcW w:w="280" w:type="dxa"/>
            <w:vAlign w:val="bottom"/>
          </w:tcPr>
          <w:p>
            <w:pPr>
              <w:jc w:val="right"/>
              <w:ind w:right="76"/>
              <w:spacing w:after="0"/>
              <w:rPr>
                <w:sz w:val="20"/>
                <w:szCs w:val="20"/>
                <w:color w:val="auto"/>
              </w:rPr>
            </w:pPr>
            <w:r>
              <w:rPr>
                <w:rFonts w:ascii="Arial" w:cs="Arial" w:eastAsia="Arial" w:hAnsi="Arial"/>
                <w:sz w:val="17"/>
                <w:szCs w:val="17"/>
                <w:b w:val="1"/>
                <w:bCs w:val="1"/>
                <w:color w:val="00539B"/>
              </w:rPr>
              <w:t>$</w:t>
            </w:r>
          </w:p>
        </w:tc>
        <w:tc>
          <w:tcPr>
            <w:tcW w:w="1280" w:type="dxa"/>
            <w:vAlign w:val="bottom"/>
          </w:tcPr>
          <w:p>
            <w:pPr>
              <w:jc w:val="right"/>
              <w:spacing w:after="0"/>
              <w:rPr>
                <w:sz w:val="20"/>
                <w:szCs w:val="20"/>
                <w:color w:val="auto"/>
              </w:rPr>
            </w:pPr>
            <w:r>
              <w:rPr>
                <w:rFonts w:ascii="Arial" w:cs="Arial" w:eastAsia="Arial" w:hAnsi="Arial"/>
                <w:sz w:val="17"/>
                <w:szCs w:val="17"/>
                <w:b w:val="1"/>
                <w:bCs w:val="1"/>
                <w:color w:val="00539B"/>
              </w:rPr>
              <w:t>1,536</w:t>
            </w:r>
          </w:p>
        </w:tc>
        <w:tc>
          <w:tcPr>
            <w:tcW w:w="300" w:type="dxa"/>
            <w:vAlign w:val="bottom"/>
          </w:tcPr>
          <w:p>
            <w:pPr>
              <w:jc w:val="right"/>
              <w:ind w:right="96"/>
              <w:spacing w:after="0"/>
              <w:rPr>
                <w:sz w:val="20"/>
                <w:szCs w:val="20"/>
                <w:color w:val="auto"/>
              </w:rPr>
            </w:pPr>
            <w:r>
              <w:rPr>
                <w:rFonts w:ascii="Arial" w:cs="Arial" w:eastAsia="Arial" w:hAnsi="Arial"/>
                <w:sz w:val="17"/>
                <w:szCs w:val="17"/>
                <w:color w:val="auto"/>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1,653</w:t>
            </w:r>
          </w:p>
        </w:tc>
        <w:tc>
          <w:tcPr>
            <w:tcW w:w="0" w:type="dxa"/>
            <w:vAlign w:val="bottom"/>
          </w:tcPr>
          <w:p>
            <w:pPr>
              <w:spacing w:after="0"/>
              <w:rPr>
                <w:sz w:val="1"/>
                <w:szCs w:val="1"/>
                <w:color w:val="auto"/>
              </w:rPr>
            </w:pPr>
          </w:p>
        </w:tc>
      </w:tr>
      <w:tr>
        <w:trPr>
          <w:trHeight w:val="227"/>
        </w:trPr>
        <w:tc>
          <w:tcPr>
            <w:tcW w:w="4700" w:type="dxa"/>
            <w:vAlign w:val="bottom"/>
          </w:tcPr>
          <w:p>
            <w:pPr>
              <w:ind w:left="20"/>
              <w:spacing w:after="0"/>
              <w:rPr>
                <w:sz w:val="20"/>
                <w:szCs w:val="20"/>
                <w:color w:val="auto"/>
              </w:rPr>
            </w:pPr>
            <w:r>
              <w:rPr>
                <w:rFonts w:ascii="Arial" w:cs="Arial" w:eastAsia="Arial" w:hAnsi="Arial"/>
                <w:sz w:val="17"/>
                <w:szCs w:val="17"/>
                <w:color w:val="auto"/>
              </w:rPr>
              <w:t>Purchased commodities</w:t>
            </w:r>
          </w:p>
        </w:tc>
        <w:tc>
          <w:tcPr>
            <w:tcW w:w="260" w:type="dxa"/>
            <w:vAlign w:val="bottom"/>
          </w:tcPr>
          <w:p>
            <w:pPr>
              <w:jc w:val="right"/>
              <w:ind w:right="76"/>
              <w:spacing w:after="0"/>
              <w:rPr>
                <w:sz w:val="20"/>
                <w:szCs w:val="20"/>
                <w:color w:val="auto"/>
              </w:rPr>
            </w:pPr>
            <w:r>
              <w:rPr>
                <w:rFonts w:ascii="Arial" w:cs="Arial" w:eastAsia="Arial" w:hAnsi="Arial"/>
                <w:sz w:val="17"/>
                <w:szCs w:val="17"/>
                <w:b w:val="1"/>
                <w:bCs w:val="1"/>
                <w:color w:val="00539B"/>
                <w:w w:val="84"/>
              </w:rPr>
              <w:t>$</w:t>
            </w:r>
          </w:p>
        </w:tc>
        <w:tc>
          <w:tcPr>
            <w:tcW w:w="1280" w:type="dxa"/>
            <w:vAlign w:val="bottom"/>
          </w:tcPr>
          <w:p>
            <w:pPr>
              <w:jc w:val="right"/>
              <w:spacing w:after="0"/>
              <w:rPr>
                <w:sz w:val="20"/>
                <w:szCs w:val="20"/>
                <w:color w:val="auto"/>
              </w:rPr>
            </w:pPr>
            <w:r>
              <w:rPr>
                <w:rFonts w:ascii="Arial" w:cs="Arial" w:eastAsia="Arial" w:hAnsi="Arial"/>
                <w:sz w:val="17"/>
                <w:szCs w:val="17"/>
                <w:b w:val="1"/>
                <w:bCs w:val="1"/>
                <w:color w:val="00539B"/>
              </w:rPr>
              <w:t>490</w:t>
            </w:r>
          </w:p>
        </w:tc>
        <w:tc>
          <w:tcPr>
            <w:tcW w:w="240" w:type="dxa"/>
            <w:vAlign w:val="bottom"/>
          </w:tcPr>
          <w:p>
            <w:pPr>
              <w:jc w:val="right"/>
              <w:ind w:right="36"/>
              <w:spacing w:after="0"/>
              <w:rPr>
                <w:sz w:val="20"/>
                <w:szCs w:val="20"/>
                <w:color w:val="auto"/>
              </w:rPr>
            </w:pPr>
            <w:r>
              <w:rPr>
                <w:rFonts w:ascii="Arial" w:cs="Arial" w:eastAsia="Arial" w:hAnsi="Arial"/>
                <w:sz w:val="17"/>
                <w:szCs w:val="17"/>
                <w:color w:val="auto"/>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498</w:t>
            </w:r>
          </w:p>
        </w:tc>
        <w:tc>
          <w:tcPr>
            <w:tcW w:w="280" w:type="dxa"/>
            <w:vAlign w:val="bottom"/>
          </w:tcPr>
          <w:p>
            <w:pPr>
              <w:jc w:val="right"/>
              <w:ind w:right="76"/>
              <w:spacing w:after="0"/>
              <w:rPr>
                <w:sz w:val="20"/>
                <w:szCs w:val="20"/>
                <w:color w:val="auto"/>
              </w:rPr>
            </w:pPr>
            <w:r>
              <w:rPr>
                <w:rFonts w:ascii="Arial" w:cs="Arial" w:eastAsia="Arial" w:hAnsi="Arial"/>
                <w:sz w:val="17"/>
                <w:szCs w:val="17"/>
                <w:b w:val="1"/>
                <w:bCs w:val="1"/>
                <w:color w:val="00539B"/>
              </w:rPr>
              <w:t>$</w:t>
            </w:r>
          </w:p>
        </w:tc>
        <w:tc>
          <w:tcPr>
            <w:tcW w:w="1280" w:type="dxa"/>
            <w:vAlign w:val="bottom"/>
          </w:tcPr>
          <w:p>
            <w:pPr>
              <w:jc w:val="right"/>
              <w:spacing w:after="0"/>
              <w:rPr>
                <w:sz w:val="20"/>
                <w:szCs w:val="20"/>
                <w:color w:val="auto"/>
              </w:rPr>
            </w:pPr>
            <w:r>
              <w:rPr>
                <w:rFonts w:ascii="Arial" w:cs="Arial" w:eastAsia="Arial" w:hAnsi="Arial"/>
                <w:sz w:val="17"/>
                <w:szCs w:val="17"/>
                <w:b w:val="1"/>
                <w:bCs w:val="1"/>
                <w:color w:val="00539B"/>
              </w:rPr>
              <w:t>988</w:t>
            </w:r>
          </w:p>
        </w:tc>
        <w:tc>
          <w:tcPr>
            <w:tcW w:w="300" w:type="dxa"/>
            <w:vAlign w:val="bottom"/>
          </w:tcPr>
          <w:p>
            <w:pPr>
              <w:jc w:val="right"/>
              <w:ind w:right="96"/>
              <w:spacing w:after="0"/>
              <w:rPr>
                <w:sz w:val="20"/>
                <w:szCs w:val="20"/>
                <w:color w:val="auto"/>
              </w:rPr>
            </w:pPr>
            <w:r>
              <w:rPr>
                <w:rFonts w:ascii="Arial" w:cs="Arial" w:eastAsia="Arial" w:hAnsi="Arial"/>
                <w:sz w:val="17"/>
                <w:szCs w:val="17"/>
                <w:color w:val="auto"/>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1,842</w:t>
            </w:r>
          </w:p>
        </w:tc>
        <w:tc>
          <w:tcPr>
            <w:tcW w:w="0" w:type="dxa"/>
            <w:vAlign w:val="bottom"/>
          </w:tcPr>
          <w:p>
            <w:pPr>
              <w:spacing w:after="0"/>
              <w:rPr>
                <w:sz w:val="1"/>
                <w:szCs w:val="1"/>
                <w:color w:val="auto"/>
              </w:rPr>
            </w:pPr>
          </w:p>
        </w:tc>
      </w:tr>
      <w:tr>
        <w:trPr>
          <w:trHeight w:val="213"/>
        </w:trPr>
        <w:tc>
          <w:tcPr>
            <w:tcW w:w="4700" w:type="dxa"/>
            <w:vAlign w:val="bottom"/>
          </w:tcPr>
          <w:p>
            <w:pPr>
              <w:ind w:left="20"/>
              <w:spacing w:after="0"/>
              <w:rPr>
                <w:sz w:val="20"/>
                <w:szCs w:val="20"/>
                <w:color w:val="auto"/>
              </w:rPr>
            </w:pPr>
            <w:r>
              <w:rPr>
                <w:rFonts w:ascii="Arial" w:cs="Arial" w:eastAsia="Arial" w:hAnsi="Arial"/>
                <w:sz w:val="17"/>
                <w:szCs w:val="17"/>
                <w:color w:val="auto"/>
              </w:rPr>
              <w:t>Selling, general and administrative expenses</w:t>
            </w:r>
          </w:p>
        </w:tc>
        <w:tc>
          <w:tcPr>
            <w:tcW w:w="260" w:type="dxa"/>
            <w:vAlign w:val="bottom"/>
          </w:tcPr>
          <w:p>
            <w:pPr>
              <w:jc w:val="right"/>
              <w:ind w:right="76"/>
              <w:spacing w:after="0"/>
              <w:rPr>
                <w:sz w:val="20"/>
                <w:szCs w:val="20"/>
                <w:color w:val="auto"/>
              </w:rPr>
            </w:pPr>
            <w:r>
              <w:rPr>
                <w:rFonts w:ascii="Arial" w:cs="Arial" w:eastAsia="Arial" w:hAnsi="Arial"/>
                <w:sz w:val="17"/>
                <w:szCs w:val="17"/>
                <w:b w:val="1"/>
                <w:bCs w:val="1"/>
                <w:color w:val="00539B"/>
                <w:w w:val="84"/>
              </w:rPr>
              <w:t>$</w:t>
            </w:r>
          </w:p>
        </w:tc>
        <w:tc>
          <w:tcPr>
            <w:tcW w:w="1280" w:type="dxa"/>
            <w:vAlign w:val="bottom"/>
          </w:tcPr>
          <w:p>
            <w:pPr>
              <w:jc w:val="right"/>
              <w:spacing w:after="0"/>
              <w:rPr>
                <w:sz w:val="20"/>
                <w:szCs w:val="20"/>
                <w:color w:val="auto"/>
              </w:rPr>
            </w:pPr>
            <w:r>
              <w:rPr>
                <w:rFonts w:ascii="Arial" w:cs="Arial" w:eastAsia="Arial" w:hAnsi="Arial"/>
                <w:sz w:val="17"/>
                <w:szCs w:val="17"/>
                <w:b w:val="1"/>
                <w:bCs w:val="1"/>
                <w:color w:val="00539B"/>
              </w:rPr>
              <w:t>277</w:t>
            </w:r>
          </w:p>
        </w:tc>
        <w:tc>
          <w:tcPr>
            <w:tcW w:w="240" w:type="dxa"/>
            <w:vAlign w:val="bottom"/>
          </w:tcPr>
          <w:p>
            <w:pPr>
              <w:jc w:val="right"/>
              <w:ind w:right="36"/>
              <w:spacing w:after="0"/>
              <w:rPr>
                <w:sz w:val="20"/>
                <w:szCs w:val="20"/>
                <w:color w:val="auto"/>
              </w:rPr>
            </w:pPr>
            <w:r>
              <w:rPr>
                <w:rFonts w:ascii="Arial" w:cs="Arial" w:eastAsia="Arial" w:hAnsi="Arial"/>
                <w:sz w:val="17"/>
                <w:szCs w:val="17"/>
                <w:color w:val="auto"/>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241</w:t>
            </w:r>
          </w:p>
        </w:tc>
        <w:tc>
          <w:tcPr>
            <w:tcW w:w="280" w:type="dxa"/>
            <w:vAlign w:val="bottom"/>
          </w:tcPr>
          <w:p>
            <w:pPr>
              <w:jc w:val="right"/>
              <w:ind w:right="76"/>
              <w:spacing w:after="0"/>
              <w:rPr>
                <w:sz w:val="20"/>
                <w:szCs w:val="20"/>
                <w:color w:val="auto"/>
              </w:rPr>
            </w:pPr>
            <w:r>
              <w:rPr>
                <w:rFonts w:ascii="Arial" w:cs="Arial" w:eastAsia="Arial" w:hAnsi="Arial"/>
                <w:sz w:val="17"/>
                <w:szCs w:val="17"/>
                <w:b w:val="1"/>
                <w:bCs w:val="1"/>
                <w:color w:val="00539B"/>
              </w:rPr>
              <w:t>$</w:t>
            </w:r>
          </w:p>
        </w:tc>
        <w:tc>
          <w:tcPr>
            <w:tcW w:w="1280" w:type="dxa"/>
            <w:vAlign w:val="bottom"/>
          </w:tcPr>
          <w:p>
            <w:pPr>
              <w:jc w:val="right"/>
              <w:spacing w:after="0"/>
              <w:rPr>
                <w:sz w:val="20"/>
                <w:szCs w:val="20"/>
                <w:color w:val="auto"/>
              </w:rPr>
            </w:pPr>
            <w:r>
              <w:rPr>
                <w:rFonts w:ascii="Arial" w:cs="Arial" w:eastAsia="Arial" w:hAnsi="Arial"/>
                <w:sz w:val="17"/>
                <w:szCs w:val="17"/>
                <w:b w:val="1"/>
                <w:bCs w:val="1"/>
                <w:color w:val="00539B"/>
              </w:rPr>
              <w:t>518</w:t>
            </w:r>
          </w:p>
        </w:tc>
        <w:tc>
          <w:tcPr>
            <w:tcW w:w="300" w:type="dxa"/>
            <w:vAlign w:val="bottom"/>
          </w:tcPr>
          <w:p>
            <w:pPr>
              <w:jc w:val="right"/>
              <w:ind w:right="96"/>
              <w:spacing w:after="0"/>
              <w:rPr>
                <w:sz w:val="20"/>
                <w:szCs w:val="20"/>
                <w:color w:val="auto"/>
              </w:rPr>
            </w:pPr>
            <w:r>
              <w:rPr>
                <w:rFonts w:ascii="Arial" w:cs="Arial" w:eastAsia="Arial" w:hAnsi="Arial"/>
                <w:sz w:val="17"/>
                <w:szCs w:val="17"/>
                <w:color w:val="auto"/>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440</w:t>
            </w:r>
          </w:p>
        </w:tc>
        <w:tc>
          <w:tcPr>
            <w:tcW w:w="0" w:type="dxa"/>
            <w:vAlign w:val="bottom"/>
          </w:tcPr>
          <w:p>
            <w:pPr>
              <w:spacing w:after="0"/>
              <w:rPr>
                <w:sz w:val="1"/>
                <w:szCs w:val="1"/>
                <w:color w:val="auto"/>
              </w:rPr>
            </w:pPr>
          </w:p>
        </w:tc>
      </w:tr>
      <w:tr>
        <w:trPr>
          <w:trHeight w:val="227"/>
        </w:trPr>
        <w:tc>
          <w:tcPr>
            <w:tcW w:w="4700" w:type="dxa"/>
            <w:vAlign w:val="bottom"/>
          </w:tcPr>
          <w:p>
            <w:pPr>
              <w:ind w:left="20"/>
              <w:spacing w:after="0"/>
              <w:rPr>
                <w:sz w:val="20"/>
                <w:szCs w:val="20"/>
                <w:color w:val="auto"/>
              </w:rPr>
            </w:pPr>
            <w:r>
              <w:rPr>
                <w:rFonts w:ascii="Arial" w:cs="Arial" w:eastAsia="Arial" w:hAnsi="Arial"/>
                <w:sz w:val="17"/>
                <w:szCs w:val="17"/>
                <w:color w:val="auto"/>
              </w:rPr>
              <w:t>Other operating and non-operating expense</w:t>
            </w:r>
          </w:p>
        </w:tc>
        <w:tc>
          <w:tcPr>
            <w:tcW w:w="260" w:type="dxa"/>
            <w:vAlign w:val="bottom"/>
          </w:tcPr>
          <w:p>
            <w:pPr>
              <w:jc w:val="right"/>
              <w:ind w:right="76"/>
              <w:spacing w:after="0"/>
              <w:rPr>
                <w:sz w:val="20"/>
                <w:szCs w:val="20"/>
                <w:color w:val="auto"/>
              </w:rPr>
            </w:pPr>
            <w:r>
              <w:rPr>
                <w:rFonts w:ascii="Arial" w:cs="Arial" w:eastAsia="Arial" w:hAnsi="Arial"/>
                <w:sz w:val="17"/>
                <w:szCs w:val="17"/>
                <w:b w:val="1"/>
                <w:bCs w:val="1"/>
                <w:color w:val="00539B"/>
                <w:w w:val="84"/>
              </w:rPr>
              <w:t>$</w:t>
            </w:r>
          </w:p>
        </w:tc>
        <w:tc>
          <w:tcPr>
            <w:tcW w:w="1280" w:type="dxa"/>
            <w:vAlign w:val="bottom"/>
          </w:tcPr>
          <w:p>
            <w:pPr>
              <w:jc w:val="right"/>
              <w:spacing w:after="0"/>
              <w:rPr>
                <w:sz w:val="20"/>
                <w:szCs w:val="20"/>
                <w:color w:val="auto"/>
              </w:rPr>
            </w:pPr>
            <w:r>
              <w:rPr>
                <w:rFonts w:ascii="Arial" w:cs="Arial" w:eastAsia="Arial" w:hAnsi="Arial"/>
                <w:sz w:val="17"/>
                <w:szCs w:val="17"/>
                <w:b w:val="1"/>
                <w:bCs w:val="1"/>
                <w:color w:val="00539B"/>
              </w:rPr>
              <w:t>10</w:t>
            </w:r>
          </w:p>
        </w:tc>
        <w:tc>
          <w:tcPr>
            <w:tcW w:w="240" w:type="dxa"/>
            <w:vAlign w:val="bottom"/>
          </w:tcPr>
          <w:p>
            <w:pPr>
              <w:jc w:val="right"/>
              <w:ind w:right="36"/>
              <w:spacing w:after="0"/>
              <w:rPr>
                <w:sz w:val="20"/>
                <w:szCs w:val="20"/>
                <w:color w:val="auto"/>
              </w:rPr>
            </w:pPr>
            <w:r>
              <w:rPr>
                <w:rFonts w:ascii="Arial" w:cs="Arial" w:eastAsia="Arial" w:hAnsi="Arial"/>
                <w:sz w:val="17"/>
                <w:szCs w:val="17"/>
                <w:color w:val="auto"/>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308</w:t>
            </w:r>
          </w:p>
        </w:tc>
        <w:tc>
          <w:tcPr>
            <w:tcW w:w="280" w:type="dxa"/>
            <w:vAlign w:val="bottom"/>
          </w:tcPr>
          <w:p>
            <w:pPr>
              <w:jc w:val="right"/>
              <w:ind w:right="76"/>
              <w:spacing w:after="0"/>
              <w:rPr>
                <w:sz w:val="20"/>
                <w:szCs w:val="20"/>
                <w:color w:val="auto"/>
              </w:rPr>
            </w:pPr>
            <w:r>
              <w:rPr>
                <w:rFonts w:ascii="Arial" w:cs="Arial" w:eastAsia="Arial" w:hAnsi="Arial"/>
                <w:sz w:val="17"/>
                <w:szCs w:val="17"/>
                <w:b w:val="1"/>
                <w:bCs w:val="1"/>
                <w:color w:val="00539B"/>
              </w:rPr>
              <w:t>$</w:t>
            </w:r>
          </w:p>
        </w:tc>
        <w:tc>
          <w:tcPr>
            <w:tcW w:w="1280" w:type="dxa"/>
            <w:vAlign w:val="bottom"/>
          </w:tcPr>
          <w:p>
            <w:pPr>
              <w:jc w:val="right"/>
              <w:spacing w:after="0"/>
              <w:rPr>
                <w:sz w:val="20"/>
                <w:szCs w:val="20"/>
                <w:color w:val="auto"/>
              </w:rPr>
            </w:pPr>
            <w:r>
              <w:rPr>
                <w:rFonts w:ascii="Arial" w:cs="Arial" w:eastAsia="Arial" w:hAnsi="Arial"/>
                <w:sz w:val="17"/>
                <w:szCs w:val="17"/>
                <w:b w:val="1"/>
                <w:bCs w:val="1"/>
                <w:color w:val="00539B"/>
              </w:rPr>
              <w:t>318</w:t>
            </w:r>
          </w:p>
        </w:tc>
        <w:tc>
          <w:tcPr>
            <w:tcW w:w="300" w:type="dxa"/>
            <w:vAlign w:val="bottom"/>
          </w:tcPr>
          <w:p>
            <w:pPr>
              <w:jc w:val="right"/>
              <w:ind w:right="96"/>
              <w:spacing w:after="0"/>
              <w:rPr>
                <w:sz w:val="20"/>
                <w:szCs w:val="20"/>
                <w:color w:val="auto"/>
              </w:rPr>
            </w:pPr>
            <w:r>
              <w:rPr>
                <w:rFonts w:ascii="Arial" w:cs="Arial" w:eastAsia="Arial" w:hAnsi="Arial"/>
                <w:sz w:val="17"/>
                <w:szCs w:val="17"/>
                <w:color w:val="auto"/>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590</w:t>
            </w:r>
          </w:p>
        </w:tc>
        <w:tc>
          <w:tcPr>
            <w:tcW w:w="0" w:type="dxa"/>
            <w:vAlign w:val="bottom"/>
          </w:tcPr>
          <w:p>
            <w:pPr>
              <w:spacing w:after="0"/>
              <w:rPr>
                <w:sz w:val="1"/>
                <w:szCs w:val="1"/>
                <w:color w:val="auto"/>
              </w:rPr>
            </w:pPr>
          </w:p>
        </w:tc>
      </w:tr>
      <w:tr>
        <w:trPr>
          <w:trHeight w:val="227"/>
        </w:trPr>
        <w:tc>
          <w:tcPr>
            <w:tcW w:w="4700" w:type="dxa"/>
            <w:vAlign w:val="bottom"/>
          </w:tcPr>
          <w:p>
            <w:pPr>
              <w:ind w:left="20"/>
              <w:spacing w:after="0"/>
              <w:rPr>
                <w:sz w:val="20"/>
                <w:szCs w:val="20"/>
                <w:color w:val="auto"/>
              </w:rPr>
            </w:pPr>
            <w:r>
              <w:rPr>
                <w:rFonts w:ascii="Arial" w:cs="Arial" w:eastAsia="Arial" w:hAnsi="Arial"/>
                <w:sz w:val="17"/>
                <w:szCs w:val="17"/>
                <w:color w:val="auto"/>
              </w:rPr>
              <w:t>Taxes other than on income</w:t>
            </w:r>
          </w:p>
        </w:tc>
        <w:tc>
          <w:tcPr>
            <w:tcW w:w="260" w:type="dxa"/>
            <w:vAlign w:val="bottom"/>
          </w:tcPr>
          <w:p>
            <w:pPr>
              <w:jc w:val="right"/>
              <w:ind w:right="76"/>
              <w:spacing w:after="0"/>
              <w:rPr>
                <w:sz w:val="20"/>
                <w:szCs w:val="20"/>
                <w:color w:val="auto"/>
              </w:rPr>
            </w:pPr>
            <w:r>
              <w:rPr>
                <w:rFonts w:ascii="Arial" w:cs="Arial" w:eastAsia="Arial" w:hAnsi="Arial"/>
                <w:sz w:val="17"/>
                <w:szCs w:val="17"/>
                <w:b w:val="1"/>
                <w:bCs w:val="1"/>
                <w:color w:val="00539B"/>
                <w:w w:val="84"/>
              </w:rPr>
              <w:t>$</w:t>
            </w:r>
          </w:p>
        </w:tc>
        <w:tc>
          <w:tcPr>
            <w:tcW w:w="1280" w:type="dxa"/>
            <w:vAlign w:val="bottom"/>
          </w:tcPr>
          <w:p>
            <w:pPr>
              <w:jc w:val="right"/>
              <w:spacing w:after="0"/>
              <w:rPr>
                <w:sz w:val="20"/>
                <w:szCs w:val="20"/>
                <w:color w:val="auto"/>
              </w:rPr>
            </w:pPr>
            <w:r>
              <w:rPr>
                <w:rFonts w:ascii="Arial" w:cs="Arial" w:eastAsia="Arial" w:hAnsi="Arial"/>
                <w:sz w:val="17"/>
                <w:szCs w:val="17"/>
                <w:b w:val="1"/>
                <w:bCs w:val="1"/>
                <w:color w:val="00539B"/>
              </w:rPr>
              <w:t>266</w:t>
            </w:r>
          </w:p>
        </w:tc>
        <w:tc>
          <w:tcPr>
            <w:tcW w:w="240" w:type="dxa"/>
            <w:vAlign w:val="bottom"/>
          </w:tcPr>
          <w:p>
            <w:pPr>
              <w:jc w:val="right"/>
              <w:ind w:right="36"/>
              <w:spacing w:after="0"/>
              <w:rPr>
                <w:sz w:val="20"/>
                <w:szCs w:val="20"/>
                <w:color w:val="auto"/>
              </w:rPr>
            </w:pPr>
            <w:r>
              <w:rPr>
                <w:rFonts w:ascii="Arial" w:cs="Arial" w:eastAsia="Arial" w:hAnsi="Arial"/>
                <w:sz w:val="17"/>
                <w:szCs w:val="17"/>
                <w:color w:val="auto"/>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306</w:t>
            </w:r>
          </w:p>
        </w:tc>
        <w:tc>
          <w:tcPr>
            <w:tcW w:w="280" w:type="dxa"/>
            <w:vAlign w:val="bottom"/>
          </w:tcPr>
          <w:p>
            <w:pPr>
              <w:jc w:val="right"/>
              <w:ind w:right="76"/>
              <w:spacing w:after="0"/>
              <w:rPr>
                <w:sz w:val="20"/>
                <w:szCs w:val="20"/>
                <w:color w:val="auto"/>
              </w:rPr>
            </w:pPr>
            <w:r>
              <w:rPr>
                <w:rFonts w:ascii="Arial" w:cs="Arial" w:eastAsia="Arial" w:hAnsi="Arial"/>
                <w:sz w:val="17"/>
                <w:szCs w:val="17"/>
                <w:b w:val="1"/>
                <w:bCs w:val="1"/>
                <w:color w:val="00539B"/>
              </w:rPr>
              <w:t>$</w:t>
            </w:r>
          </w:p>
        </w:tc>
        <w:tc>
          <w:tcPr>
            <w:tcW w:w="1280" w:type="dxa"/>
            <w:vAlign w:val="bottom"/>
          </w:tcPr>
          <w:p>
            <w:pPr>
              <w:jc w:val="right"/>
              <w:spacing w:after="0"/>
              <w:rPr>
                <w:sz w:val="20"/>
                <w:szCs w:val="20"/>
                <w:color w:val="auto"/>
              </w:rPr>
            </w:pPr>
            <w:r>
              <w:rPr>
                <w:rFonts w:ascii="Arial" w:cs="Arial" w:eastAsia="Arial" w:hAnsi="Arial"/>
                <w:sz w:val="17"/>
                <w:szCs w:val="17"/>
                <w:b w:val="1"/>
                <w:bCs w:val="1"/>
                <w:color w:val="00539B"/>
              </w:rPr>
              <w:t>572</w:t>
            </w:r>
          </w:p>
        </w:tc>
        <w:tc>
          <w:tcPr>
            <w:tcW w:w="300" w:type="dxa"/>
            <w:vAlign w:val="bottom"/>
          </w:tcPr>
          <w:p>
            <w:pPr>
              <w:jc w:val="right"/>
              <w:ind w:right="96"/>
              <w:spacing w:after="0"/>
              <w:rPr>
                <w:sz w:val="20"/>
                <w:szCs w:val="20"/>
                <w:color w:val="auto"/>
              </w:rPr>
            </w:pPr>
            <w:r>
              <w:rPr>
                <w:rFonts w:ascii="Arial" w:cs="Arial" w:eastAsia="Arial" w:hAnsi="Arial"/>
                <w:sz w:val="17"/>
                <w:szCs w:val="17"/>
                <w:color w:val="auto"/>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761</w:t>
            </w:r>
          </w:p>
        </w:tc>
        <w:tc>
          <w:tcPr>
            <w:tcW w:w="0" w:type="dxa"/>
            <w:vAlign w:val="bottom"/>
          </w:tcPr>
          <w:p>
            <w:pPr>
              <w:spacing w:after="0"/>
              <w:rPr>
                <w:sz w:val="1"/>
                <w:szCs w:val="1"/>
                <w:color w:val="auto"/>
              </w:rPr>
            </w:pPr>
          </w:p>
        </w:tc>
      </w:tr>
      <w:tr>
        <w:trPr>
          <w:trHeight w:val="213"/>
        </w:trPr>
        <w:tc>
          <w:tcPr>
            <w:tcW w:w="4700" w:type="dxa"/>
            <w:vAlign w:val="bottom"/>
          </w:tcPr>
          <w:p>
            <w:pPr>
              <w:ind w:left="20"/>
              <w:spacing w:after="0"/>
              <w:rPr>
                <w:sz w:val="20"/>
                <w:szCs w:val="20"/>
                <w:color w:val="auto"/>
              </w:rPr>
            </w:pPr>
            <w:r>
              <w:rPr>
                <w:rFonts w:ascii="Arial" w:cs="Arial" w:eastAsia="Arial" w:hAnsi="Arial"/>
                <w:sz w:val="17"/>
                <w:szCs w:val="17"/>
                <w:color w:val="auto"/>
              </w:rPr>
              <w:t>Depreciation, depletion and amortization</w:t>
            </w:r>
          </w:p>
        </w:tc>
        <w:tc>
          <w:tcPr>
            <w:tcW w:w="260" w:type="dxa"/>
            <w:vAlign w:val="bottom"/>
          </w:tcPr>
          <w:p>
            <w:pPr>
              <w:jc w:val="right"/>
              <w:ind w:right="76"/>
              <w:spacing w:after="0"/>
              <w:rPr>
                <w:sz w:val="20"/>
                <w:szCs w:val="20"/>
                <w:color w:val="auto"/>
              </w:rPr>
            </w:pPr>
            <w:r>
              <w:rPr>
                <w:rFonts w:ascii="Arial" w:cs="Arial" w:eastAsia="Arial" w:hAnsi="Arial"/>
                <w:sz w:val="17"/>
                <w:szCs w:val="17"/>
                <w:b w:val="1"/>
                <w:bCs w:val="1"/>
                <w:color w:val="00539B"/>
                <w:w w:val="84"/>
              </w:rPr>
              <w:t>$</w:t>
            </w:r>
          </w:p>
        </w:tc>
        <w:tc>
          <w:tcPr>
            <w:tcW w:w="1280" w:type="dxa"/>
            <w:vAlign w:val="bottom"/>
          </w:tcPr>
          <w:p>
            <w:pPr>
              <w:jc w:val="right"/>
              <w:spacing w:after="0"/>
              <w:rPr>
                <w:sz w:val="20"/>
                <w:szCs w:val="20"/>
                <w:color w:val="auto"/>
              </w:rPr>
            </w:pPr>
            <w:r>
              <w:rPr>
                <w:rFonts w:ascii="Arial" w:cs="Arial" w:eastAsia="Arial" w:hAnsi="Arial"/>
                <w:sz w:val="17"/>
                <w:szCs w:val="17"/>
                <w:b w:val="1"/>
                <w:bCs w:val="1"/>
                <w:color w:val="00539B"/>
              </w:rPr>
              <w:t>1,709</w:t>
            </w:r>
          </w:p>
        </w:tc>
        <w:tc>
          <w:tcPr>
            <w:tcW w:w="240" w:type="dxa"/>
            <w:vAlign w:val="bottom"/>
          </w:tcPr>
          <w:p>
            <w:pPr>
              <w:jc w:val="right"/>
              <w:ind w:right="36"/>
              <w:spacing w:after="0"/>
              <w:rPr>
                <w:sz w:val="20"/>
                <w:szCs w:val="20"/>
                <w:color w:val="auto"/>
              </w:rPr>
            </w:pPr>
            <w:r>
              <w:rPr>
                <w:rFonts w:ascii="Arial" w:cs="Arial" w:eastAsia="Arial" w:hAnsi="Arial"/>
                <w:sz w:val="17"/>
                <w:szCs w:val="17"/>
                <w:color w:val="auto"/>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1,721</w:t>
            </w:r>
          </w:p>
        </w:tc>
        <w:tc>
          <w:tcPr>
            <w:tcW w:w="280" w:type="dxa"/>
            <w:vAlign w:val="bottom"/>
          </w:tcPr>
          <w:p>
            <w:pPr>
              <w:jc w:val="right"/>
              <w:ind w:right="76"/>
              <w:spacing w:after="0"/>
              <w:rPr>
                <w:sz w:val="20"/>
                <w:szCs w:val="20"/>
                <w:color w:val="auto"/>
              </w:rPr>
            </w:pPr>
            <w:r>
              <w:rPr>
                <w:rFonts w:ascii="Arial" w:cs="Arial" w:eastAsia="Arial" w:hAnsi="Arial"/>
                <w:sz w:val="17"/>
                <w:szCs w:val="17"/>
                <w:b w:val="1"/>
                <w:bCs w:val="1"/>
                <w:color w:val="00539B"/>
              </w:rPr>
              <w:t>$</w:t>
            </w:r>
          </w:p>
        </w:tc>
        <w:tc>
          <w:tcPr>
            <w:tcW w:w="1280" w:type="dxa"/>
            <w:vAlign w:val="bottom"/>
          </w:tcPr>
          <w:p>
            <w:pPr>
              <w:jc w:val="right"/>
              <w:spacing w:after="0"/>
              <w:rPr>
                <w:sz w:val="20"/>
                <w:szCs w:val="20"/>
                <w:color w:val="auto"/>
              </w:rPr>
            </w:pPr>
            <w:r>
              <w:rPr>
                <w:rFonts w:ascii="Arial" w:cs="Arial" w:eastAsia="Arial" w:hAnsi="Arial"/>
                <w:sz w:val="17"/>
                <w:szCs w:val="17"/>
                <w:b w:val="1"/>
                <w:bCs w:val="1"/>
                <w:color w:val="00539B"/>
              </w:rPr>
              <w:t>3,430</w:t>
            </w:r>
          </w:p>
        </w:tc>
        <w:tc>
          <w:tcPr>
            <w:tcW w:w="300" w:type="dxa"/>
            <w:vAlign w:val="bottom"/>
          </w:tcPr>
          <w:p>
            <w:pPr>
              <w:jc w:val="right"/>
              <w:ind w:right="96"/>
              <w:spacing w:after="0"/>
              <w:rPr>
                <w:sz w:val="20"/>
                <w:szCs w:val="20"/>
                <w:color w:val="auto"/>
              </w:rPr>
            </w:pPr>
            <w:r>
              <w:rPr>
                <w:rFonts w:ascii="Arial" w:cs="Arial" w:eastAsia="Arial" w:hAnsi="Arial"/>
                <w:sz w:val="17"/>
                <w:szCs w:val="17"/>
                <w:color w:val="auto"/>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3,371</w:t>
            </w:r>
          </w:p>
        </w:tc>
        <w:tc>
          <w:tcPr>
            <w:tcW w:w="0" w:type="dxa"/>
            <w:vAlign w:val="bottom"/>
          </w:tcPr>
          <w:p>
            <w:pPr>
              <w:spacing w:after="0"/>
              <w:rPr>
                <w:sz w:val="1"/>
                <w:szCs w:val="1"/>
                <w:color w:val="auto"/>
              </w:rPr>
            </w:pPr>
          </w:p>
        </w:tc>
      </w:tr>
      <w:tr>
        <w:trPr>
          <w:trHeight w:val="227"/>
        </w:trPr>
        <w:tc>
          <w:tcPr>
            <w:tcW w:w="4700" w:type="dxa"/>
            <w:vAlign w:val="bottom"/>
          </w:tcPr>
          <w:p>
            <w:pPr>
              <w:ind w:left="20"/>
              <w:spacing w:after="0"/>
              <w:rPr>
                <w:sz w:val="20"/>
                <w:szCs w:val="20"/>
                <w:color w:val="auto"/>
              </w:rPr>
            </w:pPr>
            <w:r>
              <w:rPr>
                <w:rFonts w:ascii="Arial" w:cs="Arial" w:eastAsia="Arial" w:hAnsi="Arial"/>
                <w:sz w:val="17"/>
                <w:szCs w:val="17"/>
                <w:color w:val="auto"/>
              </w:rPr>
              <w:t>Asset impairments and other charges</w:t>
            </w:r>
          </w:p>
        </w:tc>
        <w:tc>
          <w:tcPr>
            <w:tcW w:w="260" w:type="dxa"/>
            <w:vAlign w:val="bottom"/>
          </w:tcPr>
          <w:p>
            <w:pPr>
              <w:jc w:val="right"/>
              <w:ind w:right="76"/>
              <w:spacing w:after="0"/>
              <w:rPr>
                <w:sz w:val="20"/>
                <w:szCs w:val="20"/>
                <w:color w:val="auto"/>
              </w:rPr>
            </w:pPr>
            <w:r>
              <w:rPr>
                <w:rFonts w:ascii="Arial" w:cs="Arial" w:eastAsia="Arial" w:hAnsi="Arial"/>
                <w:sz w:val="17"/>
                <w:szCs w:val="17"/>
                <w:b w:val="1"/>
                <w:bCs w:val="1"/>
                <w:color w:val="00539B"/>
                <w:w w:val="84"/>
              </w:rPr>
              <w:t>$</w:t>
            </w:r>
          </w:p>
        </w:tc>
        <w:tc>
          <w:tcPr>
            <w:tcW w:w="1280" w:type="dxa"/>
            <w:vAlign w:val="bottom"/>
          </w:tcPr>
          <w:p>
            <w:pPr>
              <w:jc w:val="right"/>
              <w:spacing w:after="0"/>
              <w:rPr>
                <w:sz w:val="20"/>
                <w:szCs w:val="20"/>
                <w:color w:val="auto"/>
              </w:rPr>
            </w:pPr>
            <w:r>
              <w:rPr>
                <w:rFonts w:ascii="Arial" w:cs="Arial" w:eastAsia="Arial" w:hAnsi="Arial"/>
                <w:sz w:val="17"/>
                <w:szCs w:val="17"/>
                <w:b w:val="1"/>
                <w:bCs w:val="1"/>
                <w:color w:val="00539B"/>
              </w:rPr>
              <w:t>209</w:t>
            </w:r>
          </w:p>
        </w:tc>
        <w:tc>
          <w:tcPr>
            <w:tcW w:w="240" w:type="dxa"/>
            <w:vAlign w:val="bottom"/>
          </w:tcPr>
          <w:p>
            <w:pPr>
              <w:jc w:val="right"/>
              <w:ind w:right="36"/>
              <w:spacing w:after="0"/>
              <w:rPr>
                <w:sz w:val="20"/>
                <w:szCs w:val="20"/>
                <w:color w:val="auto"/>
              </w:rPr>
            </w:pPr>
            <w:r>
              <w:rPr>
                <w:rFonts w:ascii="Arial" w:cs="Arial" w:eastAsia="Arial" w:hAnsi="Arial"/>
                <w:sz w:val="17"/>
                <w:szCs w:val="17"/>
                <w:color w:val="auto"/>
              </w:rPr>
              <w:t>$</w:t>
            </w:r>
          </w:p>
        </w:tc>
        <w:tc>
          <w:tcPr>
            <w:tcW w:w="1600" w:type="dxa"/>
            <w:vAlign w:val="bottom"/>
            <w:gridSpan w:val="2"/>
          </w:tcPr>
          <w:p>
            <w:pPr>
              <w:jc w:val="right"/>
              <w:ind w:right="76"/>
              <w:spacing w:after="0"/>
              <w:rPr>
                <w:sz w:val="20"/>
                <w:szCs w:val="20"/>
                <w:color w:val="auto"/>
              </w:rPr>
            </w:pPr>
            <w:r>
              <w:rPr>
                <w:rFonts w:ascii="Arial" w:cs="Arial" w:eastAsia="Arial" w:hAnsi="Arial"/>
                <w:sz w:val="17"/>
                <w:szCs w:val="17"/>
                <w:color w:val="auto"/>
              </w:rPr>
              <w:t xml:space="preserve">— </w:t>
            </w:r>
            <w:r>
              <w:rPr>
                <w:rFonts w:ascii="Arial" w:cs="Arial" w:eastAsia="Arial" w:hAnsi="Arial"/>
                <w:sz w:val="17"/>
                <w:szCs w:val="17"/>
                <w:b w:val="1"/>
                <w:bCs w:val="1"/>
                <w:color w:val="00539B"/>
              </w:rPr>
              <w:t>$</w:t>
            </w:r>
          </w:p>
        </w:tc>
        <w:tc>
          <w:tcPr>
            <w:tcW w:w="1280" w:type="dxa"/>
            <w:vAlign w:val="bottom"/>
          </w:tcPr>
          <w:p>
            <w:pPr>
              <w:jc w:val="right"/>
              <w:spacing w:after="0"/>
              <w:rPr>
                <w:sz w:val="20"/>
                <w:szCs w:val="20"/>
                <w:color w:val="auto"/>
              </w:rPr>
            </w:pPr>
            <w:r>
              <w:rPr>
                <w:rFonts w:ascii="Arial" w:cs="Arial" w:eastAsia="Arial" w:hAnsi="Arial"/>
                <w:sz w:val="17"/>
                <w:szCs w:val="17"/>
                <w:b w:val="1"/>
                <w:bCs w:val="1"/>
                <w:color w:val="00539B"/>
              </w:rPr>
              <w:t>209</w:t>
            </w:r>
          </w:p>
        </w:tc>
        <w:tc>
          <w:tcPr>
            <w:tcW w:w="300" w:type="dxa"/>
            <w:vAlign w:val="bottom"/>
          </w:tcPr>
          <w:p>
            <w:pPr>
              <w:jc w:val="right"/>
              <w:ind w:right="96"/>
              <w:spacing w:after="0"/>
              <w:rPr>
                <w:sz w:val="20"/>
                <w:szCs w:val="20"/>
                <w:color w:val="auto"/>
              </w:rPr>
            </w:pPr>
            <w:r>
              <w:rPr>
                <w:rFonts w:ascii="Arial" w:cs="Arial" w:eastAsia="Arial" w:hAnsi="Arial"/>
                <w:sz w:val="17"/>
                <w:szCs w:val="17"/>
                <w:color w:val="auto"/>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3"/>
        </w:trPr>
        <w:tc>
          <w:tcPr>
            <w:tcW w:w="4700" w:type="dxa"/>
            <w:vAlign w:val="bottom"/>
          </w:tcPr>
          <w:p>
            <w:pPr>
              <w:ind w:left="20"/>
              <w:spacing w:after="0"/>
              <w:rPr>
                <w:sz w:val="20"/>
                <w:szCs w:val="20"/>
                <w:color w:val="auto"/>
              </w:rPr>
            </w:pPr>
            <w:r>
              <w:rPr>
                <w:rFonts w:ascii="Arial" w:cs="Arial" w:eastAsia="Arial" w:hAnsi="Arial"/>
                <w:sz w:val="17"/>
                <w:szCs w:val="17"/>
                <w:color w:val="auto"/>
              </w:rPr>
              <w:t>Anadarko acquisition-related costs</w:t>
            </w:r>
          </w:p>
        </w:tc>
        <w:tc>
          <w:tcPr>
            <w:tcW w:w="260" w:type="dxa"/>
            <w:vAlign w:val="bottom"/>
          </w:tcPr>
          <w:p>
            <w:pPr>
              <w:jc w:val="right"/>
              <w:ind w:right="76"/>
              <w:spacing w:after="0"/>
              <w:rPr>
                <w:sz w:val="20"/>
                <w:szCs w:val="20"/>
                <w:color w:val="auto"/>
              </w:rPr>
            </w:pPr>
            <w:r>
              <w:rPr>
                <w:rFonts w:ascii="Arial" w:cs="Arial" w:eastAsia="Arial" w:hAnsi="Arial"/>
                <w:sz w:val="17"/>
                <w:szCs w:val="17"/>
                <w:b w:val="1"/>
                <w:bCs w:val="1"/>
                <w:color w:val="00539B"/>
                <w:w w:val="84"/>
              </w:rPr>
              <w:t>$</w:t>
            </w:r>
          </w:p>
        </w:tc>
        <w:tc>
          <w:tcPr>
            <w:tcW w:w="1520" w:type="dxa"/>
            <w:vAlign w:val="bottom"/>
            <w:gridSpan w:val="2"/>
          </w:tcPr>
          <w:p>
            <w:pPr>
              <w:jc w:val="right"/>
              <w:ind w:right="36"/>
              <w:spacing w:after="0"/>
              <w:rPr>
                <w:sz w:val="20"/>
                <w:szCs w:val="20"/>
                <w:color w:val="auto"/>
              </w:rPr>
            </w:pPr>
            <w:r>
              <w:rPr>
                <w:rFonts w:ascii="Arial" w:cs="Arial" w:eastAsia="Arial" w:hAnsi="Arial"/>
                <w:sz w:val="17"/>
                <w:szCs w:val="17"/>
                <w:b w:val="1"/>
                <w:bCs w:val="1"/>
                <w:color w:val="00539B"/>
              </w:rPr>
              <w:t xml:space="preserve">— </w:t>
            </w:r>
            <w:r>
              <w:rPr>
                <w:rFonts w:ascii="Arial" w:cs="Arial" w:eastAsia="Arial" w:hAnsi="Arial"/>
                <w:sz w:val="17"/>
                <w:szCs w:val="17"/>
                <w:color w:val="000000"/>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w:t>
            </w:r>
          </w:p>
        </w:tc>
        <w:tc>
          <w:tcPr>
            <w:tcW w:w="280" w:type="dxa"/>
            <w:vAlign w:val="bottom"/>
          </w:tcPr>
          <w:p>
            <w:pPr>
              <w:jc w:val="right"/>
              <w:ind w:right="76"/>
              <w:spacing w:after="0"/>
              <w:rPr>
                <w:sz w:val="20"/>
                <w:szCs w:val="20"/>
                <w:color w:val="auto"/>
              </w:rPr>
            </w:pPr>
            <w:r>
              <w:rPr>
                <w:rFonts w:ascii="Arial" w:cs="Arial" w:eastAsia="Arial" w:hAnsi="Arial"/>
                <w:sz w:val="17"/>
                <w:szCs w:val="17"/>
                <w:b w:val="1"/>
                <w:bCs w:val="1"/>
                <w:color w:val="00539B"/>
              </w:rPr>
              <w:t>$</w:t>
            </w:r>
          </w:p>
        </w:tc>
        <w:tc>
          <w:tcPr>
            <w:tcW w:w="1580" w:type="dxa"/>
            <w:vAlign w:val="bottom"/>
            <w:gridSpan w:val="2"/>
          </w:tcPr>
          <w:p>
            <w:pPr>
              <w:jc w:val="right"/>
              <w:ind w:right="96"/>
              <w:spacing w:after="0"/>
              <w:rPr>
                <w:sz w:val="20"/>
                <w:szCs w:val="20"/>
                <w:color w:val="auto"/>
              </w:rPr>
            </w:pPr>
            <w:r>
              <w:rPr>
                <w:rFonts w:ascii="Arial" w:cs="Arial" w:eastAsia="Arial" w:hAnsi="Arial"/>
                <w:sz w:val="17"/>
                <w:szCs w:val="17"/>
                <w:b w:val="1"/>
                <w:bCs w:val="1"/>
                <w:color w:val="00539B"/>
              </w:rPr>
              <w:t xml:space="preserve">— </w:t>
            </w:r>
            <w:r>
              <w:rPr>
                <w:rFonts w:ascii="Arial" w:cs="Arial" w:eastAsia="Arial" w:hAnsi="Arial"/>
                <w:sz w:val="17"/>
                <w:szCs w:val="17"/>
                <w:color w:val="000000"/>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78</w:t>
            </w:r>
          </w:p>
        </w:tc>
        <w:tc>
          <w:tcPr>
            <w:tcW w:w="0" w:type="dxa"/>
            <w:vAlign w:val="bottom"/>
          </w:tcPr>
          <w:p>
            <w:pPr>
              <w:spacing w:after="0"/>
              <w:rPr>
                <w:sz w:val="1"/>
                <w:szCs w:val="1"/>
                <w:color w:val="auto"/>
              </w:rPr>
            </w:pPr>
          </w:p>
        </w:tc>
      </w:tr>
      <w:tr>
        <w:trPr>
          <w:trHeight w:val="227"/>
        </w:trPr>
        <w:tc>
          <w:tcPr>
            <w:tcW w:w="4700" w:type="dxa"/>
            <w:vAlign w:val="bottom"/>
          </w:tcPr>
          <w:p>
            <w:pPr>
              <w:ind w:left="20"/>
              <w:spacing w:after="0"/>
              <w:rPr>
                <w:sz w:val="20"/>
                <w:szCs w:val="20"/>
                <w:color w:val="auto"/>
              </w:rPr>
            </w:pPr>
            <w:r>
              <w:rPr>
                <w:rFonts w:ascii="Arial" w:cs="Arial" w:eastAsia="Arial" w:hAnsi="Arial"/>
                <w:sz w:val="17"/>
                <w:szCs w:val="17"/>
                <w:color w:val="auto"/>
              </w:rPr>
              <w:t>Exploration expense</w:t>
            </w:r>
          </w:p>
        </w:tc>
        <w:tc>
          <w:tcPr>
            <w:tcW w:w="260" w:type="dxa"/>
            <w:vAlign w:val="bottom"/>
          </w:tcPr>
          <w:p>
            <w:pPr>
              <w:jc w:val="right"/>
              <w:ind w:right="76"/>
              <w:spacing w:after="0"/>
              <w:rPr>
                <w:sz w:val="20"/>
                <w:szCs w:val="20"/>
                <w:color w:val="auto"/>
              </w:rPr>
            </w:pPr>
            <w:r>
              <w:rPr>
                <w:rFonts w:ascii="Arial" w:cs="Arial" w:eastAsia="Arial" w:hAnsi="Arial"/>
                <w:sz w:val="17"/>
                <w:szCs w:val="17"/>
                <w:b w:val="1"/>
                <w:bCs w:val="1"/>
                <w:color w:val="00539B"/>
                <w:w w:val="84"/>
              </w:rPr>
              <w:t>$</w:t>
            </w:r>
          </w:p>
        </w:tc>
        <w:tc>
          <w:tcPr>
            <w:tcW w:w="1280" w:type="dxa"/>
            <w:vAlign w:val="bottom"/>
          </w:tcPr>
          <w:p>
            <w:pPr>
              <w:jc w:val="right"/>
              <w:spacing w:after="0"/>
              <w:rPr>
                <w:sz w:val="20"/>
                <w:szCs w:val="20"/>
                <w:color w:val="auto"/>
              </w:rPr>
            </w:pPr>
            <w:r>
              <w:rPr>
                <w:rFonts w:ascii="Arial" w:cs="Arial" w:eastAsia="Arial" w:hAnsi="Arial"/>
                <w:sz w:val="17"/>
                <w:szCs w:val="17"/>
                <w:b w:val="1"/>
                <w:bCs w:val="1"/>
                <w:color w:val="00539B"/>
              </w:rPr>
              <w:t>102</w:t>
            </w:r>
          </w:p>
        </w:tc>
        <w:tc>
          <w:tcPr>
            <w:tcW w:w="240" w:type="dxa"/>
            <w:vAlign w:val="bottom"/>
          </w:tcPr>
          <w:p>
            <w:pPr>
              <w:jc w:val="right"/>
              <w:ind w:right="36"/>
              <w:spacing w:after="0"/>
              <w:rPr>
                <w:sz w:val="20"/>
                <w:szCs w:val="20"/>
                <w:color w:val="auto"/>
              </w:rPr>
            </w:pPr>
            <w:r>
              <w:rPr>
                <w:rFonts w:ascii="Arial" w:cs="Arial" w:eastAsia="Arial" w:hAnsi="Arial"/>
                <w:sz w:val="17"/>
                <w:szCs w:val="17"/>
                <w:color w:val="auto"/>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102</w:t>
            </w:r>
          </w:p>
        </w:tc>
        <w:tc>
          <w:tcPr>
            <w:tcW w:w="280" w:type="dxa"/>
            <w:vAlign w:val="bottom"/>
          </w:tcPr>
          <w:p>
            <w:pPr>
              <w:jc w:val="right"/>
              <w:ind w:right="76"/>
              <w:spacing w:after="0"/>
              <w:rPr>
                <w:sz w:val="20"/>
                <w:szCs w:val="20"/>
                <w:color w:val="auto"/>
              </w:rPr>
            </w:pPr>
            <w:r>
              <w:rPr>
                <w:rFonts w:ascii="Arial" w:cs="Arial" w:eastAsia="Arial" w:hAnsi="Arial"/>
                <w:sz w:val="17"/>
                <w:szCs w:val="17"/>
                <w:b w:val="1"/>
                <w:bCs w:val="1"/>
                <w:color w:val="00539B"/>
              </w:rPr>
              <w:t>$</w:t>
            </w:r>
          </w:p>
        </w:tc>
        <w:tc>
          <w:tcPr>
            <w:tcW w:w="1280" w:type="dxa"/>
            <w:vAlign w:val="bottom"/>
          </w:tcPr>
          <w:p>
            <w:pPr>
              <w:jc w:val="right"/>
              <w:spacing w:after="0"/>
              <w:rPr>
                <w:sz w:val="20"/>
                <w:szCs w:val="20"/>
                <w:color w:val="auto"/>
              </w:rPr>
            </w:pPr>
            <w:r>
              <w:rPr>
                <w:rFonts w:ascii="Arial" w:cs="Arial" w:eastAsia="Arial" w:hAnsi="Arial"/>
                <w:sz w:val="17"/>
                <w:szCs w:val="17"/>
                <w:b w:val="1"/>
                <w:bCs w:val="1"/>
                <w:color w:val="00539B"/>
              </w:rPr>
              <w:t>204</w:t>
            </w:r>
          </w:p>
        </w:tc>
        <w:tc>
          <w:tcPr>
            <w:tcW w:w="300" w:type="dxa"/>
            <w:vAlign w:val="bottom"/>
          </w:tcPr>
          <w:p>
            <w:pPr>
              <w:jc w:val="right"/>
              <w:ind w:right="96"/>
              <w:spacing w:after="0"/>
              <w:rPr>
                <w:sz w:val="20"/>
                <w:szCs w:val="20"/>
                <w:color w:val="auto"/>
              </w:rPr>
            </w:pPr>
            <w:r>
              <w:rPr>
                <w:rFonts w:ascii="Arial" w:cs="Arial" w:eastAsia="Arial" w:hAnsi="Arial"/>
                <w:sz w:val="17"/>
                <w:szCs w:val="17"/>
                <w:color w:val="auto"/>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51</w:t>
            </w:r>
          </w:p>
        </w:tc>
        <w:tc>
          <w:tcPr>
            <w:tcW w:w="0" w:type="dxa"/>
            <w:vAlign w:val="bottom"/>
          </w:tcPr>
          <w:p>
            <w:pPr>
              <w:spacing w:after="0"/>
              <w:rPr>
                <w:sz w:val="1"/>
                <w:szCs w:val="1"/>
                <w:color w:val="auto"/>
              </w:rPr>
            </w:pPr>
          </w:p>
        </w:tc>
      </w:tr>
      <w:tr>
        <w:trPr>
          <w:trHeight w:val="227"/>
        </w:trPr>
        <w:tc>
          <w:tcPr>
            <w:tcW w:w="4700" w:type="dxa"/>
            <w:vAlign w:val="bottom"/>
          </w:tcPr>
          <w:p>
            <w:pPr>
              <w:ind w:left="20"/>
              <w:spacing w:after="0"/>
              <w:rPr>
                <w:sz w:val="20"/>
                <w:szCs w:val="20"/>
                <w:color w:val="auto"/>
              </w:rPr>
            </w:pPr>
            <w:r>
              <w:rPr>
                <w:rFonts w:ascii="Arial" w:cs="Arial" w:eastAsia="Arial" w:hAnsi="Arial"/>
                <w:sz w:val="17"/>
                <w:szCs w:val="17"/>
                <w:color w:val="auto"/>
              </w:rPr>
              <w:t>Interest and debt expense, net</w:t>
            </w:r>
          </w:p>
        </w:tc>
        <w:tc>
          <w:tcPr>
            <w:tcW w:w="260" w:type="dxa"/>
            <w:vAlign w:val="bottom"/>
          </w:tcPr>
          <w:p>
            <w:pPr>
              <w:jc w:val="right"/>
              <w:ind w:right="76"/>
              <w:spacing w:after="0"/>
              <w:rPr>
                <w:sz w:val="20"/>
                <w:szCs w:val="20"/>
                <w:color w:val="auto"/>
              </w:rPr>
            </w:pPr>
            <w:r>
              <w:rPr>
                <w:rFonts w:ascii="Arial" w:cs="Arial" w:eastAsia="Arial" w:hAnsi="Arial"/>
                <w:sz w:val="17"/>
                <w:szCs w:val="17"/>
                <w:b w:val="1"/>
                <w:bCs w:val="1"/>
                <w:color w:val="00539B"/>
                <w:w w:val="84"/>
              </w:rPr>
              <w:t>$</w:t>
            </w:r>
          </w:p>
        </w:tc>
        <w:tc>
          <w:tcPr>
            <w:tcW w:w="1280" w:type="dxa"/>
            <w:vAlign w:val="bottom"/>
          </w:tcPr>
          <w:p>
            <w:pPr>
              <w:jc w:val="right"/>
              <w:spacing w:after="0"/>
              <w:rPr>
                <w:sz w:val="20"/>
                <w:szCs w:val="20"/>
                <w:color w:val="auto"/>
              </w:rPr>
            </w:pPr>
            <w:r>
              <w:rPr>
                <w:rFonts w:ascii="Arial" w:cs="Arial" w:eastAsia="Arial" w:hAnsi="Arial"/>
                <w:sz w:val="17"/>
                <w:szCs w:val="17"/>
                <w:b w:val="1"/>
                <w:bCs w:val="1"/>
                <w:color w:val="00539B"/>
              </w:rPr>
              <w:t>230</w:t>
            </w:r>
          </w:p>
        </w:tc>
        <w:tc>
          <w:tcPr>
            <w:tcW w:w="240" w:type="dxa"/>
            <w:vAlign w:val="bottom"/>
          </w:tcPr>
          <w:p>
            <w:pPr>
              <w:jc w:val="right"/>
              <w:ind w:right="36"/>
              <w:spacing w:after="0"/>
              <w:rPr>
                <w:sz w:val="20"/>
                <w:szCs w:val="20"/>
                <w:color w:val="auto"/>
              </w:rPr>
            </w:pPr>
            <w:r>
              <w:rPr>
                <w:rFonts w:ascii="Arial" w:cs="Arial" w:eastAsia="Arial" w:hAnsi="Arial"/>
                <w:sz w:val="17"/>
                <w:szCs w:val="17"/>
                <w:color w:val="auto"/>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238</w:t>
            </w:r>
          </w:p>
        </w:tc>
        <w:tc>
          <w:tcPr>
            <w:tcW w:w="280" w:type="dxa"/>
            <w:vAlign w:val="bottom"/>
          </w:tcPr>
          <w:p>
            <w:pPr>
              <w:jc w:val="right"/>
              <w:ind w:right="76"/>
              <w:spacing w:after="0"/>
              <w:rPr>
                <w:sz w:val="20"/>
                <w:szCs w:val="20"/>
                <w:color w:val="auto"/>
              </w:rPr>
            </w:pPr>
            <w:r>
              <w:rPr>
                <w:rFonts w:ascii="Arial" w:cs="Arial" w:eastAsia="Arial" w:hAnsi="Arial"/>
                <w:sz w:val="17"/>
                <w:szCs w:val="17"/>
                <w:b w:val="1"/>
                <w:bCs w:val="1"/>
                <w:color w:val="00539B"/>
              </w:rPr>
              <w:t>$</w:t>
            </w:r>
          </w:p>
        </w:tc>
        <w:tc>
          <w:tcPr>
            <w:tcW w:w="1280" w:type="dxa"/>
            <w:vAlign w:val="bottom"/>
          </w:tcPr>
          <w:p>
            <w:pPr>
              <w:jc w:val="right"/>
              <w:spacing w:after="0"/>
              <w:rPr>
                <w:sz w:val="20"/>
                <w:szCs w:val="20"/>
                <w:color w:val="auto"/>
              </w:rPr>
            </w:pPr>
            <w:r>
              <w:rPr>
                <w:rFonts w:ascii="Arial" w:cs="Arial" w:eastAsia="Arial" w:hAnsi="Arial"/>
                <w:sz w:val="17"/>
                <w:szCs w:val="17"/>
                <w:b w:val="1"/>
                <w:bCs w:val="1"/>
                <w:color w:val="00539B"/>
              </w:rPr>
              <w:t>468</w:t>
            </w:r>
          </w:p>
        </w:tc>
        <w:tc>
          <w:tcPr>
            <w:tcW w:w="300" w:type="dxa"/>
            <w:vAlign w:val="bottom"/>
          </w:tcPr>
          <w:p>
            <w:pPr>
              <w:jc w:val="right"/>
              <w:ind w:right="96"/>
              <w:spacing w:after="0"/>
              <w:rPr>
                <w:sz w:val="20"/>
                <w:szCs w:val="20"/>
                <w:color w:val="auto"/>
              </w:rPr>
            </w:pPr>
            <w:r>
              <w:rPr>
                <w:rFonts w:ascii="Arial" w:cs="Arial" w:eastAsia="Arial" w:hAnsi="Arial"/>
                <w:sz w:val="17"/>
                <w:szCs w:val="17"/>
                <w:color w:val="auto"/>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485</w:t>
            </w:r>
          </w:p>
        </w:tc>
        <w:tc>
          <w:tcPr>
            <w:tcW w:w="0" w:type="dxa"/>
            <w:vAlign w:val="bottom"/>
          </w:tcPr>
          <w:p>
            <w:pPr>
              <w:spacing w:after="0"/>
              <w:rPr>
                <w:sz w:val="1"/>
                <w:szCs w:val="1"/>
                <w:color w:val="auto"/>
              </w:rPr>
            </w:pPr>
          </w:p>
        </w:tc>
      </w:tr>
      <w:tr>
        <w:trPr>
          <w:trHeight w:val="213"/>
        </w:trPr>
        <w:tc>
          <w:tcPr>
            <w:tcW w:w="4700" w:type="dxa"/>
            <w:vAlign w:val="bottom"/>
          </w:tcPr>
          <w:p>
            <w:pPr>
              <w:ind w:left="20"/>
              <w:spacing w:after="0"/>
              <w:rPr>
                <w:sz w:val="20"/>
                <w:szCs w:val="20"/>
                <w:color w:val="auto"/>
              </w:rPr>
            </w:pPr>
            <w:r>
              <w:rPr>
                <w:rFonts w:ascii="Arial" w:cs="Arial" w:eastAsia="Arial" w:hAnsi="Arial"/>
                <w:sz w:val="17"/>
                <w:szCs w:val="17"/>
                <w:color w:val="auto"/>
              </w:rPr>
              <w:t>Gains on interest rate swaps, net</w:t>
            </w:r>
          </w:p>
        </w:tc>
        <w:tc>
          <w:tcPr>
            <w:tcW w:w="260" w:type="dxa"/>
            <w:vAlign w:val="bottom"/>
          </w:tcPr>
          <w:p>
            <w:pPr>
              <w:jc w:val="right"/>
              <w:ind w:right="76"/>
              <w:spacing w:after="0"/>
              <w:rPr>
                <w:sz w:val="20"/>
                <w:szCs w:val="20"/>
                <w:color w:val="auto"/>
              </w:rPr>
            </w:pPr>
            <w:r>
              <w:rPr>
                <w:rFonts w:ascii="Arial" w:cs="Arial" w:eastAsia="Arial" w:hAnsi="Arial"/>
                <w:sz w:val="17"/>
                <w:szCs w:val="17"/>
                <w:b w:val="1"/>
                <w:bCs w:val="1"/>
                <w:color w:val="00539B"/>
                <w:w w:val="84"/>
              </w:rPr>
              <w:t>$</w:t>
            </w:r>
          </w:p>
        </w:tc>
        <w:tc>
          <w:tcPr>
            <w:tcW w:w="1520" w:type="dxa"/>
            <w:vAlign w:val="bottom"/>
            <w:gridSpan w:val="2"/>
          </w:tcPr>
          <w:p>
            <w:pPr>
              <w:jc w:val="right"/>
              <w:ind w:right="36"/>
              <w:spacing w:after="0"/>
              <w:rPr>
                <w:sz w:val="20"/>
                <w:szCs w:val="20"/>
                <w:color w:val="auto"/>
              </w:rPr>
            </w:pPr>
            <w:r>
              <w:rPr>
                <w:rFonts w:ascii="Arial" w:cs="Arial" w:eastAsia="Arial" w:hAnsi="Arial"/>
                <w:sz w:val="17"/>
                <w:szCs w:val="17"/>
                <w:b w:val="1"/>
                <w:bCs w:val="1"/>
                <w:color w:val="00539B"/>
              </w:rPr>
              <w:t xml:space="preserve">— </w:t>
            </w:r>
            <w:r>
              <w:rPr>
                <w:rFonts w:ascii="Arial" w:cs="Arial" w:eastAsia="Arial" w:hAnsi="Arial"/>
                <w:sz w:val="17"/>
                <w:szCs w:val="17"/>
                <w:color w:val="000000"/>
              </w:rPr>
              <w:t>$</w:t>
            </w:r>
          </w:p>
        </w:tc>
        <w:tc>
          <w:tcPr>
            <w:tcW w:w="1600" w:type="dxa"/>
            <w:vAlign w:val="bottom"/>
            <w:gridSpan w:val="2"/>
          </w:tcPr>
          <w:p>
            <w:pPr>
              <w:jc w:val="right"/>
              <w:ind w:right="76"/>
              <w:spacing w:after="0"/>
              <w:rPr>
                <w:sz w:val="20"/>
                <w:szCs w:val="20"/>
                <w:color w:val="auto"/>
              </w:rPr>
            </w:pPr>
            <w:r>
              <w:rPr>
                <w:rFonts w:ascii="Arial" w:cs="Arial" w:eastAsia="Arial" w:hAnsi="Arial"/>
                <w:sz w:val="17"/>
                <w:szCs w:val="17"/>
                <w:color w:val="auto"/>
              </w:rPr>
              <w:t xml:space="preserve">— </w:t>
            </w:r>
            <w:r>
              <w:rPr>
                <w:rFonts w:ascii="Arial" w:cs="Arial" w:eastAsia="Arial" w:hAnsi="Arial"/>
                <w:sz w:val="17"/>
                <w:szCs w:val="17"/>
                <w:b w:val="1"/>
                <w:bCs w:val="1"/>
                <w:color w:val="00539B"/>
              </w:rPr>
              <w:t>$</w:t>
            </w:r>
          </w:p>
        </w:tc>
        <w:tc>
          <w:tcPr>
            <w:tcW w:w="1580" w:type="dxa"/>
            <w:vAlign w:val="bottom"/>
            <w:gridSpan w:val="2"/>
          </w:tcPr>
          <w:p>
            <w:pPr>
              <w:jc w:val="right"/>
              <w:ind w:right="96"/>
              <w:spacing w:after="0"/>
              <w:rPr>
                <w:sz w:val="20"/>
                <w:szCs w:val="20"/>
                <w:color w:val="auto"/>
              </w:rPr>
            </w:pPr>
            <w:r>
              <w:rPr>
                <w:rFonts w:ascii="Arial" w:cs="Arial" w:eastAsia="Arial" w:hAnsi="Arial"/>
                <w:sz w:val="17"/>
                <w:szCs w:val="17"/>
                <w:b w:val="1"/>
                <w:bCs w:val="1"/>
                <w:color w:val="00539B"/>
              </w:rPr>
              <w:t xml:space="preserve">— </w:t>
            </w:r>
            <w:r>
              <w:rPr>
                <w:rFonts w:ascii="Arial" w:cs="Arial" w:eastAsia="Arial" w:hAnsi="Arial"/>
                <w:sz w:val="17"/>
                <w:szCs w:val="17"/>
                <w:color w:val="000000"/>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262</w:t>
            </w:r>
          </w:p>
        </w:tc>
        <w:tc>
          <w:tcPr>
            <w:tcW w:w="0" w:type="dxa"/>
            <w:vAlign w:val="bottom"/>
          </w:tcPr>
          <w:p>
            <w:pPr>
              <w:spacing w:after="0"/>
              <w:rPr>
                <w:sz w:val="1"/>
                <w:szCs w:val="1"/>
                <w:color w:val="auto"/>
              </w:rPr>
            </w:pPr>
          </w:p>
        </w:tc>
      </w:tr>
      <w:tr>
        <w:trPr>
          <w:trHeight w:val="227"/>
        </w:trPr>
        <w:tc>
          <w:tcPr>
            <w:tcW w:w="4700" w:type="dxa"/>
            <w:vAlign w:val="bottom"/>
          </w:tcPr>
          <w:p>
            <w:pPr>
              <w:ind w:left="20"/>
              <w:spacing w:after="0"/>
              <w:rPr>
                <w:sz w:val="20"/>
                <w:szCs w:val="20"/>
                <w:color w:val="auto"/>
              </w:rPr>
            </w:pPr>
            <w:r>
              <w:rPr>
                <w:rFonts w:ascii="Arial" w:cs="Arial" w:eastAsia="Arial" w:hAnsi="Arial"/>
                <w:sz w:val="17"/>
                <w:szCs w:val="17"/>
                <w:color w:val="auto"/>
              </w:rPr>
              <w:t>Income from equity investments and other</w:t>
            </w:r>
          </w:p>
        </w:tc>
        <w:tc>
          <w:tcPr>
            <w:tcW w:w="260" w:type="dxa"/>
            <w:vAlign w:val="bottom"/>
          </w:tcPr>
          <w:p>
            <w:pPr>
              <w:jc w:val="right"/>
              <w:ind w:right="76"/>
              <w:spacing w:after="0"/>
              <w:rPr>
                <w:sz w:val="20"/>
                <w:szCs w:val="20"/>
                <w:color w:val="auto"/>
              </w:rPr>
            </w:pPr>
            <w:r>
              <w:rPr>
                <w:rFonts w:ascii="Arial" w:cs="Arial" w:eastAsia="Arial" w:hAnsi="Arial"/>
                <w:sz w:val="17"/>
                <w:szCs w:val="17"/>
                <w:b w:val="1"/>
                <w:bCs w:val="1"/>
                <w:color w:val="00539B"/>
                <w:w w:val="84"/>
              </w:rPr>
              <w:t>$</w:t>
            </w:r>
          </w:p>
        </w:tc>
        <w:tc>
          <w:tcPr>
            <w:tcW w:w="1280" w:type="dxa"/>
            <w:vAlign w:val="bottom"/>
          </w:tcPr>
          <w:p>
            <w:pPr>
              <w:jc w:val="right"/>
              <w:spacing w:after="0"/>
              <w:rPr>
                <w:sz w:val="20"/>
                <w:szCs w:val="20"/>
                <w:color w:val="auto"/>
              </w:rPr>
            </w:pPr>
            <w:r>
              <w:rPr>
                <w:rFonts w:ascii="Arial" w:cs="Arial" w:eastAsia="Arial" w:hAnsi="Arial"/>
                <w:sz w:val="17"/>
                <w:szCs w:val="17"/>
                <w:b w:val="1"/>
                <w:bCs w:val="1"/>
                <w:color w:val="00539B"/>
              </w:rPr>
              <w:t>185</w:t>
            </w:r>
          </w:p>
        </w:tc>
        <w:tc>
          <w:tcPr>
            <w:tcW w:w="240" w:type="dxa"/>
            <w:vAlign w:val="bottom"/>
          </w:tcPr>
          <w:p>
            <w:pPr>
              <w:jc w:val="right"/>
              <w:ind w:right="36"/>
              <w:spacing w:after="0"/>
              <w:rPr>
                <w:sz w:val="20"/>
                <w:szCs w:val="20"/>
                <w:color w:val="auto"/>
              </w:rPr>
            </w:pPr>
            <w:r>
              <w:rPr>
                <w:rFonts w:ascii="Arial" w:cs="Arial" w:eastAsia="Arial" w:hAnsi="Arial"/>
                <w:sz w:val="17"/>
                <w:szCs w:val="17"/>
                <w:color w:val="auto"/>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100</w:t>
            </w:r>
          </w:p>
        </w:tc>
        <w:tc>
          <w:tcPr>
            <w:tcW w:w="280" w:type="dxa"/>
            <w:vAlign w:val="bottom"/>
          </w:tcPr>
          <w:p>
            <w:pPr>
              <w:jc w:val="right"/>
              <w:ind w:right="76"/>
              <w:spacing w:after="0"/>
              <w:rPr>
                <w:sz w:val="20"/>
                <w:szCs w:val="20"/>
                <w:color w:val="auto"/>
              </w:rPr>
            </w:pPr>
            <w:r>
              <w:rPr>
                <w:rFonts w:ascii="Arial" w:cs="Arial" w:eastAsia="Arial" w:hAnsi="Arial"/>
                <w:sz w:val="17"/>
                <w:szCs w:val="17"/>
                <w:b w:val="1"/>
                <w:bCs w:val="1"/>
                <w:color w:val="00539B"/>
              </w:rPr>
              <w:t>$</w:t>
            </w:r>
          </w:p>
        </w:tc>
        <w:tc>
          <w:tcPr>
            <w:tcW w:w="1280" w:type="dxa"/>
            <w:vAlign w:val="bottom"/>
          </w:tcPr>
          <w:p>
            <w:pPr>
              <w:jc w:val="right"/>
              <w:spacing w:after="0"/>
              <w:rPr>
                <w:sz w:val="20"/>
                <w:szCs w:val="20"/>
                <w:color w:val="auto"/>
              </w:rPr>
            </w:pPr>
            <w:r>
              <w:rPr>
                <w:rFonts w:ascii="Arial" w:cs="Arial" w:eastAsia="Arial" w:hAnsi="Arial"/>
                <w:sz w:val="17"/>
                <w:szCs w:val="17"/>
                <w:b w:val="1"/>
                <w:bCs w:val="1"/>
                <w:color w:val="00539B"/>
              </w:rPr>
              <w:t>285</w:t>
            </w:r>
          </w:p>
        </w:tc>
        <w:tc>
          <w:tcPr>
            <w:tcW w:w="300" w:type="dxa"/>
            <w:vAlign w:val="bottom"/>
          </w:tcPr>
          <w:p>
            <w:pPr>
              <w:jc w:val="right"/>
              <w:ind w:right="96"/>
              <w:spacing w:after="0"/>
              <w:rPr>
                <w:sz w:val="20"/>
                <w:szCs w:val="20"/>
                <w:color w:val="auto"/>
              </w:rPr>
            </w:pPr>
            <w:r>
              <w:rPr>
                <w:rFonts w:ascii="Arial" w:cs="Arial" w:eastAsia="Arial" w:hAnsi="Arial"/>
                <w:sz w:val="17"/>
                <w:szCs w:val="17"/>
                <w:color w:val="auto"/>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390</w:t>
            </w:r>
          </w:p>
        </w:tc>
        <w:tc>
          <w:tcPr>
            <w:tcW w:w="0" w:type="dxa"/>
            <w:vAlign w:val="bottom"/>
          </w:tcPr>
          <w:p>
            <w:pPr>
              <w:spacing w:after="0"/>
              <w:rPr>
                <w:sz w:val="1"/>
                <w:szCs w:val="1"/>
                <w:color w:val="auto"/>
              </w:rPr>
            </w:pPr>
          </w:p>
        </w:tc>
      </w:tr>
      <w:tr>
        <w:trPr>
          <w:trHeight w:val="237"/>
        </w:trPr>
        <w:tc>
          <w:tcPr>
            <w:tcW w:w="47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Income tax benefit (expense)</w:t>
            </w:r>
          </w:p>
        </w:tc>
        <w:tc>
          <w:tcPr>
            <w:tcW w:w="260" w:type="dxa"/>
            <w:vAlign w:val="bottom"/>
            <w:tcBorders>
              <w:bottom w:val="single" w:sz="8" w:color="auto"/>
            </w:tcBorders>
          </w:tcPr>
          <w:p>
            <w:pPr>
              <w:jc w:val="right"/>
              <w:ind w:right="76"/>
              <w:spacing w:after="0"/>
              <w:rPr>
                <w:sz w:val="20"/>
                <w:szCs w:val="20"/>
                <w:color w:val="auto"/>
              </w:rPr>
            </w:pPr>
            <w:r>
              <w:rPr>
                <w:rFonts w:ascii="Arial" w:cs="Arial" w:eastAsia="Arial" w:hAnsi="Arial"/>
                <w:sz w:val="17"/>
                <w:szCs w:val="17"/>
                <w:b w:val="1"/>
                <w:bCs w:val="1"/>
                <w:color w:val="00539B"/>
                <w:w w:val="84"/>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(467)</w:t>
            </w:r>
          </w:p>
        </w:tc>
        <w:tc>
          <w:tcPr>
            <w:tcW w:w="24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(471)</w:t>
            </w:r>
          </w:p>
        </w:tc>
        <w:tc>
          <w:tcPr>
            <w:tcW w:w="280" w:type="dxa"/>
            <w:vAlign w:val="bottom"/>
            <w:tcBorders>
              <w:bottom w:val="single" w:sz="8" w:color="auto"/>
            </w:tcBorders>
          </w:tcPr>
          <w:p>
            <w:pPr>
              <w:jc w:val="right"/>
              <w:ind w:right="76"/>
              <w:spacing w:after="0"/>
              <w:rPr>
                <w:sz w:val="20"/>
                <w:szCs w:val="20"/>
                <w:color w:val="auto"/>
              </w:rPr>
            </w:pPr>
            <w:r>
              <w:rPr>
                <w:rFonts w:ascii="Arial" w:cs="Arial" w:eastAsia="Arial" w:hAnsi="Arial"/>
                <w:sz w:val="17"/>
                <w:szCs w:val="17"/>
                <w:b w:val="1"/>
                <w:bCs w:val="1"/>
                <w:color w:val="00539B"/>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(938)</w:t>
            </w:r>
          </w:p>
        </w:tc>
        <w:tc>
          <w:tcPr>
            <w:tcW w:w="300" w:type="dxa"/>
            <w:vAlign w:val="bottom"/>
            <w:tcBorders>
              <w:bottom w:val="single" w:sz="8" w:color="auto"/>
            </w:tcBorders>
          </w:tcPr>
          <w:p>
            <w:pPr>
              <w:jc w:val="right"/>
              <w:ind w:right="96"/>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562</w:t>
            </w:r>
          </w:p>
        </w:tc>
        <w:tc>
          <w:tcPr>
            <w:tcW w:w="0" w:type="dxa"/>
            <w:vAlign w:val="bottom"/>
          </w:tcPr>
          <w:p>
            <w:pPr>
              <w:spacing w:after="0"/>
              <w:rPr>
                <w:sz w:val="1"/>
                <w:szCs w:val="1"/>
                <w:color w:val="auto"/>
              </w:rPr>
            </w:pPr>
          </w:p>
        </w:tc>
      </w:tr>
    </w:tbl>
    <w:p>
      <w:pPr>
        <w:spacing w:after="0" w:line="5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539B"/>
        </w:rPr>
        <w:t>Q2 2023 compared to Q1 2023</w:t>
      </w:r>
    </w:p>
    <w:p>
      <w:pPr>
        <w:spacing w:after="0" w:line="25" w:lineRule="exact"/>
        <w:rPr>
          <w:sz w:val="20"/>
          <w:szCs w:val="20"/>
          <w:color w:val="auto"/>
        </w:rPr>
      </w:pPr>
    </w:p>
    <w:p>
      <w:pPr>
        <w:jc w:val="both"/>
        <w:ind w:firstLine="240"/>
        <w:spacing w:after="0" w:line="246" w:lineRule="auto"/>
        <w:rPr>
          <w:sz w:val="20"/>
          <w:szCs w:val="20"/>
          <w:color w:val="auto"/>
        </w:rPr>
      </w:pPr>
      <w:r>
        <w:rPr>
          <w:rFonts w:ascii="Arial" w:cs="Arial" w:eastAsia="Arial" w:hAnsi="Arial"/>
          <w:sz w:val="17"/>
          <w:szCs w:val="17"/>
          <w:color w:val="auto"/>
        </w:rPr>
        <w:t>Net sales decreased for the three months ended June 30, 2023, compared to the three months ended March 31, 2023, primarily due to lower domestic natural gas and NGL commodity prices and lower domestic crude oil volumes, partially offset by higher international sales volumes in the oil and gas segment.</w:t>
      </w:r>
    </w:p>
    <w:p>
      <w:pPr>
        <w:spacing w:after="0" w:line="2" w:lineRule="exact"/>
        <w:rPr>
          <w:sz w:val="20"/>
          <w:szCs w:val="20"/>
          <w:color w:val="auto"/>
        </w:rPr>
      </w:pPr>
    </w:p>
    <w:p>
      <w:pPr>
        <w:jc w:val="both"/>
        <w:ind w:firstLine="240"/>
        <w:spacing w:after="0" w:line="250" w:lineRule="auto"/>
        <w:rPr>
          <w:sz w:val="20"/>
          <w:szCs w:val="20"/>
          <w:color w:val="auto"/>
        </w:rPr>
      </w:pPr>
      <w:r>
        <w:rPr>
          <w:rFonts w:ascii="Arial" w:cs="Arial" w:eastAsia="Arial" w:hAnsi="Arial"/>
          <w:sz w:val="17"/>
          <w:szCs w:val="17"/>
          <w:color w:val="auto"/>
        </w:rPr>
        <w:t xml:space="preserve">Other operating and non-operating expense decreased for the three months ended June 30, 2023, compared to the three months ended March 31, 2023, due to the $260 million remeasurement of the valuation allowance for the Maxus Liquidating Trust. See </w:t>
      </w:r>
      <w:r>
        <w:rPr>
          <w:rFonts w:ascii="Arial" w:cs="Arial" w:eastAsia="Arial" w:hAnsi="Arial"/>
          <w:sz w:val="17"/>
          <w:szCs w:val="17"/>
          <w:u w:val="single" w:color="auto"/>
          <w:color w:val="auto"/>
        </w:rPr>
        <w:t>Note 8 - Lawsuits, Claims,</w:t>
      </w:r>
      <w:r>
        <w:rPr>
          <w:rFonts w:ascii="Arial" w:cs="Arial" w:eastAsia="Arial" w:hAnsi="Arial"/>
          <w:sz w:val="17"/>
          <w:szCs w:val="17"/>
          <w:color w:val="auto"/>
        </w:rPr>
        <w:t xml:space="preserve"> </w:t>
      </w:r>
      <w:r>
        <w:rPr>
          <w:rFonts w:ascii="Arial" w:cs="Arial" w:eastAsia="Arial" w:hAnsi="Arial"/>
          <w:sz w:val="17"/>
          <w:szCs w:val="17"/>
          <w:u w:val="single" w:color="auto"/>
          <w:color w:val="auto"/>
        </w:rPr>
        <w:t>Commitments and Contingencies</w:t>
      </w:r>
      <w:r>
        <w:rPr>
          <w:rFonts w:ascii="Arial" w:cs="Arial" w:eastAsia="Arial" w:hAnsi="Arial"/>
          <w:sz w:val="17"/>
          <w:szCs w:val="17"/>
          <w:color w:val="auto"/>
        </w:rPr>
        <w:t xml:space="preserve"> for further information.</w:t>
      </w:r>
    </w:p>
    <w:p>
      <w:pPr>
        <w:jc w:val="both"/>
        <w:ind w:firstLine="240"/>
        <w:spacing w:after="0" w:line="246" w:lineRule="auto"/>
        <w:rPr>
          <w:sz w:val="20"/>
          <w:szCs w:val="20"/>
          <w:color w:val="auto"/>
        </w:rPr>
      </w:pPr>
      <w:r>
        <w:rPr>
          <w:rFonts w:ascii="Arial" w:cs="Arial" w:eastAsia="Arial" w:hAnsi="Arial"/>
          <w:sz w:val="17"/>
          <w:szCs w:val="17"/>
          <w:color w:val="auto"/>
        </w:rPr>
        <w:t>Asset impairments and other charges for the three months ended June 30, 2023 included a $180 million impairment of undeveloped acreage in the northern non-core area of the Powder River Basin where Occidental has determined not to pursue future exploration and appraisal activities and a $29 million impairment related to an equity method investment in the Black Butte Coal Company.</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539B"/>
        </w:rPr>
        <w:t>YTD 2023 compared to YTD 2022</w:t>
      </w:r>
    </w:p>
    <w:p>
      <w:pPr>
        <w:spacing w:after="0" w:line="2" w:lineRule="exact"/>
        <w:rPr>
          <w:sz w:val="20"/>
          <w:szCs w:val="20"/>
          <w:color w:val="auto"/>
        </w:rPr>
      </w:pPr>
    </w:p>
    <w:p>
      <w:pPr>
        <w:jc w:val="both"/>
        <w:ind w:firstLine="240"/>
        <w:spacing w:after="0" w:line="251" w:lineRule="auto"/>
        <w:rPr>
          <w:sz w:val="20"/>
          <w:szCs w:val="20"/>
          <w:color w:val="auto"/>
        </w:rPr>
      </w:pPr>
      <w:r>
        <w:rPr>
          <w:rFonts w:ascii="Arial" w:cs="Arial" w:eastAsia="Arial" w:hAnsi="Arial"/>
          <w:sz w:val="17"/>
          <w:szCs w:val="17"/>
          <w:color w:val="auto"/>
        </w:rPr>
        <w:t>Net sales decreased for the six months ended June 30, 2023, compared to the same period in 2022, primarily due to lower worldwide crude oil and domestic NGL and natural gas commodity prices in the oil and gas segment, as well as lower realized PVC prices and sales volumes across most products in the chemical segment, partially offset by higher domestic sales volumes in the oil and gas segment.</w:t>
      </w:r>
    </w:p>
    <w:p>
      <w:pPr>
        <w:jc w:val="both"/>
        <w:ind w:firstLine="240"/>
        <w:spacing w:after="0" w:line="245" w:lineRule="auto"/>
        <w:rPr>
          <w:sz w:val="20"/>
          <w:szCs w:val="20"/>
          <w:color w:val="auto"/>
        </w:rPr>
      </w:pPr>
      <w:r>
        <w:rPr>
          <w:rFonts w:ascii="Arial" w:cs="Arial" w:eastAsia="Arial" w:hAnsi="Arial"/>
          <w:sz w:val="17"/>
          <w:szCs w:val="17"/>
          <w:color w:val="auto"/>
        </w:rPr>
        <w:t>Oil and gas operating expense increased for the six months ended June 30, 2023, compared to the same period in 2022, primarily as a result of higher domestic workover and maintenance activity.</w:t>
      </w:r>
    </w:p>
    <w:p>
      <w:pPr>
        <w:spacing w:after="0" w:line="1" w:lineRule="exact"/>
        <w:rPr>
          <w:sz w:val="20"/>
          <w:szCs w:val="20"/>
          <w:color w:val="auto"/>
        </w:rPr>
      </w:pPr>
    </w:p>
    <w:p>
      <w:pPr>
        <w:jc w:val="both"/>
        <w:ind w:firstLine="240"/>
        <w:spacing w:after="0" w:line="247" w:lineRule="auto"/>
        <w:rPr>
          <w:sz w:val="20"/>
          <w:szCs w:val="20"/>
          <w:color w:val="auto"/>
        </w:rPr>
      </w:pPr>
      <w:r>
        <w:rPr>
          <w:rFonts w:ascii="Arial" w:cs="Arial" w:eastAsia="Arial" w:hAnsi="Arial"/>
          <w:sz w:val="17"/>
          <w:szCs w:val="17"/>
          <w:color w:val="auto"/>
        </w:rPr>
        <w:t>Purchased commodities decreased for the six months ended June 30, 2023, compared to the same period in 2022, due to lower prices on third-party crude purchases related to the midstream and marketing segment.</w:t>
      </w:r>
    </w:p>
    <w:p>
      <w:pPr>
        <w:spacing w:after="0" w:line="1" w:lineRule="exact"/>
        <w:rPr>
          <w:sz w:val="20"/>
          <w:szCs w:val="20"/>
          <w:color w:val="auto"/>
        </w:rPr>
      </w:pPr>
    </w:p>
    <w:p>
      <w:pPr>
        <w:jc w:val="both"/>
        <w:ind w:firstLine="240"/>
        <w:spacing w:after="0" w:line="250" w:lineRule="auto"/>
        <w:rPr>
          <w:sz w:val="20"/>
          <w:szCs w:val="20"/>
          <w:color w:val="auto"/>
        </w:rPr>
      </w:pPr>
      <w:r>
        <w:rPr>
          <w:rFonts w:ascii="Arial" w:cs="Arial" w:eastAsia="Arial" w:hAnsi="Arial"/>
          <w:sz w:val="17"/>
          <w:szCs w:val="17"/>
          <w:color w:val="auto"/>
        </w:rPr>
        <w:t xml:space="preserve">Other operating and non-operating expense decreased for the six months ended June 30, 2023, compared to same period in 2022, due to the $260 million remeasurement of the valuation allowance for the Maxus Liquidating Trust. See </w:t>
      </w:r>
      <w:r>
        <w:rPr>
          <w:rFonts w:ascii="Arial" w:cs="Arial" w:eastAsia="Arial" w:hAnsi="Arial"/>
          <w:sz w:val="17"/>
          <w:szCs w:val="17"/>
          <w:u w:val="single" w:color="auto"/>
          <w:color w:val="auto"/>
        </w:rPr>
        <w:t>Note 8 - Lawsuits, Claims, Commitments and</w:t>
      </w:r>
      <w:r>
        <w:rPr>
          <w:rFonts w:ascii="Arial" w:cs="Arial" w:eastAsia="Arial" w:hAnsi="Arial"/>
          <w:sz w:val="17"/>
          <w:szCs w:val="17"/>
          <w:color w:val="auto"/>
        </w:rPr>
        <w:t xml:space="preserve"> </w:t>
      </w:r>
      <w:r>
        <w:rPr>
          <w:rFonts w:ascii="Arial" w:cs="Arial" w:eastAsia="Arial" w:hAnsi="Arial"/>
          <w:sz w:val="17"/>
          <w:szCs w:val="17"/>
          <w:u w:val="single" w:color="auto"/>
          <w:color w:val="auto"/>
        </w:rPr>
        <w:t>Contingencies</w:t>
      </w:r>
      <w:r>
        <w:rPr>
          <w:rFonts w:ascii="Arial" w:cs="Arial" w:eastAsia="Arial" w:hAnsi="Arial"/>
          <w:sz w:val="17"/>
          <w:szCs w:val="17"/>
          <w:color w:val="auto"/>
        </w:rPr>
        <w:t xml:space="preserve"> for further information.</w:t>
      </w:r>
    </w:p>
    <w:p>
      <w:pPr>
        <w:jc w:val="both"/>
        <w:ind w:firstLine="240"/>
        <w:spacing w:after="0" w:line="246" w:lineRule="auto"/>
        <w:rPr>
          <w:sz w:val="20"/>
          <w:szCs w:val="20"/>
          <w:color w:val="auto"/>
        </w:rPr>
      </w:pPr>
      <w:r>
        <w:rPr>
          <w:rFonts w:ascii="Arial" w:cs="Arial" w:eastAsia="Arial" w:hAnsi="Arial"/>
          <w:sz w:val="17"/>
          <w:szCs w:val="17"/>
          <w:color w:val="auto"/>
        </w:rPr>
        <w:t>Asset impairments and other charges for the six months ended June 30, 2023 included a pre-tax impairment of $180 million related to undeveloped acreage in the northern non-core area of the Powder River Basin and a $29 million impairment related to an equity method investment in the Black Butte Coal Company.</w:t>
      </w:r>
    </w:p>
    <w:p>
      <w:pPr>
        <w:spacing w:after="0" w:line="2" w:lineRule="exact"/>
        <w:rPr>
          <w:sz w:val="20"/>
          <w:szCs w:val="20"/>
          <w:color w:val="auto"/>
        </w:rPr>
      </w:pPr>
    </w:p>
    <w:p>
      <w:pPr>
        <w:jc w:val="both"/>
        <w:ind w:firstLine="240"/>
        <w:spacing w:after="0" w:line="267" w:lineRule="auto"/>
        <w:rPr>
          <w:sz w:val="20"/>
          <w:szCs w:val="20"/>
          <w:color w:val="auto"/>
        </w:rPr>
      </w:pPr>
      <w:r>
        <w:rPr>
          <w:rFonts w:ascii="Arial" w:cs="Arial" w:eastAsia="Arial" w:hAnsi="Arial"/>
          <w:sz w:val="17"/>
          <w:szCs w:val="17"/>
          <w:color w:val="auto"/>
        </w:rPr>
        <w:t>The income tax expense for the six months ended June 30, 2023, compared to a benefit for the same period in 2022, resulted primarily from the tax benefit in 2022 associated with Occidental's legal entity reorganization. See Income Taxes section for further discussion.</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715962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76" w:right="339" w:bottom="1440" w:gutter="0" w:footer="0" w:header="0"/>
        </w:sectPr>
      </w:pPr>
    </w:p>
    <w:bookmarkStart w:id="32" w:name="page33"/>
    <w:bookmarkEnd w:id="32"/>
    <w:p>
      <w:pPr>
        <w:ind w:left="20"/>
        <w:spacing w:after="0"/>
        <w:rPr>
          <w:sz w:val="20"/>
          <w:szCs w:val="20"/>
          <w:color w:val="auto"/>
        </w:rPr>
      </w:pPr>
      <w:r>
        <w:rPr>
          <w:rFonts w:ascii="Arial" w:cs="Arial" w:eastAsia="Arial" w:hAnsi="Arial"/>
          <w:sz w:val="25"/>
          <w:szCs w:val="25"/>
          <w:b w:val="1"/>
          <w:bCs w:val="1"/>
          <w:color w:val="00539B"/>
        </w:rPr>
        <w:t>SEGMENT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-180975</wp:posOffset>
            </wp:positionV>
            <wp:extent cx="713422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4225" cy="17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30480</wp:posOffset>
            </wp:positionV>
            <wp:extent cx="713422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pacing w:after="0" w:line="110" w:lineRule="exact"/>
        <w:rPr>
          <w:sz w:val="20"/>
          <w:szCs w:val="20"/>
          <w:color w:val="auto"/>
        </w:rPr>
      </w:pPr>
    </w:p>
    <w:p>
      <w:pPr>
        <w:spacing w:after="0"/>
        <w:rPr>
          <w:sz w:val="20"/>
          <w:szCs w:val="20"/>
          <w:color w:val="auto"/>
        </w:rPr>
      </w:pPr>
      <w:r>
        <w:rPr>
          <w:rFonts w:ascii="Arial" w:cs="Arial" w:eastAsia="Arial" w:hAnsi="Arial"/>
          <w:sz w:val="20"/>
          <w:szCs w:val="20"/>
          <w:b w:val="1"/>
          <w:bCs w:val="1"/>
          <w:color w:val="00539B"/>
        </w:rPr>
        <w:t>SEGMENT RESULTS OF OPERATIONS</w:t>
      </w:r>
    </w:p>
    <w:p>
      <w:pPr>
        <w:spacing w:after="0" w:line="42" w:lineRule="exact"/>
        <w:rPr>
          <w:sz w:val="20"/>
          <w:szCs w:val="20"/>
          <w:color w:val="auto"/>
        </w:rPr>
      </w:pPr>
    </w:p>
    <w:p>
      <w:pPr>
        <w:jc w:val="both"/>
        <w:ind w:firstLine="240"/>
        <w:spacing w:after="0" w:line="235" w:lineRule="auto"/>
        <w:rPr>
          <w:sz w:val="20"/>
          <w:szCs w:val="20"/>
          <w:color w:val="auto"/>
        </w:rPr>
      </w:pPr>
      <w:r>
        <w:rPr>
          <w:rFonts w:ascii="Arial" w:cs="Arial" w:eastAsia="Arial" w:hAnsi="Arial"/>
          <w:sz w:val="17"/>
          <w:szCs w:val="17"/>
          <w:color w:val="auto"/>
        </w:rPr>
        <w:t>Occidental’s principal businesses consist of three reporting segments: oil and gas, chemical and midstream and marketing. The oil and gas segment explores for, develops and produces oil and condensate, NGL and natural gas. The chemical segment mainly manufactures and markets basic chemicals and vinyls. The midstream and marketing segment purchases, markets, gathers, processes, transports and stores oil (which includes condensate), NGL, natural gas, CO</w:t>
      </w:r>
      <w:r>
        <w:rPr>
          <w:rFonts w:ascii="Arial" w:cs="Arial" w:eastAsia="Arial" w:hAnsi="Arial"/>
          <w:sz w:val="21"/>
          <w:szCs w:val="21"/>
          <w:color w:val="auto"/>
          <w:vertAlign w:val="subscript"/>
        </w:rPr>
        <w:t>2</w:t>
      </w:r>
      <w:r>
        <w:rPr>
          <w:rFonts w:ascii="Arial" w:cs="Arial" w:eastAsia="Arial" w:hAnsi="Arial"/>
          <w:sz w:val="17"/>
          <w:szCs w:val="17"/>
          <w:color w:val="auto"/>
        </w:rPr>
        <w:t xml:space="preserve"> and power. It also optimizes its transportation and storage capacity and invests in entities that conduct similar activities such as WES.</w:t>
      </w:r>
    </w:p>
    <w:p>
      <w:pPr>
        <w:spacing w:after="0" w:line="1" w:lineRule="exact"/>
        <w:rPr>
          <w:sz w:val="20"/>
          <w:szCs w:val="20"/>
          <w:color w:val="auto"/>
        </w:rPr>
      </w:pPr>
    </w:p>
    <w:p>
      <w:pPr>
        <w:jc w:val="both"/>
        <w:ind w:firstLine="240"/>
        <w:spacing w:after="0" w:line="253" w:lineRule="auto"/>
        <w:rPr>
          <w:sz w:val="20"/>
          <w:szCs w:val="20"/>
          <w:color w:val="auto"/>
        </w:rPr>
      </w:pPr>
      <w:r>
        <w:rPr>
          <w:rFonts w:ascii="Arial" w:cs="Arial" w:eastAsia="Arial" w:hAnsi="Arial"/>
          <w:sz w:val="17"/>
          <w:szCs w:val="17"/>
          <w:color w:val="auto"/>
        </w:rPr>
        <w:t>The midstream and marketing segment also includes Occidental's low carbon ventures businesses. Occidental's low carbon ventures businesses seek to leverage Occidental’s legacy of carbon management expertise to develop carbon capture, utilization and storage projects, including the commercialization of direct air capture technology, invest in other low-carbon technologies intended to reduce greenhouse gas emissions from its operations and strategically partner with other industries to help reduce their emissions.</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b w:val="1"/>
          <w:bCs w:val="1"/>
          <w:color w:val="00539B"/>
        </w:rPr>
        <w:t>OIL AND GAS SEGMENT</w:t>
      </w:r>
    </w:p>
    <w:p>
      <w:pPr>
        <w:spacing w:after="0" w:line="42" w:lineRule="exact"/>
        <w:rPr>
          <w:sz w:val="20"/>
          <w:szCs w:val="20"/>
          <w:color w:val="auto"/>
        </w:rPr>
      </w:pPr>
    </w:p>
    <w:p>
      <w:pPr>
        <w:ind w:left="240"/>
        <w:spacing w:after="0"/>
        <w:rPr>
          <w:sz w:val="20"/>
          <w:szCs w:val="20"/>
          <w:color w:val="auto"/>
        </w:rPr>
      </w:pPr>
      <w:r>
        <w:rPr>
          <w:rFonts w:ascii="Arial" w:cs="Arial" w:eastAsia="Arial" w:hAnsi="Arial"/>
          <w:sz w:val="17"/>
          <w:szCs w:val="17"/>
          <w:color w:val="auto"/>
        </w:rPr>
        <w:t>The following table sets forth the average sales volumes per day for oil and NGL in Mbbl and for natural gas in MMcf:</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3140" w:type="dxa"/>
            <w:vAlign w:val="bottom"/>
            <w:tcBorders>
              <w:top w:val="single" w:sz="8" w:color="auto"/>
            </w:tcBorders>
          </w:tcPr>
          <w:p>
            <w:pPr>
              <w:spacing w:after="0"/>
              <w:rPr>
                <w:sz w:val="20"/>
                <w:szCs w:val="20"/>
                <w:color w:val="auto"/>
              </w:rPr>
            </w:pPr>
          </w:p>
        </w:tc>
        <w:tc>
          <w:tcPr>
            <w:tcW w:w="2320" w:type="dxa"/>
            <w:vAlign w:val="bottom"/>
            <w:tcBorders>
              <w:top w:val="single" w:sz="8" w:color="auto"/>
              <w:bottom w:val="single" w:sz="8" w:color="auto"/>
            </w:tcBorders>
          </w:tcPr>
          <w:p>
            <w:pPr>
              <w:spacing w:after="0"/>
              <w:rPr>
                <w:sz w:val="20"/>
                <w:szCs w:val="20"/>
                <w:color w:val="auto"/>
              </w:rPr>
            </w:pPr>
          </w:p>
        </w:tc>
        <w:tc>
          <w:tcPr>
            <w:tcW w:w="2400" w:type="dxa"/>
            <w:vAlign w:val="bottom"/>
            <w:tcBorders>
              <w:top w:val="single" w:sz="8" w:color="auto"/>
              <w:bottom w:val="single" w:sz="8" w:color="auto"/>
            </w:tcBorders>
          </w:tcPr>
          <w:p>
            <w:pPr>
              <w:jc w:val="right"/>
              <w:ind w:right="436"/>
              <w:spacing w:after="0"/>
              <w:rPr>
                <w:sz w:val="20"/>
                <w:szCs w:val="20"/>
                <w:color w:val="auto"/>
              </w:rPr>
            </w:pPr>
            <w:r>
              <w:rPr>
                <w:rFonts w:ascii="Arial" w:cs="Arial" w:eastAsia="Arial" w:hAnsi="Arial"/>
                <w:sz w:val="17"/>
                <w:szCs w:val="17"/>
                <w:b w:val="1"/>
                <w:bCs w:val="1"/>
                <w:color w:val="auto"/>
              </w:rPr>
              <w:t>Three months ended</w:t>
            </w:r>
          </w:p>
        </w:tc>
        <w:tc>
          <w:tcPr>
            <w:tcW w:w="1760" w:type="dxa"/>
            <w:vAlign w:val="bottom"/>
            <w:tcBorders>
              <w:top w:val="single" w:sz="8" w:color="auto"/>
              <w:bottom w:val="single" w:sz="8" w:color="auto"/>
            </w:tcBorders>
          </w:tcPr>
          <w:p>
            <w:pPr>
              <w:spacing w:after="0"/>
              <w:rPr>
                <w:sz w:val="20"/>
                <w:szCs w:val="20"/>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Six months ended</w:t>
            </w:r>
          </w:p>
        </w:tc>
        <w:tc>
          <w:tcPr>
            <w:tcW w:w="0" w:type="dxa"/>
            <w:vAlign w:val="bottom"/>
          </w:tcPr>
          <w:p>
            <w:pPr>
              <w:spacing w:after="0"/>
              <w:rPr>
                <w:sz w:val="1"/>
                <w:szCs w:val="1"/>
                <w:color w:val="auto"/>
              </w:rPr>
            </w:pPr>
          </w:p>
        </w:tc>
      </w:tr>
      <w:tr>
        <w:trPr>
          <w:trHeight w:val="207"/>
        </w:trPr>
        <w:tc>
          <w:tcPr>
            <w:tcW w:w="3140" w:type="dxa"/>
            <w:vAlign w:val="bottom"/>
            <w:tcBorders>
              <w:bottom w:val="single" w:sz="8" w:color="auto"/>
            </w:tcBorders>
          </w:tcPr>
          <w:p>
            <w:pPr>
              <w:spacing w:after="0"/>
              <w:rPr>
                <w:sz w:val="17"/>
                <w:szCs w:val="17"/>
                <w:color w:val="auto"/>
              </w:rPr>
            </w:pPr>
          </w:p>
        </w:tc>
        <w:tc>
          <w:tcPr>
            <w:tcW w:w="2320" w:type="dxa"/>
            <w:vAlign w:val="bottom"/>
            <w:tcBorders>
              <w:bottom w:val="single" w:sz="8" w:color="auto"/>
            </w:tcBorders>
          </w:tcPr>
          <w:p>
            <w:pPr>
              <w:jc w:val="right"/>
              <w:ind w:right="136"/>
              <w:spacing w:after="0"/>
              <w:rPr>
                <w:sz w:val="20"/>
                <w:szCs w:val="20"/>
                <w:color w:val="auto"/>
              </w:rPr>
            </w:pPr>
            <w:r>
              <w:rPr>
                <w:rFonts w:ascii="Arial" w:cs="Arial" w:eastAsia="Arial" w:hAnsi="Arial"/>
                <w:sz w:val="17"/>
                <w:szCs w:val="17"/>
                <w:b w:val="1"/>
                <w:bCs w:val="1"/>
                <w:color w:val="00539B"/>
              </w:rPr>
              <w:t>June 30, 2023</w:t>
            </w:r>
          </w:p>
        </w:tc>
        <w:tc>
          <w:tcPr>
            <w:tcW w:w="2400" w:type="dxa"/>
            <w:vAlign w:val="bottom"/>
            <w:tcBorders>
              <w:bottom w:val="single" w:sz="8" w:color="auto"/>
            </w:tcBorders>
          </w:tcPr>
          <w:p>
            <w:pPr>
              <w:jc w:val="right"/>
              <w:ind w:right="436"/>
              <w:spacing w:after="0"/>
              <w:rPr>
                <w:sz w:val="20"/>
                <w:szCs w:val="20"/>
                <w:color w:val="auto"/>
              </w:rPr>
            </w:pPr>
            <w:r>
              <w:rPr>
                <w:rFonts w:ascii="Arial" w:cs="Arial" w:eastAsia="Arial" w:hAnsi="Arial"/>
                <w:sz w:val="17"/>
                <w:szCs w:val="17"/>
                <w:color w:val="auto"/>
              </w:rPr>
              <w:t>March 31, 2023</w:t>
            </w:r>
          </w:p>
        </w:tc>
        <w:tc>
          <w:tcPr>
            <w:tcW w:w="1760" w:type="dxa"/>
            <w:vAlign w:val="bottom"/>
            <w:tcBorders>
              <w:bottom w:val="single" w:sz="8" w:color="auto"/>
            </w:tcBorders>
          </w:tcPr>
          <w:p>
            <w:pPr>
              <w:jc w:val="right"/>
              <w:ind w:right="76"/>
              <w:spacing w:after="0"/>
              <w:rPr>
                <w:sz w:val="20"/>
                <w:szCs w:val="20"/>
                <w:color w:val="auto"/>
              </w:rPr>
            </w:pPr>
            <w:r>
              <w:rPr>
                <w:rFonts w:ascii="Arial" w:cs="Arial" w:eastAsia="Arial" w:hAnsi="Arial"/>
                <w:sz w:val="17"/>
                <w:szCs w:val="17"/>
                <w:b w:val="1"/>
                <w:bCs w:val="1"/>
                <w:color w:val="00539B"/>
              </w:rPr>
              <w:t>June 30, 2023</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June 30, 2022</w:t>
            </w:r>
          </w:p>
        </w:tc>
        <w:tc>
          <w:tcPr>
            <w:tcW w:w="0" w:type="dxa"/>
            <w:vAlign w:val="bottom"/>
          </w:tcPr>
          <w:p>
            <w:pPr>
              <w:spacing w:after="0"/>
              <w:rPr>
                <w:sz w:val="1"/>
                <w:szCs w:val="1"/>
                <w:color w:val="auto"/>
              </w:rPr>
            </w:pPr>
          </w:p>
        </w:tc>
      </w:tr>
      <w:tr>
        <w:trPr>
          <w:trHeight w:val="207"/>
        </w:trPr>
        <w:tc>
          <w:tcPr>
            <w:tcW w:w="3140" w:type="dxa"/>
            <w:vAlign w:val="bottom"/>
          </w:tcPr>
          <w:p>
            <w:pPr>
              <w:ind w:left="20"/>
              <w:spacing w:after="0"/>
              <w:rPr>
                <w:sz w:val="20"/>
                <w:szCs w:val="20"/>
                <w:color w:val="auto"/>
              </w:rPr>
            </w:pPr>
            <w:r>
              <w:rPr>
                <w:rFonts w:ascii="Arial" w:cs="Arial" w:eastAsia="Arial" w:hAnsi="Arial"/>
                <w:sz w:val="17"/>
                <w:szCs w:val="17"/>
                <w:b w:val="1"/>
                <w:bCs w:val="1"/>
                <w:color w:val="auto"/>
              </w:rPr>
              <w:t>Sales Volumes per Day</w:t>
            </w:r>
          </w:p>
        </w:tc>
        <w:tc>
          <w:tcPr>
            <w:tcW w:w="23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3140" w:type="dxa"/>
            <w:vAlign w:val="bottom"/>
          </w:tcPr>
          <w:p>
            <w:pPr>
              <w:ind w:left="20"/>
              <w:spacing w:after="0"/>
              <w:rPr>
                <w:sz w:val="20"/>
                <w:szCs w:val="20"/>
                <w:color w:val="auto"/>
              </w:rPr>
            </w:pPr>
            <w:r>
              <w:rPr>
                <w:rFonts w:ascii="Arial" w:cs="Arial" w:eastAsia="Arial" w:hAnsi="Arial"/>
                <w:sz w:val="17"/>
                <w:szCs w:val="17"/>
                <w:b w:val="1"/>
                <w:bCs w:val="1"/>
                <w:color w:val="auto"/>
              </w:rPr>
              <w:t>Oil (Mbbl)</w:t>
            </w:r>
          </w:p>
        </w:tc>
        <w:tc>
          <w:tcPr>
            <w:tcW w:w="2320" w:type="dxa"/>
            <w:vAlign w:val="bottom"/>
            <w:vMerge w:val="restart"/>
          </w:tcPr>
          <w:p>
            <w:pPr>
              <w:jc w:val="right"/>
              <w:ind w:right="196"/>
              <w:spacing w:after="0"/>
              <w:rPr>
                <w:sz w:val="20"/>
                <w:szCs w:val="20"/>
                <w:color w:val="auto"/>
              </w:rPr>
            </w:pPr>
            <w:r>
              <w:rPr>
                <w:rFonts w:ascii="Arial" w:cs="Arial" w:eastAsia="Arial" w:hAnsi="Arial"/>
                <w:sz w:val="17"/>
                <w:szCs w:val="17"/>
                <w:b w:val="1"/>
                <w:bCs w:val="1"/>
                <w:color w:val="00539B"/>
              </w:rPr>
              <w:t>521</w:t>
            </w:r>
          </w:p>
        </w:tc>
        <w:tc>
          <w:tcPr>
            <w:tcW w:w="2400" w:type="dxa"/>
            <w:vAlign w:val="bottom"/>
          </w:tcPr>
          <w:p>
            <w:pPr>
              <w:spacing w:after="0"/>
              <w:rPr>
                <w:sz w:val="20"/>
                <w:szCs w:val="20"/>
                <w:color w:val="auto"/>
              </w:rPr>
            </w:pPr>
          </w:p>
        </w:tc>
        <w:tc>
          <w:tcPr>
            <w:tcW w:w="1760" w:type="dxa"/>
            <w:vAlign w:val="bottom"/>
            <w:vMerge w:val="restart"/>
          </w:tcPr>
          <w:p>
            <w:pPr>
              <w:jc w:val="right"/>
              <w:ind w:right="136"/>
              <w:spacing w:after="0"/>
              <w:rPr>
                <w:sz w:val="20"/>
                <w:szCs w:val="20"/>
                <w:color w:val="auto"/>
              </w:rPr>
            </w:pPr>
            <w:r>
              <w:rPr>
                <w:rFonts w:ascii="Arial" w:cs="Arial" w:eastAsia="Arial" w:hAnsi="Arial"/>
                <w:sz w:val="17"/>
                <w:szCs w:val="17"/>
                <w:b w:val="1"/>
                <w:bCs w:val="1"/>
                <w:color w:val="00539B"/>
              </w:rPr>
              <w:t>535</w:t>
            </w: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3140" w:type="dxa"/>
            <w:vAlign w:val="bottom"/>
          </w:tcPr>
          <w:p>
            <w:pPr>
              <w:ind w:left="340"/>
              <w:spacing w:after="0"/>
              <w:rPr>
                <w:sz w:val="20"/>
                <w:szCs w:val="20"/>
                <w:color w:val="auto"/>
              </w:rPr>
            </w:pPr>
            <w:r>
              <w:rPr>
                <w:rFonts w:ascii="Arial" w:cs="Arial" w:eastAsia="Arial" w:hAnsi="Arial"/>
                <w:sz w:val="17"/>
                <w:szCs w:val="17"/>
                <w:color w:val="auto"/>
              </w:rPr>
              <w:t>United States</w:t>
            </w:r>
          </w:p>
        </w:tc>
        <w:tc>
          <w:tcPr>
            <w:tcW w:w="2320" w:type="dxa"/>
            <w:vAlign w:val="bottom"/>
            <w:vMerge w:val="continue"/>
          </w:tcPr>
          <w:p>
            <w:pPr>
              <w:spacing w:after="0"/>
              <w:rPr>
                <w:sz w:val="17"/>
                <w:szCs w:val="17"/>
                <w:color w:val="auto"/>
              </w:rPr>
            </w:pPr>
          </w:p>
        </w:tc>
        <w:tc>
          <w:tcPr>
            <w:tcW w:w="2400" w:type="dxa"/>
            <w:vAlign w:val="bottom"/>
          </w:tcPr>
          <w:p>
            <w:pPr>
              <w:jc w:val="right"/>
              <w:ind w:right="476"/>
              <w:spacing w:after="0"/>
              <w:rPr>
                <w:sz w:val="20"/>
                <w:szCs w:val="20"/>
                <w:color w:val="auto"/>
              </w:rPr>
            </w:pPr>
            <w:r>
              <w:rPr>
                <w:rFonts w:ascii="Arial" w:cs="Arial" w:eastAsia="Arial" w:hAnsi="Arial"/>
                <w:sz w:val="17"/>
                <w:szCs w:val="17"/>
                <w:color w:val="auto"/>
              </w:rPr>
              <w:t>551</w:t>
            </w:r>
          </w:p>
        </w:tc>
        <w:tc>
          <w:tcPr>
            <w:tcW w:w="1760" w:type="dxa"/>
            <w:vAlign w:val="bottom"/>
            <w:vMerge w:val="continue"/>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489</w:t>
            </w:r>
          </w:p>
        </w:tc>
        <w:tc>
          <w:tcPr>
            <w:tcW w:w="0" w:type="dxa"/>
            <w:vAlign w:val="bottom"/>
          </w:tcPr>
          <w:p>
            <w:pPr>
              <w:spacing w:after="0"/>
              <w:rPr>
                <w:sz w:val="1"/>
                <w:szCs w:val="1"/>
                <w:color w:val="auto"/>
              </w:rPr>
            </w:pPr>
          </w:p>
        </w:tc>
      </w:tr>
      <w:tr>
        <w:trPr>
          <w:trHeight w:val="227"/>
        </w:trPr>
        <w:tc>
          <w:tcPr>
            <w:tcW w:w="3140" w:type="dxa"/>
            <w:vAlign w:val="bottom"/>
          </w:tcPr>
          <w:p>
            <w:pPr>
              <w:ind w:left="340"/>
              <w:spacing w:after="0"/>
              <w:rPr>
                <w:sz w:val="20"/>
                <w:szCs w:val="20"/>
                <w:color w:val="auto"/>
              </w:rPr>
            </w:pPr>
            <w:r>
              <w:rPr>
                <w:rFonts w:ascii="Arial" w:cs="Arial" w:eastAsia="Arial" w:hAnsi="Arial"/>
                <w:sz w:val="17"/>
                <w:szCs w:val="17"/>
                <w:color w:val="auto"/>
              </w:rPr>
              <w:t>International</w:t>
            </w:r>
          </w:p>
        </w:tc>
        <w:tc>
          <w:tcPr>
            <w:tcW w:w="2320" w:type="dxa"/>
            <w:vAlign w:val="bottom"/>
          </w:tcPr>
          <w:p>
            <w:pPr>
              <w:jc w:val="right"/>
              <w:ind w:right="196"/>
              <w:spacing w:after="0"/>
              <w:rPr>
                <w:sz w:val="20"/>
                <w:szCs w:val="20"/>
                <w:color w:val="auto"/>
              </w:rPr>
            </w:pPr>
            <w:r>
              <w:rPr>
                <w:rFonts w:ascii="Arial" w:cs="Arial" w:eastAsia="Arial" w:hAnsi="Arial"/>
                <w:sz w:val="17"/>
                <w:szCs w:val="17"/>
                <w:b w:val="1"/>
                <w:bCs w:val="1"/>
                <w:color w:val="00539B"/>
              </w:rPr>
              <w:t>112</w:t>
            </w:r>
          </w:p>
        </w:tc>
        <w:tc>
          <w:tcPr>
            <w:tcW w:w="2400" w:type="dxa"/>
            <w:vAlign w:val="bottom"/>
          </w:tcPr>
          <w:p>
            <w:pPr>
              <w:jc w:val="right"/>
              <w:ind w:right="476"/>
              <w:spacing w:after="0"/>
              <w:rPr>
                <w:sz w:val="20"/>
                <w:szCs w:val="20"/>
                <w:color w:val="auto"/>
              </w:rPr>
            </w:pPr>
            <w:r>
              <w:rPr>
                <w:rFonts w:ascii="Arial" w:cs="Arial" w:eastAsia="Arial" w:hAnsi="Arial"/>
                <w:sz w:val="17"/>
                <w:szCs w:val="17"/>
                <w:color w:val="auto"/>
              </w:rPr>
              <w:t>103</w:t>
            </w:r>
          </w:p>
        </w:tc>
        <w:tc>
          <w:tcPr>
            <w:tcW w:w="1760" w:type="dxa"/>
            <w:vAlign w:val="bottom"/>
          </w:tcPr>
          <w:p>
            <w:pPr>
              <w:jc w:val="right"/>
              <w:ind w:right="136"/>
              <w:spacing w:after="0"/>
              <w:rPr>
                <w:sz w:val="20"/>
                <w:szCs w:val="20"/>
                <w:color w:val="auto"/>
              </w:rPr>
            </w:pPr>
            <w:r>
              <w:rPr>
                <w:rFonts w:ascii="Arial" w:cs="Arial" w:eastAsia="Arial" w:hAnsi="Arial"/>
                <w:sz w:val="17"/>
                <w:szCs w:val="17"/>
                <w:b w:val="1"/>
                <w:bCs w:val="1"/>
                <w:color w:val="00539B"/>
              </w:rPr>
              <w:t>108</w:t>
            </w:r>
          </w:p>
        </w:tc>
        <w:tc>
          <w:tcPr>
            <w:tcW w:w="1620" w:type="dxa"/>
            <w:vAlign w:val="bottom"/>
          </w:tcPr>
          <w:p>
            <w:pPr>
              <w:jc w:val="right"/>
              <w:spacing w:after="0"/>
              <w:rPr>
                <w:sz w:val="20"/>
                <w:szCs w:val="20"/>
                <w:color w:val="auto"/>
              </w:rPr>
            </w:pPr>
            <w:r>
              <w:rPr>
                <w:rFonts w:ascii="Arial" w:cs="Arial" w:eastAsia="Arial" w:hAnsi="Arial"/>
                <w:sz w:val="17"/>
                <w:szCs w:val="17"/>
                <w:color w:val="auto"/>
              </w:rPr>
              <w:t>109</w:t>
            </w:r>
          </w:p>
        </w:tc>
        <w:tc>
          <w:tcPr>
            <w:tcW w:w="0" w:type="dxa"/>
            <w:vAlign w:val="bottom"/>
          </w:tcPr>
          <w:p>
            <w:pPr>
              <w:spacing w:after="0"/>
              <w:rPr>
                <w:sz w:val="1"/>
                <w:szCs w:val="1"/>
                <w:color w:val="auto"/>
              </w:rPr>
            </w:pPr>
          </w:p>
        </w:tc>
      </w:tr>
      <w:tr>
        <w:trPr>
          <w:trHeight w:val="235"/>
        </w:trPr>
        <w:tc>
          <w:tcPr>
            <w:tcW w:w="3140" w:type="dxa"/>
            <w:vAlign w:val="bottom"/>
          </w:tcPr>
          <w:p>
            <w:pPr>
              <w:ind w:left="20"/>
              <w:spacing w:after="0"/>
              <w:rPr>
                <w:sz w:val="20"/>
                <w:szCs w:val="20"/>
                <w:color w:val="auto"/>
              </w:rPr>
            </w:pPr>
            <w:r>
              <w:rPr>
                <w:rFonts w:ascii="Arial" w:cs="Arial" w:eastAsia="Arial" w:hAnsi="Arial"/>
                <w:sz w:val="17"/>
                <w:szCs w:val="17"/>
                <w:b w:val="1"/>
                <w:bCs w:val="1"/>
                <w:color w:val="auto"/>
              </w:rPr>
              <w:t>NGL (Mbbl)</w:t>
            </w:r>
          </w:p>
        </w:tc>
        <w:tc>
          <w:tcPr>
            <w:tcW w:w="2320" w:type="dxa"/>
            <w:vAlign w:val="bottom"/>
            <w:vMerge w:val="restart"/>
          </w:tcPr>
          <w:p>
            <w:pPr>
              <w:jc w:val="right"/>
              <w:ind w:right="196"/>
              <w:spacing w:after="0"/>
              <w:rPr>
                <w:sz w:val="20"/>
                <w:szCs w:val="20"/>
                <w:color w:val="auto"/>
              </w:rPr>
            </w:pPr>
            <w:r>
              <w:rPr>
                <w:rFonts w:ascii="Arial" w:cs="Arial" w:eastAsia="Arial" w:hAnsi="Arial"/>
                <w:sz w:val="17"/>
                <w:szCs w:val="17"/>
                <w:b w:val="1"/>
                <w:bCs w:val="1"/>
                <w:color w:val="00539B"/>
              </w:rPr>
              <w:t>251</w:t>
            </w:r>
          </w:p>
        </w:tc>
        <w:tc>
          <w:tcPr>
            <w:tcW w:w="2400" w:type="dxa"/>
            <w:vAlign w:val="bottom"/>
          </w:tcPr>
          <w:p>
            <w:pPr>
              <w:spacing w:after="0"/>
              <w:rPr>
                <w:sz w:val="20"/>
                <w:szCs w:val="20"/>
                <w:color w:val="auto"/>
              </w:rPr>
            </w:pPr>
          </w:p>
        </w:tc>
        <w:tc>
          <w:tcPr>
            <w:tcW w:w="1760" w:type="dxa"/>
            <w:vAlign w:val="bottom"/>
            <w:vMerge w:val="restart"/>
          </w:tcPr>
          <w:p>
            <w:pPr>
              <w:jc w:val="right"/>
              <w:ind w:right="136"/>
              <w:spacing w:after="0"/>
              <w:rPr>
                <w:sz w:val="20"/>
                <w:szCs w:val="20"/>
                <w:color w:val="auto"/>
              </w:rPr>
            </w:pPr>
            <w:r>
              <w:rPr>
                <w:rFonts w:ascii="Arial" w:cs="Arial" w:eastAsia="Arial" w:hAnsi="Arial"/>
                <w:sz w:val="17"/>
                <w:szCs w:val="17"/>
                <w:b w:val="1"/>
                <w:bCs w:val="1"/>
                <w:color w:val="00539B"/>
              </w:rPr>
              <w:t>247</w:t>
            </w: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3140" w:type="dxa"/>
            <w:vAlign w:val="bottom"/>
          </w:tcPr>
          <w:p>
            <w:pPr>
              <w:ind w:left="340"/>
              <w:spacing w:after="0"/>
              <w:rPr>
                <w:sz w:val="20"/>
                <w:szCs w:val="20"/>
                <w:color w:val="auto"/>
              </w:rPr>
            </w:pPr>
            <w:r>
              <w:rPr>
                <w:rFonts w:ascii="Arial" w:cs="Arial" w:eastAsia="Arial" w:hAnsi="Arial"/>
                <w:sz w:val="17"/>
                <w:szCs w:val="17"/>
                <w:color w:val="auto"/>
              </w:rPr>
              <w:t>United States</w:t>
            </w:r>
          </w:p>
        </w:tc>
        <w:tc>
          <w:tcPr>
            <w:tcW w:w="2320" w:type="dxa"/>
            <w:vAlign w:val="bottom"/>
            <w:vMerge w:val="continue"/>
          </w:tcPr>
          <w:p>
            <w:pPr>
              <w:spacing w:after="0"/>
              <w:rPr>
                <w:sz w:val="17"/>
                <w:szCs w:val="17"/>
                <w:color w:val="auto"/>
              </w:rPr>
            </w:pPr>
          </w:p>
        </w:tc>
        <w:tc>
          <w:tcPr>
            <w:tcW w:w="2400" w:type="dxa"/>
            <w:vAlign w:val="bottom"/>
          </w:tcPr>
          <w:p>
            <w:pPr>
              <w:jc w:val="right"/>
              <w:ind w:right="476"/>
              <w:spacing w:after="0"/>
              <w:rPr>
                <w:sz w:val="20"/>
                <w:szCs w:val="20"/>
                <w:color w:val="auto"/>
              </w:rPr>
            </w:pPr>
            <w:r>
              <w:rPr>
                <w:rFonts w:ascii="Arial" w:cs="Arial" w:eastAsia="Arial" w:hAnsi="Arial"/>
                <w:sz w:val="17"/>
                <w:szCs w:val="17"/>
                <w:color w:val="auto"/>
              </w:rPr>
              <w:t>243</w:t>
            </w:r>
          </w:p>
        </w:tc>
        <w:tc>
          <w:tcPr>
            <w:tcW w:w="1760" w:type="dxa"/>
            <w:vAlign w:val="bottom"/>
            <w:vMerge w:val="continue"/>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217</w:t>
            </w:r>
          </w:p>
        </w:tc>
        <w:tc>
          <w:tcPr>
            <w:tcW w:w="0" w:type="dxa"/>
            <w:vAlign w:val="bottom"/>
          </w:tcPr>
          <w:p>
            <w:pPr>
              <w:spacing w:after="0"/>
              <w:rPr>
                <w:sz w:val="1"/>
                <w:szCs w:val="1"/>
                <w:color w:val="auto"/>
              </w:rPr>
            </w:pPr>
          </w:p>
        </w:tc>
      </w:tr>
      <w:tr>
        <w:trPr>
          <w:trHeight w:val="227"/>
        </w:trPr>
        <w:tc>
          <w:tcPr>
            <w:tcW w:w="3140" w:type="dxa"/>
            <w:vAlign w:val="bottom"/>
          </w:tcPr>
          <w:p>
            <w:pPr>
              <w:ind w:left="340"/>
              <w:spacing w:after="0"/>
              <w:rPr>
                <w:sz w:val="20"/>
                <w:szCs w:val="20"/>
                <w:color w:val="auto"/>
              </w:rPr>
            </w:pPr>
            <w:r>
              <w:rPr>
                <w:rFonts w:ascii="Arial" w:cs="Arial" w:eastAsia="Arial" w:hAnsi="Arial"/>
                <w:sz w:val="17"/>
                <w:szCs w:val="17"/>
                <w:color w:val="auto"/>
              </w:rPr>
              <w:t>International</w:t>
            </w:r>
          </w:p>
        </w:tc>
        <w:tc>
          <w:tcPr>
            <w:tcW w:w="2320" w:type="dxa"/>
            <w:vAlign w:val="bottom"/>
          </w:tcPr>
          <w:p>
            <w:pPr>
              <w:jc w:val="right"/>
              <w:ind w:right="196"/>
              <w:spacing w:after="0"/>
              <w:rPr>
                <w:sz w:val="20"/>
                <w:szCs w:val="20"/>
                <w:color w:val="auto"/>
              </w:rPr>
            </w:pPr>
            <w:r>
              <w:rPr>
                <w:rFonts w:ascii="Arial" w:cs="Arial" w:eastAsia="Arial" w:hAnsi="Arial"/>
                <w:sz w:val="17"/>
                <w:szCs w:val="17"/>
                <w:b w:val="1"/>
                <w:bCs w:val="1"/>
                <w:color w:val="00539B"/>
              </w:rPr>
              <w:t>35</w:t>
            </w:r>
          </w:p>
        </w:tc>
        <w:tc>
          <w:tcPr>
            <w:tcW w:w="2400" w:type="dxa"/>
            <w:vAlign w:val="bottom"/>
          </w:tcPr>
          <w:p>
            <w:pPr>
              <w:jc w:val="right"/>
              <w:ind w:right="476"/>
              <w:spacing w:after="0"/>
              <w:rPr>
                <w:sz w:val="20"/>
                <w:szCs w:val="20"/>
                <w:color w:val="auto"/>
              </w:rPr>
            </w:pPr>
            <w:r>
              <w:rPr>
                <w:rFonts w:ascii="Arial" w:cs="Arial" w:eastAsia="Arial" w:hAnsi="Arial"/>
                <w:sz w:val="17"/>
                <w:szCs w:val="17"/>
                <w:color w:val="auto"/>
              </w:rPr>
              <w:t>28</w:t>
            </w:r>
          </w:p>
        </w:tc>
        <w:tc>
          <w:tcPr>
            <w:tcW w:w="1760" w:type="dxa"/>
            <w:vAlign w:val="bottom"/>
          </w:tcPr>
          <w:p>
            <w:pPr>
              <w:jc w:val="right"/>
              <w:ind w:right="136"/>
              <w:spacing w:after="0"/>
              <w:rPr>
                <w:sz w:val="20"/>
                <w:szCs w:val="20"/>
                <w:color w:val="auto"/>
              </w:rPr>
            </w:pPr>
            <w:r>
              <w:rPr>
                <w:rFonts w:ascii="Arial" w:cs="Arial" w:eastAsia="Arial" w:hAnsi="Arial"/>
                <w:sz w:val="17"/>
                <w:szCs w:val="17"/>
                <w:b w:val="1"/>
                <w:bCs w:val="1"/>
                <w:color w:val="00539B"/>
              </w:rPr>
              <w:t>32</w:t>
            </w:r>
          </w:p>
        </w:tc>
        <w:tc>
          <w:tcPr>
            <w:tcW w:w="1620" w:type="dxa"/>
            <w:vAlign w:val="bottom"/>
          </w:tcPr>
          <w:p>
            <w:pPr>
              <w:jc w:val="right"/>
              <w:spacing w:after="0"/>
              <w:rPr>
                <w:sz w:val="20"/>
                <w:szCs w:val="20"/>
                <w:color w:val="auto"/>
              </w:rPr>
            </w:pPr>
            <w:r>
              <w:rPr>
                <w:rFonts w:ascii="Arial" w:cs="Arial" w:eastAsia="Arial" w:hAnsi="Arial"/>
                <w:sz w:val="17"/>
                <w:szCs w:val="17"/>
                <w:color w:val="auto"/>
              </w:rPr>
              <w:t>29</w:t>
            </w:r>
          </w:p>
        </w:tc>
        <w:tc>
          <w:tcPr>
            <w:tcW w:w="0" w:type="dxa"/>
            <w:vAlign w:val="bottom"/>
          </w:tcPr>
          <w:p>
            <w:pPr>
              <w:spacing w:after="0"/>
              <w:rPr>
                <w:sz w:val="1"/>
                <w:szCs w:val="1"/>
                <w:color w:val="auto"/>
              </w:rPr>
            </w:pPr>
          </w:p>
        </w:tc>
      </w:tr>
      <w:tr>
        <w:trPr>
          <w:trHeight w:val="235"/>
        </w:trPr>
        <w:tc>
          <w:tcPr>
            <w:tcW w:w="3140" w:type="dxa"/>
            <w:vAlign w:val="bottom"/>
          </w:tcPr>
          <w:p>
            <w:pPr>
              <w:ind w:left="20"/>
              <w:spacing w:after="0"/>
              <w:rPr>
                <w:sz w:val="20"/>
                <w:szCs w:val="20"/>
                <w:color w:val="auto"/>
              </w:rPr>
            </w:pPr>
            <w:r>
              <w:rPr>
                <w:rFonts w:ascii="Arial" w:cs="Arial" w:eastAsia="Arial" w:hAnsi="Arial"/>
                <w:sz w:val="17"/>
                <w:szCs w:val="17"/>
                <w:b w:val="1"/>
                <w:bCs w:val="1"/>
                <w:color w:val="auto"/>
              </w:rPr>
              <w:t>Natural Gas (MMcf)</w:t>
            </w:r>
          </w:p>
        </w:tc>
        <w:tc>
          <w:tcPr>
            <w:tcW w:w="2320" w:type="dxa"/>
            <w:vAlign w:val="bottom"/>
            <w:vMerge w:val="restart"/>
          </w:tcPr>
          <w:p>
            <w:pPr>
              <w:jc w:val="right"/>
              <w:ind w:right="196"/>
              <w:spacing w:after="0"/>
              <w:rPr>
                <w:sz w:val="20"/>
                <w:szCs w:val="20"/>
                <w:color w:val="auto"/>
              </w:rPr>
            </w:pPr>
            <w:r>
              <w:rPr>
                <w:rFonts w:ascii="Arial" w:cs="Arial" w:eastAsia="Arial" w:hAnsi="Arial"/>
                <w:sz w:val="17"/>
                <w:szCs w:val="17"/>
                <w:b w:val="1"/>
                <w:bCs w:val="1"/>
                <w:color w:val="00539B"/>
              </w:rPr>
              <w:t>1,310</w:t>
            </w:r>
          </w:p>
        </w:tc>
        <w:tc>
          <w:tcPr>
            <w:tcW w:w="2400" w:type="dxa"/>
            <w:vAlign w:val="bottom"/>
          </w:tcPr>
          <w:p>
            <w:pPr>
              <w:spacing w:after="0"/>
              <w:rPr>
                <w:sz w:val="20"/>
                <w:szCs w:val="20"/>
                <w:color w:val="auto"/>
              </w:rPr>
            </w:pPr>
          </w:p>
        </w:tc>
        <w:tc>
          <w:tcPr>
            <w:tcW w:w="1760" w:type="dxa"/>
            <w:vAlign w:val="bottom"/>
            <w:vMerge w:val="restart"/>
          </w:tcPr>
          <w:p>
            <w:pPr>
              <w:jc w:val="right"/>
              <w:ind w:right="136"/>
              <w:spacing w:after="0"/>
              <w:rPr>
                <w:sz w:val="20"/>
                <w:szCs w:val="20"/>
                <w:color w:val="auto"/>
              </w:rPr>
            </w:pPr>
            <w:r>
              <w:rPr>
                <w:rFonts w:ascii="Arial" w:cs="Arial" w:eastAsia="Arial" w:hAnsi="Arial"/>
                <w:sz w:val="17"/>
                <w:szCs w:val="17"/>
                <w:b w:val="1"/>
                <w:bCs w:val="1"/>
                <w:color w:val="00539B"/>
              </w:rPr>
              <w:t>1,317</w:t>
            </w: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3140" w:type="dxa"/>
            <w:vAlign w:val="bottom"/>
          </w:tcPr>
          <w:p>
            <w:pPr>
              <w:ind w:left="340"/>
              <w:spacing w:after="0"/>
              <w:rPr>
                <w:sz w:val="20"/>
                <w:szCs w:val="20"/>
                <w:color w:val="auto"/>
              </w:rPr>
            </w:pPr>
            <w:r>
              <w:rPr>
                <w:rFonts w:ascii="Arial" w:cs="Arial" w:eastAsia="Arial" w:hAnsi="Arial"/>
                <w:sz w:val="17"/>
                <w:szCs w:val="17"/>
                <w:color w:val="auto"/>
              </w:rPr>
              <w:t>United States</w:t>
            </w:r>
          </w:p>
        </w:tc>
        <w:tc>
          <w:tcPr>
            <w:tcW w:w="2320" w:type="dxa"/>
            <w:vAlign w:val="bottom"/>
            <w:vMerge w:val="continue"/>
          </w:tcPr>
          <w:p>
            <w:pPr>
              <w:spacing w:after="0"/>
              <w:rPr>
                <w:sz w:val="17"/>
                <w:szCs w:val="17"/>
                <w:color w:val="auto"/>
              </w:rPr>
            </w:pPr>
          </w:p>
        </w:tc>
        <w:tc>
          <w:tcPr>
            <w:tcW w:w="2400" w:type="dxa"/>
            <w:vAlign w:val="bottom"/>
          </w:tcPr>
          <w:p>
            <w:pPr>
              <w:jc w:val="right"/>
              <w:ind w:right="476"/>
              <w:spacing w:after="0"/>
              <w:rPr>
                <w:sz w:val="20"/>
                <w:szCs w:val="20"/>
                <w:color w:val="auto"/>
              </w:rPr>
            </w:pPr>
            <w:r>
              <w:rPr>
                <w:rFonts w:ascii="Arial" w:cs="Arial" w:eastAsia="Arial" w:hAnsi="Arial"/>
                <w:sz w:val="17"/>
                <w:szCs w:val="17"/>
                <w:color w:val="auto"/>
              </w:rPr>
              <w:t>1,319</w:t>
            </w:r>
          </w:p>
        </w:tc>
        <w:tc>
          <w:tcPr>
            <w:tcW w:w="1760" w:type="dxa"/>
            <w:vAlign w:val="bottom"/>
            <w:vMerge w:val="continue"/>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1,204</w:t>
            </w:r>
          </w:p>
        </w:tc>
        <w:tc>
          <w:tcPr>
            <w:tcW w:w="0" w:type="dxa"/>
            <w:vAlign w:val="bottom"/>
          </w:tcPr>
          <w:p>
            <w:pPr>
              <w:spacing w:after="0"/>
              <w:rPr>
                <w:sz w:val="1"/>
                <w:szCs w:val="1"/>
                <w:color w:val="auto"/>
              </w:rPr>
            </w:pPr>
          </w:p>
        </w:tc>
      </w:tr>
      <w:tr>
        <w:trPr>
          <w:trHeight w:val="226"/>
        </w:trPr>
        <w:tc>
          <w:tcPr>
            <w:tcW w:w="3140" w:type="dxa"/>
            <w:vAlign w:val="bottom"/>
            <w:tcBorders>
              <w:bottom w:val="single" w:sz="8" w:color="auto"/>
            </w:tcBorders>
          </w:tcPr>
          <w:p>
            <w:pPr>
              <w:ind w:left="340"/>
              <w:spacing w:after="0"/>
              <w:rPr>
                <w:sz w:val="20"/>
                <w:szCs w:val="20"/>
                <w:color w:val="auto"/>
              </w:rPr>
            </w:pPr>
            <w:r>
              <w:rPr>
                <w:rFonts w:ascii="Arial" w:cs="Arial" w:eastAsia="Arial" w:hAnsi="Arial"/>
                <w:sz w:val="17"/>
                <w:szCs w:val="17"/>
                <w:color w:val="auto"/>
              </w:rPr>
              <w:t>International</w:t>
            </w:r>
          </w:p>
        </w:tc>
        <w:tc>
          <w:tcPr>
            <w:tcW w:w="2320" w:type="dxa"/>
            <w:vAlign w:val="bottom"/>
            <w:tcBorders>
              <w:bottom w:val="single" w:sz="8" w:color="auto"/>
            </w:tcBorders>
          </w:tcPr>
          <w:p>
            <w:pPr>
              <w:jc w:val="right"/>
              <w:ind w:right="196"/>
              <w:spacing w:after="0"/>
              <w:rPr>
                <w:sz w:val="20"/>
                <w:szCs w:val="20"/>
                <w:color w:val="auto"/>
              </w:rPr>
            </w:pPr>
            <w:r>
              <w:rPr>
                <w:rFonts w:ascii="Arial" w:cs="Arial" w:eastAsia="Arial" w:hAnsi="Arial"/>
                <w:sz w:val="17"/>
                <w:szCs w:val="17"/>
                <w:b w:val="1"/>
                <w:bCs w:val="1"/>
                <w:color w:val="00539B"/>
              </w:rPr>
              <w:t>507</w:t>
            </w:r>
          </w:p>
        </w:tc>
        <w:tc>
          <w:tcPr>
            <w:tcW w:w="2400" w:type="dxa"/>
            <w:vAlign w:val="bottom"/>
            <w:tcBorders>
              <w:bottom w:val="single" w:sz="8" w:color="auto"/>
            </w:tcBorders>
          </w:tcPr>
          <w:p>
            <w:pPr>
              <w:jc w:val="right"/>
              <w:ind w:right="476"/>
              <w:spacing w:after="0"/>
              <w:rPr>
                <w:sz w:val="20"/>
                <w:szCs w:val="20"/>
                <w:color w:val="auto"/>
              </w:rPr>
            </w:pPr>
            <w:r>
              <w:rPr>
                <w:rFonts w:ascii="Arial" w:cs="Arial" w:eastAsia="Arial" w:hAnsi="Arial"/>
                <w:sz w:val="17"/>
                <w:szCs w:val="17"/>
                <w:color w:val="auto"/>
              </w:rPr>
              <w:t>414</w:t>
            </w:r>
          </w:p>
        </w:tc>
        <w:tc>
          <w:tcPr>
            <w:tcW w:w="1760" w:type="dxa"/>
            <w:vAlign w:val="bottom"/>
            <w:tcBorders>
              <w:bottom w:val="single" w:sz="8" w:color="auto"/>
            </w:tcBorders>
          </w:tcPr>
          <w:p>
            <w:pPr>
              <w:jc w:val="right"/>
              <w:ind w:right="136"/>
              <w:spacing w:after="0"/>
              <w:rPr>
                <w:sz w:val="20"/>
                <w:szCs w:val="20"/>
                <w:color w:val="auto"/>
              </w:rPr>
            </w:pPr>
            <w:r>
              <w:rPr>
                <w:rFonts w:ascii="Arial" w:cs="Arial" w:eastAsia="Arial" w:hAnsi="Arial"/>
                <w:sz w:val="17"/>
                <w:szCs w:val="17"/>
                <w:b w:val="1"/>
                <w:bCs w:val="1"/>
                <w:color w:val="00539B"/>
              </w:rPr>
              <w:t>458</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403</w:t>
            </w:r>
          </w:p>
        </w:tc>
        <w:tc>
          <w:tcPr>
            <w:tcW w:w="0" w:type="dxa"/>
            <w:vAlign w:val="bottom"/>
          </w:tcPr>
          <w:p>
            <w:pPr>
              <w:spacing w:after="0"/>
              <w:rPr>
                <w:sz w:val="1"/>
                <w:szCs w:val="1"/>
                <w:color w:val="auto"/>
              </w:rPr>
            </w:pPr>
          </w:p>
        </w:tc>
      </w:tr>
      <w:tr>
        <w:trPr>
          <w:trHeight w:val="220"/>
        </w:trPr>
        <w:tc>
          <w:tcPr>
            <w:tcW w:w="3140" w:type="dxa"/>
            <w:vAlign w:val="bottom"/>
            <w:tcBorders>
              <w:bottom w:val="single" w:sz="8" w:color="auto"/>
            </w:tcBorders>
          </w:tcPr>
          <w:p>
            <w:pPr>
              <w:ind w:left="20"/>
              <w:spacing w:after="0" w:line="220" w:lineRule="exact"/>
              <w:rPr>
                <w:sz w:val="20"/>
                <w:szCs w:val="20"/>
                <w:color w:val="auto"/>
              </w:rPr>
            </w:pPr>
            <w:r>
              <w:rPr>
                <w:rFonts w:ascii="Arial" w:cs="Arial" w:eastAsia="Arial" w:hAnsi="Arial"/>
                <w:sz w:val="17"/>
                <w:szCs w:val="17"/>
                <w:b w:val="1"/>
                <w:bCs w:val="1"/>
                <w:color w:val="auto"/>
              </w:rPr>
              <w:t xml:space="preserve">Total Sales Volumes (Mboe) </w:t>
            </w:r>
            <w:r>
              <w:rPr>
                <w:rFonts w:ascii="Arial" w:cs="Arial" w:eastAsia="Arial" w:hAnsi="Arial"/>
                <w:sz w:val="21"/>
                <w:szCs w:val="21"/>
                <w:b w:val="1"/>
                <w:bCs w:val="1"/>
                <w:color w:val="auto"/>
                <w:vertAlign w:val="superscript"/>
              </w:rPr>
              <w:t>(a)</w:t>
            </w:r>
          </w:p>
        </w:tc>
        <w:tc>
          <w:tcPr>
            <w:tcW w:w="2320" w:type="dxa"/>
            <w:vAlign w:val="bottom"/>
            <w:tcBorders>
              <w:bottom w:val="single" w:sz="8" w:color="auto"/>
            </w:tcBorders>
          </w:tcPr>
          <w:p>
            <w:pPr>
              <w:jc w:val="right"/>
              <w:ind w:right="196"/>
              <w:spacing w:after="0"/>
              <w:rPr>
                <w:sz w:val="20"/>
                <w:szCs w:val="20"/>
                <w:color w:val="auto"/>
              </w:rPr>
            </w:pPr>
            <w:r>
              <w:rPr>
                <w:rFonts w:ascii="Arial" w:cs="Arial" w:eastAsia="Arial" w:hAnsi="Arial"/>
                <w:sz w:val="17"/>
                <w:szCs w:val="17"/>
                <w:b w:val="1"/>
                <w:bCs w:val="1"/>
                <w:color w:val="00539B"/>
              </w:rPr>
              <w:t>1,222</w:t>
            </w:r>
          </w:p>
        </w:tc>
        <w:tc>
          <w:tcPr>
            <w:tcW w:w="2400" w:type="dxa"/>
            <w:vAlign w:val="bottom"/>
            <w:tcBorders>
              <w:bottom w:val="single" w:sz="8" w:color="auto"/>
            </w:tcBorders>
          </w:tcPr>
          <w:p>
            <w:pPr>
              <w:jc w:val="right"/>
              <w:ind w:right="476"/>
              <w:spacing w:after="0"/>
              <w:rPr>
                <w:sz w:val="20"/>
                <w:szCs w:val="20"/>
                <w:color w:val="auto"/>
              </w:rPr>
            </w:pPr>
            <w:r>
              <w:rPr>
                <w:rFonts w:ascii="Arial" w:cs="Arial" w:eastAsia="Arial" w:hAnsi="Arial"/>
                <w:sz w:val="17"/>
                <w:szCs w:val="17"/>
                <w:color w:val="auto"/>
              </w:rPr>
              <w:t>1,214</w:t>
            </w:r>
          </w:p>
        </w:tc>
        <w:tc>
          <w:tcPr>
            <w:tcW w:w="1760" w:type="dxa"/>
            <w:vAlign w:val="bottom"/>
            <w:tcBorders>
              <w:bottom w:val="single" w:sz="8" w:color="auto"/>
            </w:tcBorders>
          </w:tcPr>
          <w:p>
            <w:pPr>
              <w:jc w:val="right"/>
              <w:ind w:right="136"/>
              <w:spacing w:after="0"/>
              <w:rPr>
                <w:sz w:val="20"/>
                <w:szCs w:val="20"/>
                <w:color w:val="auto"/>
              </w:rPr>
            </w:pPr>
            <w:r>
              <w:rPr>
                <w:rFonts w:ascii="Arial" w:cs="Arial" w:eastAsia="Arial" w:hAnsi="Arial"/>
                <w:sz w:val="17"/>
                <w:szCs w:val="17"/>
                <w:b w:val="1"/>
                <w:bCs w:val="1"/>
                <w:color w:val="00539B"/>
              </w:rPr>
              <w:t>1,218</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1,112</w:t>
            </w:r>
          </w:p>
        </w:tc>
        <w:tc>
          <w:tcPr>
            <w:tcW w:w="0" w:type="dxa"/>
            <w:vAlign w:val="bottom"/>
          </w:tcPr>
          <w:p>
            <w:pPr>
              <w:spacing w:after="0"/>
              <w:rPr>
                <w:sz w:val="1"/>
                <w:szCs w:val="1"/>
                <w:color w:val="auto"/>
              </w:rPr>
            </w:pPr>
          </w:p>
        </w:tc>
      </w:tr>
    </w:tbl>
    <w:p>
      <w:pPr>
        <w:spacing w:after="0" w:line="83" w:lineRule="exact"/>
        <w:rPr>
          <w:sz w:val="20"/>
          <w:szCs w:val="20"/>
          <w:color w:val="auto"/>
        </w:rPr>
      </w:pPr>
    </w:p>
    <w:p>
      <w:pPr>
        <w:ind w:left="320" w:hanging="313"/>
        <w:spacing w:after="0" w:line="220" w:lineRule="auto"/>
        <w:tabs>
          <w:tab w:leader="none" w:pos="338" w:val="left"/>
        </w:tabs>
        <w:numPr>
          <w:ilvl w:val="0"/>
          <w:numId w:val="18"/>
        </w:numPr>
        <w:rPr>
          <w:rFonts w:ascii="Arial" w:cs="Arial" w:eastAsia="Arial" w:hAnsi="Arial"/>
          <w:sz w:val="21"/>
          <w:szCs w:val="21"/>
          <w:color w:val="auto"/>
          <w:vertAlign w:val="superscript"/>
        </w:rPr>
      </w:pPr>
      <w:r>
        <w:rPr>
          <w:rFonts w:ascii="Arial" w:cs="Arial" w:eastAsia="Arial" w:hAnsi="Arial"/>
          <w:sz w:val="16"/>
          <w:szCs w:val="16"/>
          <w:color w:val="auto"/>
        </w:rPr>
        <w:t>Natural gas volumes have been converted to Boe based on energy content of six Mcf of gas to one barrel of oil. Barrels of oil equivalent does not necessarily result in price equivalency.</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715962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25" w:right="339" w:bottom="1440" w:gutter="0" w:footer="0" w:header="0"/>
        </w:sectPr>
      </w:pPr>
    </w:p>
    <w:bookmarkStart w:id="33" w:name="page34"/>
    <w:bookmarkEnd w:id="33"/>
    <w:p>
      <w:pPr>
        <w:ind w:left="240"/>
        <w:spacing w:after="0"/>
        <w:rPr>
          <w:sz w:val="20"/>
          <w:szCs w:val="20"/>
          <w:color w:val="auto"/>
        </w:rPr>
      </w:pPr>
      <w:r>
        <w:rPr>
          <w:rFonts w:ascii="Arial" w:cs="Arial" w:eastAsia="Arial" w:hAnsi="Arial"/>
          <w:sz w:val="17"/>
          <w:szCs w:val="17"/>
          <w:color w:val="auto"/>
        </w:rPr>
        <w:t>The following table presents information about Occidental's average realized prices and index prices: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4600" w:type="dxa"/>
            <w:vAlign w:val="bottom"/>
            <w:tcBorders>
              <w:top w:val="single" w:sz="8" w:color="auto"/>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29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Three months ended</w:t>
            </w:r>
          </w:p>
        </w:tc>
        <w:tc>
          <w:tcPr>
            <w:tcW w:w="340" w:type="dxa"/>
            <w:vAlign w:val="bottom"/>
            <w:tcBorders>
              <w:top w:val="single" w:sz="8" w:color="auto"/>
              <w:bottom w:val="single" w:sz="8" w:color="auto"/>
            </w:tcBorders>
          </w:tcPr>
          <w:p>
            <w:pPr>
              <w:spacing w:after="0"/>
              <w:rPr>
                <w:sz w:val="20"/>
                <w:szCs w:val="20"/>
                <w:color w:val="auto"/>
              </w:rPr>
            </w:pPr>
          </w:p>
        </w:tc>
        <w:tc>
          <w:tcPr>
            <w:tcW w:w="1320" w:type="dxa"/>
            <w:vAlign w:val="bottom"/>
            <w:tcBorders>
              <w:top w:val="single" w:sz="8" w:color="auto"/>
              <w:bottom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w w:val="99"/>
              </w:rPr>
              <w:t>Six months ended</w:t>
            </w:r>
          </w:p>
        </w:tc>
        <w:tc>
          <w:tcPr>
            <w:tcW w:w="0" w:type="dxa"/>
            <w:vAlign w:val="bottom"/>
          </w:tcPr>
          <w:p>
            <w:pPr>
              <w:spacing w:after="0"/>
              <w:rPr>
                <w:sz w:val="1"/>
                <w:szCs w:val="1"/>
                <w:color w:val="auto"/>
              </w:rPr>
            </w:pPr>
          </w:p>
        </w:tc>
      </w:tr>
      <w:tr>
        <w:trPr>
          <w:trHeight w:val="220"/>
        </w:trPr>
        <w:tc>
          <w:tcPr>
            <w:tcW w:w="46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June 30, 2023</w:t>
            </w: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March 31, 2023</w:t>
            </w:r>
          </w:p>
        </w:tc>
        <w:tc>
          <w:tcPr>
            <w:tcW w:w="3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June 30, 2023</w:t>
            </w: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June 30, 2022</w:t>
            </w:r>
          </w:p>
        </w:tc>
        <w:tc>
          <w:tcPr>
            <w:tcW w:w="0" w:type="dxa"/>
            <w:vAlign w:val="bottom"/>
          </w:tcPr>
          <w:p>
            <w:pPr>
              <w:spacing w:after="0"/>
              <w:rPr>
                <w:sz w:val="1"/>
                <w:szCs w:val="1"/>
                <w:color w:val="auto"/>
              </w:rPr>
            </w:pPr>
          </w:p>
        </w:tc>
      </w:tr>
      <w:tr>
        <w:trPr>
          <w:trHeight w:val="194"/>
        </w:trPr>
        <w:tc>
          <w:tcPr>
            <w:tcW w:w="4600" w:type="dxa"/>
            <w:vAlign w:val="bottom"/>
          </w:tcPr>
          <w:p>
            <w:pPr>
              <w:ind w:left="20"/>
              <w:spacing w:after="0" w:line="194" w:lineRule="exact"/>
              <w:rPr>
                <w:sz w:val="20"/>
                <w:szCs w:val="20"/>
                <w:color w:val="auto"/>
              </w:rPr>
            </w:pPr>
            <w:r>
              <w:rPr>
                <w:rFonts w:ascii="Arial" w:cs="Arial" w:eastAsia="Arial" w:hAnsi="Arial"/>
                <w:sz w:val="17"/>
                <w:szCs w:val="17"/>
                <w:b w:val="1"/>
                <w:bCs w:val="1"/>
                <w:color w:val="auto"/>
              </w:rPr>
              <w:t>Average Realized Prices</w:t>
            </w:r>
          </w:p>
        </w:tc>
        <w:tc>
          <w:tcPr>
            <w:tcW w:w="3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4600" w:type="dxa"/>
            <w:vAlign w:val="bottom"/>
          </w:tcPr>
          <w:p>
            <w:pPr>
              <w:ind w:left="20"/>
              <w:spacing w:after="0"/>
              <w:rPr>
                <w:sz w:val="20"/>
                <w:szCs w:val="20"/>
                <w:color w:val="auto"/>
              </w:rPr>
            </w:pPr>
            <w:r>
              <w:rPr>
                <w:rFonts w:ascii="Arial" w:cs="Arial" w:eastAsia="Arial" w:hAnsi="Arial"/>
                <w:sz w:val="17"/>
                <w:szCs w:val="17"/>
                <w:b w:val="1"/>
                <w:bCs w:val="1"/>
                <w:color w:val="auto"/>
              </w:rPr>
              <w:t>Oil ($/Bbl)</w:t>
            </w:r>
          </w:p>
        </w:tc>
        <w:tc>
          <w:tcPr>
            <w:tcW w:w="320" w:type="dxa"/>
            <w:vAlign w:val="bottom"/>
            <w:vMerge w:val="restart"/>
          </w:tcPr>
          <w:p>
            <w:pPr>
              <w:jc w:val="right"/>
              <w:ind w:right="136"/>
              <w:spacing w:after="0"/>
              <w:rPr>
                <w:sz w:val="20"/>
                <w:szCs w:val="20"/>
                <w:color w:val="auto"/>
              </w:rPr>
            </w:pPr>
            <w:r>
              <w:rPr>
                <w:rFonts w:ascii="Arial" w:cs="Arial" w:eastAsia="Arial" w:hAnsi="Arial"/>
                <w:sz w:val="17"/>
                <w:szCs w:val="17"/>
                <w:b w:val="1"/>
                <w:bCs w:val="1"/>
                <w:color w:val="00539B"/>
                <w:w w:val="84"/>
              </w:rPr>
              <w:t>$</w:t>
            </w:r>
          </w:p>
        </w:tc>
        <w:tc>
          <w:tcPr>
            <w:tcW w:w="1340" w:type="dxa"/>
            <w:vAlign w:val="bottom"/>
            <w:vMerge w:val="restart"/>
          </w:tcPr>
          <w:p>
            <w:pPr>
              <w:jc w:val="right"/>
              <w:ind w:right="56"/>
              <w:spacing w:after="0"/>
              <w:rPr>
                <w:sz w:val="20"/>
                <w:szCs w:val="20"/>
                <w:color w:val="auto"/>
              </w:rPr>
            </w:pPr>
            <w:r>
              <w:rPr>
                <w:rFonts w:ascii="Arial" w:cs="Arial" w:eastAsia="Arial" w:hAnsi="Arial"/>
                <w:sz w:val="17"/>
                <w:szCs w:val="17"/>
                <w:b w:val="1"/>
                <w:bCs w:val="1"/>
                <w:color w:val="00539B"/>
              </w:rPr>
              <w:t>72.70</w:t>
            </w:r>
          </w:p>
        </w:tc>
        <w:tc>
          <w:tcPr>
            <w:tcW w:w="2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40" w:type="dxa"/>
            <w:vAlign w:val="bottom"/>
            <w:vMerge w:val="restart"/>
          </w:tcPr>
          <w:p>
            <w:pPr>
              <w:jc w:val="right"/>
              <w:ind w:right="136"/>
              <w:spacing w:after="0"/>
              <w:rPr>
                <w:sz w:val="20"/>
                <w:szCs w:val="20"/>
                <w:color w:val="auto"/>
              </w:rPr>
            </w:pPr>
            <w:r>
              <w:rPr>
                <w:rFonts w:ascii="Arial" w:cs="Arial" w:eastAsia="Arial" w:hAnsi="Arial"/>
                <w:sz w:val="17"/>
                <w:szCs w:val="17"/>
                <w:b w:val="1"/>
                <w:bCs w:val="1"/>
                <w:color w:val="00539B"/>
              </w:rPr>
              <w:t>$</w:t>
            </w:r>
          </w:p>
        </w:tc>
        <w:tc>
          <w:tcPr>
            <w:tcW w:w="1320" w:type="dxa"/>
            <w:vAlign w:val="bottom"/>
            <w:vMerge w:val="restart"/>
          </w:tcPr>
          <w:p>
            <w:pPr>
              <w:jc w:val="right"/>
              <w:ind w:right="36"/>
              <w:spacing w:after="0"/>
              <w:rPr>
                <w:sz w:val="20"/>
                <w:szCs w:val="20"/>
                <w:color w:val="auto"/>
              </w:rPr>
            </w:pPr>
            <w:r>
              <w:rPr>
                <w:rFonts w:ascii="Arial" w:cs="Arial" w:eastAsia="Arial" w:hAnsi="Arial"/>
                <w:sz w:val="17"/>
                <w:szCs w:val="17"/>
                <w:b w:val="1"/>
                <w:bCs w:val="1"/>
                <w:color w:val="00539B"/>
              </w:rPr>
              <w:t>73.17</w:t>
            </w:r>
          </w:p>
        </w:tc>
        <w:tc>
          <w:tcPr>
            <w:tcW w:w="1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4600" w:type="dxa"/>
            <w:vAlign w:val="bottom"/>
          </w:tcPr>
          <w:p>
            <w:pPr>
              <w:ind w:left="220"/>
              <w:spacing w:after="0"/>
              <w:rPr>
                <w:sz w:val="20"/>
                <w:szCs w:val="20"/>
                <w:color w:val="auto"/>
              </w:rPr>
            </w:pPr>
            <w:r>
              <w:rPr>
                <w:rFonts w:ascii="Arial" w:cs="Arial" w:eastAsia="Arial" w:hAnsi="Arial"/>
                <w:sz w:val="17"/>
                <w:szCs w:val="17"/>
                <w:color w:val="auto"/>
              </w:rPr>
              <w:t>United States</w:t>
            </w:r>
          </w:p>
        </w:tc>
        <w:tc>
          <w:tcPr>
            <w:tcW w:w="320" w:type="dxa"/>
            <w:vAlign w:val="bottom"/>
            <w:vMerge w:val="continue"/>
          </w:tcPr>
          <w:p>
            <w:pPr>
              <w:spacing w:after="0"/>
              <w:rPr>
                <w:sz w:val="17"/>
                <w:szCs w:val="17"/>
                <w:color w:val="auto"/>
              </w:rPr>
            </w:pPr>
          </w:p>
        </w:tc>
        <w:tc>
          <w:tcPr>
            <w:tcW w:w="1340" w:type="dxa"/>
            <w:vAlign w:val="bottom"/>
            <w:vMerge w:val="continue"/>
          </w:tcPr>
          <w:p>
            <w:pPr>
              <w:spacing w:after="0"/>
              <w:rPr>
                <w:sz w:val="17"/>
                <w:szCs w:val="17"/>
                <w:color w:val="auto"/>
              </w:rPr>
            </w:pPr>
          </w:p>
        </w:tc>
        <w:tc>
          <w:tcPr>
            <w:tcW w:w="280" w:type="dxa"/>
            <w:vAlign w:val="bottom"/>
          </w:tcPr>
          <w:p>
            <w:pPr>
              <w:jc w:val="right"/>
              <w:ind w:right="96"/>
              <w:spacing w:after="0"/>
              <w:rPr>
                <w:sz w:val="20"/>
                <w:szCs w:val="20"/>
                <w:color w:val="auto"/>
              </w:rPr>
            </w:pPr>
            <w:r>
              <w:rPr>
                <w:rFonts w:ascii="Arial" w:cs="Arial" w:eastAsia="Arial" w:hAnsi="Arial"/>
                <w:sz w:val="17"/>
                <w:szCs w:val="17"/>
                <w:color w:val="auto"/>
                <w:w w:val="84"/>
              </w:rPr>
              <w:t>$</w:t>
            </w:r>
          </w:p>
        </w:tc>
        <w:tc>
          <w:tcPr>
            <w:tcW w:w="1360" w:type="dxa"/>
            <w:vAlign w:val="bottom"/>
          </w:tcPr>
          <w:p>
            <w:pPr>
              <w:jc w:val="right"/>
              <w:ind w:right="36"/>
              <w:spacing w:after="0"/>
              <w:rPr>
                <w:sz w:val="20"/>
                <w:szCs w:val="20"/>
                <w:color w:val="auto"/>
              </w:rPr>
            </w:pPr>
            <w:r>
              <w:rPr>
                <w:rFonts w:ascii="Arial" w:cs="Arial" w:eastAsia="Arial" w:hAnsi="Arial"/>
                <w:sz w:val="17"/>
                <w:szCs w:val="17"/>
                <w:color w:val="auto"/>
              </w:rPr>
              <w:t>73.63</w:t>
            </w:r>
          </w:p>
        </w:tc>
        <w:tc>
          <w:tcPr>
            <w:tcW w:w="340" w:type="dxa"/>
            <w:vAlign w:val="bottom"/>
            <w:vMerge w:val="continue"/>
          </w:tcPr>
          <w:p>
            <w:pPr>
              <w:spacing w:after="0"/>
              <w:rPr>
                <w:sz w:val="17"/>
                <w:szCs w:val="17"/>
                <w:color w:val="auto"/>
              </w:rPr>
            </w:pPr>
          </w:p>
        </w:tc>
        <w:tc>
          <w:tcPr>
            <w:tcW w:w="1320" w:type="dxa"/>
            <w:vAlign w:val="bottom"/>
            <w:vMerge w:val="continue"/>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500" w:type="dxa"/>
            <w:vAlign w:val="bottom"/>
          </w:tcPr>
          <w:p>
            <w:pPr>
              <w:jc w:val="right"/>
              <w:ind w:right="36"/>
              <w:spacing w:after="0"/>
              <w:rPr>
                <w:sz w:val="20"/>
                <w:szCs w:val="20"/>
                <w:color w:val="auto"/>
              </w:rPr>
            </w:pPr>
            <w:r>
              <w:rPr>
                <w:rFonts w:ascii="Arial" w:cs="Arial" w:eastAsia="Arial" w:hAnsi="Arial"/>
                <w:sz w:val="17"/>
                <w:szCs w:val="17"/>
                <w:color w:val="auto"/>
              </w:rPr>
              <w:t>101.08</w:t>
            </w:r>
          </w:p>
        </w:tc>
        <w:tc>
          <w:tcPr>
            <w:tcW w:w="0" w:type="dxa"/>
            <w:vAlign w:val="bottom"/>
          </w:tcPr>
          <w:p>
            <w:pPr>
              <w:spacing w:after="0"/>
              <w:rPr>
                <w:sz w:val="1"/>
                <w:szCs w:val="1"/>
                <w:color w:val="auto"/>
              </w:rPr>
            </w:pPr>
          </w:p>
        </w:tc>
      </w:tr>
      <w:tr>
        <w:trPr>
          <w:trHeight w:val="227"/>
        </w:trPr>
        <w:tc>
          <w:tcPr>
            <w:tcW w:w="4600" w:type="dxa"/>
            <w:vAlign w:val="bottom"/>
          </w:tcPr>
          <w:p>
            <w:pPr>
              <w:ind w:left="220"/>
              <w:spacing w:after="0"/>
              <w:rPr>
                <w:sz w:val="20"/>
                <w:szCs w:val="20"/>
                <w:color w:val="auto"/>
              </w:rPr>
            </w:pPr>
            <w:r>
              <w:rPr>
                <w:rFonts w:ascii="Arial" w:cs="Arial" w:eastAsia="Arial" w:hAnsi="Arial"/>
                <w:sz w:val="17"/>
                <w:szCs w:val="17"/>
                <w:color w:val="auto"/>
              </w:rPr>
              <w:t>International</w:t>
            </w:r>
          </w:p>
        </w:tc>
        <w:tc>
          <w:tcPr>
            <w:tcW w:w="320" w:type="dxa"/>
            <w:vAlign w:val="bottom"/>
          </w:tcPr>
          <w:p>
            <w:pPr>
              <w:jc w:val="right"/>
              <w:ind w:right="136"/>
              <w:spacing w:after="0"/>
              <w:rPr>
                <w:sz w:val="20"/>
                <w:szCs w:val="20"/>
                <w:color w:val="auto"/>
              </w:rPr>
            </w:pPr>
            <w:r>
              <w:rPr>
                <w:rFonts w:ascii="Arial" w:cs="Arial" w:eastAsia="Arial" w:hAnsi="Arial"/>
                <w:sz w:val="17"/>
                <w:szCs w:val="17"/>
                <w:b w:val="1"/>
                <w:bCs w:val="1"/>
                <w:color w:val="00539B"/>
                <w:w w:val="84"/>
              </w:rPr>
              <w:t>$</w:t>
            </w:r>
          </w:p>
        </w:tc>
        <w:tc>
          <w:tcPr>
            <w:tcW w:w="1340" w:type="dxa"/>
            <w:vAlign w:val="bottom"/>
          </w:tcPr>
          <w:p>
            <w:pPr>
              <w:jc w:val="right"/>
              <w:ind w:right="56"/>
              <w:spacing w:after="0"/>
              <w:rPr>
                <w:sz w:val="20"/>
                <w:szCs w:val="20"/>
                <w:color w:val="auto"/>
              </w:rPr>
            </w:pPr>
            <w:r>
              <w:rPr>
                <w:rFonts w:ascii="Arial" w:cs="Arial" w:eastAsia="Arial" w:hAnsi="Arial"/>
                <w:sz w:val="17"/>
                <w:szCs w:val="17"/>
                <w:b w:val="1"/>
                <w:bCs w:val="1"/>
                <w:color w:val="00539B"/>
              </w:rPr>
              <w:t>77.76</w:t>
            </w:r>
          </w:p>
        </w:tc>
        <w:tc>
          <w:tcPr>
            <w:tcW w:w="280" w:type="dxa"/>
            <w:vAlign w:val="bottom"/>
          </w:tcPr>
          <w:p>
            <w:pPr>
              <w:jc w:val="right"/>
              <w:ind w:right="96"/>
              <w:spacing w:after="0"/>
              <w:rPr>
                <w:sz w:val="20"/>
                <w:szCs w:val="20"/>
                <w:color w:val="auto"/>
              </w:rPr>
            </w:pPr>
            <w:r>
              <w:rPr>
                <w:rFonts w:ascii="Arial" w:cs="Arial" w:eastAsia="Arial" w:hAnsi="Arial"/>
                <w:sz w:val="17"/>
                <w:szCs w:val="17"/>
                <w:color w:val="auto"/>
                <w:w w:val="84"/>
              </w:rPr>
              <w:t>$</w:t>
            </w:r>
          </w:p>
        </w:tc>
        <w:tc>
          <w:tcPr>
            <w:tcW w:w="1360" w:type="dxa"/>
            <w:vAlign w:val="bottom"/>
          </w:tcPr>
          <w:p>
            <w:pPr>
              <w:jc w:val="right"/>
              <w:ind w:right="36"/>
              <w:spacing w:after="0"/>
              <w:rPr>
                <w:sz w:val="20"/>
                <w:szCs w:val="20"/>
                <w:color w:val="auto"/>
              </w:rPr>
            </w:pPr>
            <w:r>
              <w:rPr>
                <w:rFonts w:ascii="Arial" w:cs="Arial" w:eastAsia="Arial" w:hAnsi="Arial"/>
                <w:sz w:val="17"/>
                <w:szCs w:val="17"/>
                <w:color w:val="auto"/>
              </w:rPr>
              <w:t>77.42</w:t>
            </w:r>
          </w:p>
        </w:tc>
        <w:tc>
          <w:tcPr>
            <w:tcW w:w="340" w:type="dxa"/>
            <w:vAlign w:val="bottom"/>
          </w:tcPr>
          <w:p>
            <w:pPr>
              <w:jc w:val="right"/>
              <w:ind w:right="136"/>
              <w:spacing w:after="0"/>
              <w:rPr>
                <w:sz w:val="20"/>
                <w:szCs w:val="20"/>
                <w:color w:val="auto"/>
              </w:rPr>
            </w:pPr>
            <w:r>
              <w:rPr>
                <w:rFonts w:ascii="Arial" w:cs="Arial" w:eastAsia="Arial" w:hAnsi="Arial"/>
                <w:sz w:val="17"/>
                <w:szCs w:val="17"/>
                <w:b w:val="1"/>
                <w:bCs w:val="1"/>
                <w:color w:val="00539B"/>
              </w:rPr>
              <w:t>$</w:t>
            </w:r>
          </w:p>
        </w:tc>
        <w:tc>
          <w:tcPr>
            <w:tcW w:w="1320" w:type="dxa"/>
            <w:vAlign w:val="bottom"/>
          </w:tcPr>
          <w:p>
            <w:pPr>
              <w:jc w:val="right"/>
              <w:ind w:right="36"/>
              <w:spacing w:after="0"/>
              <w:rPr>
                <w:sz w:val="20"/>
                <w:szCs w:val="20"/>
                <w:color w:val="auto"/>
              </w:rPr>
            </w:pPr>
            <w:r>
              <w:rPr>
                <w:rFonts w:ascii="Arial" w:cs="Arial" w:eastAsia="Arial" w:hAnsi="Arial"/>
                <w:sz w:val="17"/>
                <w:szCs w:val="17"/>
                <w:b w:val="1"/>
                <w:bCs w:val="1"/>
                <w:color w:val="00539B"/>
              </w:rPr>
              <w:t>77.60</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500" w:type="dxa"/>
            <w:vAlign w:val="bottom"/>
          </w:tcPr>
          <w:p>
            <w:pPr>
              <w:jc w:val="right"/>
              <w:ind w:right="36"/>
              <w:spacing w:after="0"/>
              <w:rPr>
                <w:sz w:val="20"/>
                <w:szCs w:val="20"/>
                <w:color w:val="auto"/>
              </w:rPr>
            </w:pPr>
            <w:r>
              <w:rPr>
                <w:rFonts w:ascii="Arial" w:cs="Arial" w:eastAsia="Arial" w:hAnsi="Arial"/>
                <w:sz w:val="17"/>
                <w:szCs w:val="17"/>
                <w:color w:val="auto"/>
              </w:rPr>
              <w:t>95.75</w:t>
            </w:r>
          </w:p>
        </w:tc>
        <w:tc>
          <w:tcPr>
            <w:tcW w:w="0" w:type="dxa"/>
            <w:vAlign w:val="bottom"/>
          </w:tcPr>
          <w:p>
            <w:pPr>
              <w:spacing w:after="0"/>
              <w:rPr>
                <w:sz w:val="1"/>
                <w:szCs w:val="1"/>
                <w:color w:val="auto"/>
              </w:rPr>
            </w:pPr>
          </w:p>
        </w:tc>
      </w:tr>
      <w:tr>
        <w:trPr>
          <w:trHeight w:val="227"/>
        </w:trPr>
        <w:tc>
          <w:tcPr>
            <w:tcW w:w="4600" w:type="dxa"/>
            <w:vAlign w:val="bottom"/>
          </w:tcPr>
          <w:p>
            <w:pPr>
              <w:ind w:left="220"/>
              <w:spacing w:after="0"/>
              <w:rPr>
                <w:sz w:val="20"/>
                <w:szCs w:val="20"/>
                <w:color w:val="auto"/>
              </w:rPr>
            </w:pPr>
            <w:r>
              <w:rPr>
                <w:rFonts w:ascii="Arial" w:cs="Arial" w:eastAsia="Arial" w:hAnsi="Arial"/>
                <w:sz w:val="17"/>
                <w:szCs w:val="17"/>
                <w:color w:val="auto"/>
              </w:rPr>
              <w:t>Total Worldwide</w:t>
            </w:r>
          </w:p>
        </w:tc>
        <w:tc>
          <w:tcPr>
            <w:tcW w:w="320" w:type="dxa"/>
            <w:vAlign w:val="bottom"/>
          </w:tcPr>
          <w:p>
            <w:pPr>
              <w:jc w:val="right"/>
              <w:ind w:right="136"/>
              <w:spacing w:after="0"/>
              <w:rPr>
                <w:sz w:val="20"/>
                <w:szCs w:val="20"/>
                <w:color w:val="auto"/>
              </w:rPr>
            </w:pPr>
            <w:r>
              <w:rPr>
                <w:rFonts w:ascii="Arial" w:cs="Arial" w:eastAsia="Arial" w:hAnsi="Arial"/>
                <w:sz w:val="17"/>
                <w:szCs w:val="17"/>
                <w:b w:val="1"/>
                <w:bCs w:val="1"/>
                <w:color w:val="00539B"/>
                <w:w w:val="84"/>
              </w:rPr>
              <w:t>$</w:t>
            </w:r>
          </w:p>
        </w:tc>
        <w:tc>
          <w:tcPr>
            <w:tcW w:w="1340" w:type="dxa"/>
            <w:vAlign w:val="bottom"/>
          </w:tcPr>
          <w:p>
            <w:pPr>
              <w:jc w:val="right"/>
              <w:ind w:right="56"/>
              <w:spacing w:after="0"/>
              <w:rPr>
                <w:sz w:val="20"/>
                <w:szCs w:val="20"/>
                <w:color w:val="auto"/>
              </w:rPr>
            </w:pPr>
            <w:r>
              <w:rPr>
                <w:rFonts w:ascii="Arial" w:cs="Arial" w:eastAsia="Arial" w:hAnsi="Arial"/>
                <w:sz w:val="17"/>
                <w:szCs w:val="17"/>
                <w:b w:val="1"/>
                <w:bCs w:val="1"/>
                <w:color w:val="00539B"/>
              </w:rPr>
              <w:t>73.59</w:t>
            </w:r>
          </w:p>
        </w:tc>
        <w:tc>
          <w:tcPr>
            <w:tcW w:w="280" w:type="dxa"/>
            <w:vAlign w:val="bottom"/>
          </w:tcPr>
          <w:p>
            <w:pPr>
              <w:jc w:val="right"/>
              <w:ind w:right="96"/>
              <w:spacing w:after="0"/>
              <w:rPr>
                <w:sz w:val="20"/>
                <w:szCs w:val="20"/>
                <w:color w:val="auto"/>
              </w:rPr>
            </w:pPr>
            <w:r>
              <w:rPr>
                <w:rFonts w:ascii="Arial" w:cs="Arial" w:eastAsia="Arial" w:hAnsi="Arial"/>
                <w:sz w:val="17"/>
                <w:szCs w:val="17"/>
                <w:color w:val="auto"/>
                <w:w w:val="84"/>
              </w:rPr>
              <w:t>$</w:t>
            </w:r>
          </w:p>
        </w:tc>
        <w:tc>
          <w:tcPr>
            <w:tcW w:w="1360" w:type="dxa"/>
            <w:vAlign w:val="bottom"/>
          </w:tcPr>
          <w:p>
            <w:pPr>
              <w:jc w:val="right"/>
              <w:ind w:right="36"/>
              <w:spacing w:after="0"/>
              <w:rPr>
                <w:sz w:val="20"/>
                <w:szCs w:val="20"/>
                <w:color w:val="auto"/>
              </w:rPr>
            </w:pPr>
            <w:r>
              <w:rPr>
                <w:rFonts w:ascii="Arial" w:cs="Arial" w:eastAsia="Arial" w:hAnsi="Arial"/>
                <w:sz w:val="17"/>
                <w:szCs w:val="17"/>
                <w:color w:val="auto"/>
              </w:rPr>
              <w:t>74.22</w:t>
            </w:r>
          </w:p>
        </w:tc>
        <w:tc>
          <w:tcPr>
            <w:tcW w:w="340" w:type="dxa"/>
            <w:vAlign w:val="bottom"/>
          </w:tcPr>
          <w:p>
            <w:pPr>
              <w:jc w:val="right"/>
              <w:ind w:right="136"/>
              <w:spacing w:after="0"/>
              <w:rPr>
                <w:sz w:val="20"/>
                <w:szCs w:val="20"/>
                <w:color w:val="auto"/>
              </w:rPr>
            </w:pPr>
            <w:r>
              <w:rPr>
                <w:rFonts w:ascii="Arial" w:cs="Arial" w:eastAsia="Arial" w:hAnsi="Arial"/>
                <w:sz w:val="17"/>
                <w:szCs w:val="17"/>
                <w:b w:val="1"/>
                <w:bCs w:val="1"/>
                <w:color w:val="00539B"/>
              </w:rPr>
              <w:t>$</w:t>
            </w:r>
          </w:p>
        </w:tc>
        <w:tc>
          <w:tcPr>
            <w:tcW w:w="1320" w:type="dxa"/>
            <w:vAlign w:val="bottom"/>
          </w:tcPr>
          <w:p>
            <w:pPr>
              <w:jc w:val="right"/>
              <w:ind w:right="36"/>
              <w:spacing w:after="0"/>
              <w:rPr>
                <w:sz w:val="20"/>
                <w:szCs w:val="20"/>
                <w:color w:val="auto"/>
              </w:rPr>
            </w:pPr>
            <w:r>
              <w:rPr>
                <w:rFonts w:ascii="Arial" w:cs="Arial" w:eastAsia="Arial" w:hAnsi="Arial"/>
                <w:sz w:val="17"/>
                <w:szCs w:val="17"/>
                <w:b w:val="1"/>
                <w:bCs w:val="1"/>
                <w:color w:val="00539B"/>
              </w:rPr>
              <w:t>73.91</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500" w:type="dxa"/>
            <w:vAlign w:val="bottom"/>
          </w:tcPr>
          <w:p>
            <w:pPr>
              <w:jc w:val="right"/>
              <w:ind w:right="36"/>
              <w:spacing w:after="0"/>
              <w:rPr>
                <w:sz w:val="20"/>
                <w:szCs w:val="20"/>
                <w:color w:val="auto"/>
              </w:rPr>
            </w:pPr>
            <w:r>
              <w:rPr>
                <w:rFonts w:ascii="Arial" w:cs="Arial" w:eastAsia="Arial" w:hAnsi="Arial"/>
                <w:sz w:val="17"/>
                <w:szCs w:val="17"/>
                <w:color w:val="auto"/>
              </w:rPr>
              <w:t>100.10</w:t>
            </w:r>
          </w:p>
        </w:tc>
        <w:tc>
          <w:tcPr>
            <w:tcW w:w="0" w:type="dxa"/>
            <w:vAlign w:val="bottom"/>
          </w:tcPr>
          <w:p>
            <w:pPr>
              <w:spacing w:after="0"/>
              <w:rPr>
                <w:sz w:val="1"/>
                <w:szCs w:val="1"/>
                <w:color w:val="auto"/>
              </w:rPr>
            </w:pPr>
          </w:p>
        </w:tc>
      </w:tr>
      <w:tr>
        <w:trPr>
          <w:trHeight w:val="221"/>
        </w:trPr>
        <w:tc>
          <w:tcPr>
            <w:tcW w:w="4600" w:type="dxa"/>
            <w:vAlign w:val="bottom"/>
          </w:tcPr>
          <w:p>
            <w:pPr>
              <w:ind w:left="20"/>
              <w:spacing w:after="0"/>
              <w:rPr>
                <w:sz w:val="20"/>
                <w:szCs w:val="20"/>
                <w:color w:val="auto"/>
              </w:rPr>
            </w:pPr>
            <w:r>
              <w:rPr>
                <w:rFonts w:ascii="Arial" w:cs="Arial" w:eastAsia="Arial" w:hAnsi="Arial"/>
                <w:sz w:val="17"/>
                <w:szCs w:val="17"/>
                <w:b w:val="1"/>
                <w:bCs w:val="1"/>
                <w:color w:val="auto"/>
              </w:rPr>
              <w:t>NGL ($/Bbl)</w:t>
            </w:r>
          </w:p>
        </w:tc>
        <w:tc>
          <w:tcPr>
            <w:tcW w:w="320" w:type="dxa"/>
            <w:vAlign w:val="bottom"/>
            <w:vMerge w:val="restart"/>
          </w:tcPr>
          <w:p>
            <w:pPr>
              <w:jc w:val="right"/>
              <w:ind w:right="136"/>
              <w:spacing w:after="0"/>
              <w:rPr>
                <w:sz w:val="20"/>
                <w:szCs w:val="20"/>
                <w:color w:val="auto"/>
              </w:rPr>
            </w:pPr>
            <w:r>
              <w:rPr>
                <w:rFonts w:ascii="Arial" w:cs="Arial" w:eastAsia="Arial" w:hAnsi="Arial"/>
                <w:sz w:val="17"/>
                <w:szCs w:val="17"/>
                <w:b w:val="1"/>
                <w:bCs w:val="1"/>
                <w:color w:val="00539B"/>
                <w:w w:val="84"/>
              </w:rPr>
              <w:t>$</w:t>
            </w:r>
          </w:p>
        </w:tc>
        <w:tc>
          <w:tcPr>
            <w:tcW w:w="1340" w:type="dxa"/>
            <w:vAlign w:val="bottom"/>
            <w:vMerge w:val="restart"/>
          </w:tcPr>
          <w:p>
            <w:pPr>
              <w:jc w:val="right"/>
              <w:ind w:right="56"/>
              <w:spacing w:after="0"/>
              <w:rPr>
                <w:sz w:val="20"/>
                <w:szCs w:val="20"/>
                <w:color w:val="auto"/>
              </w:rPr>
            </w:pPr>
            <w:r>
              <w:rPr>
                <w:rFonts w:ascii="Arial" w:cs="Arial" w:eastAsia="Arial" w:hAnsi="Arial"/>
                <w:sz w:val="17"/>
                <w:szCs w:val="17"/>
                <w:b w:val="1"/>
                <w:bCs w:val="1"/>
                <w:color w:val="00539B"/>
              </w:rPr>
              <w:t>17.80</w:t>
            </w:r>
          </w:p>
        </w:tc>
        <w:tc>
          <w:tcPr>
            <w:tcW w:w="2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40" w:type="dxa"/>
            <w:vAlign w:val="bottom"/>
            <w:vMerge w:val="restart"/>
          </w:tcPr>
          <w:p>
            <w:pPr>
              <w:jc w:val="right"/>
              <w:ind w:right="136"/>
              <w:spacing w:after="0"/>
              <w:rPr>
                <w:sz w:val="20"/>
                <w:szCs w:val="20"/>
                <w:color w:val="auto"/>
              </w:rPr>
            </w:pPr>
            <w:r>
              <w:rPr>
                <w:rFonts w:ascii="Arial" w:cs="Arial" w:eastAsia="Arial" w:hAnsi="Arial"/>
                <w:sz w:val="17"/>
                <w:szCs w:val="17"/>
                <w:b w:val="1"/>
                <w:bCs w:val="1"/>
                <w:color w:val="00539B"/>
              </w:rPr>
              <w:t>$</w:t>
            </w:r>
          </w:p>
        </w:tc>
        <w:tc>
          <w:tcPr>
            <w:tcW w:w="1320" w:type="dxa"/>
            <w:vAlign w:val="bottom"/>
            <w:vMerge w:val="restart"/>
          </w:tcPr>
          <w:p>
            <w:pPr>
              <w:jc w:val="right"/>
              <w:ind w:right="36"/>
              <w:spacing w:after="0"/>
              <w:rPr>
                <w:sz w:val="20"/>
                <w:szCs w:val="20"/>
                <w:color w:val="auto"/>
              </w:rPr>
            </w:pPr>
            <w:r>
              <w:rPr>
                <w:rFonts w:ascii="Arial" w:cs="Arial" w:eastAsia="Arial" w:hAnsi="Arial"/>
                <w:sz w:val="17"/>
                <w:szCs w:val="17"/>
                <w:b w:val="1"/>
                <w:bCs w:val="1"/>
                <w:color w:val="00539B"/>
              </w:rPr>
              <w:t>20.53</w:t>
            </w:r>
          </w:p>
        </w:tc>
        <w:tc>
          <w:tcPr>
            <w:tcW w:w="1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600" w:type="dxa"/>
            <w:vAlign w:val="bottom"/>
          </w:tcPr>
          <w:p>
            <w:pPr>
              <w:ind w:left="220"/>
              <w:spacing w:after="0"/>
              <w:rPr>
                <w:sz w:val="20"/>
                <w:szCs w:val="20"/>
                <w:color w:val="auto"/>
              </w:rPr>
            </w:pPr>
            <w:r>
              <w:rPr>
                <w:rFonts w:ascii="Arial" w:cs="Arial" w:eastAsia="Arial" w:hAnsi="Arial"/>
                <w:sz w:val="17"/>
                <w:szCs w:val="17"/>
                <w:color w:val="auto"/>
              </w:rPr>
              <w:t>United States</w:t>
            </w:r>
          </w:p>
        </w:tc>
        <w:tc>
          <w:tcPr>
            <w:tcW w:w="320" w:type="dxa"/>
            <w:vAlign w:val="bottom"/>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80" w:type="dxa"/>
            <w:vAlign w:val="bottom"/>
          </w:tcPr>
          <w:p>
            <w:pPr>
              <w:jc w:val="right"/>
              <w:ind w:right="96"/>
              <w:spacing w:after="0"/>
              <w:rPr>
                <w:sz w:val="20"/>
                <w:szCs w:val="20"/>
                <w:color w:val="auto"/>
              </w:rPr>
            </w:pPr>
            <w:r>
              <w:rPr>
                <w:rFonts w:ascii="Arial" w:cs="Arial" w:eastAsia="Arial" w:hAnsi="Arial"/>
                <w:sz w:val="17"/>
                <w:szCs w:val="17"/>
                <w:color w:val="auto"/>
                <w:w w:val="84"/>
              </w:rPr>
              <w:t>$</w:t>
            </w:r>
          </w:p>
        </w:tc>
        <w:tc>
          <w:tcPr>
            <w:tcW w:w="1360" w:type="dxa"/>
            <w:vAlign w:val="bottom"/>
          </w:tcPr>
          <w:p>
            <w:pPr>
              <w:jc w:val="right"/>
              <w:ind w:right="36"/>
              <w:spacing w:after="0"/>
              <w:rPr>
                <w:sz w:val="20"/>
                <w:szCs w:val="20"/>
                <w:color w:val="auto"/>
              </w:rPr>
            </w:pPr>
            <w:r>
              <w:rPr>
                <w:rFonts w:ascii="Arial" w:cs="Arial" w:eastAsia="Arial" w:hAnsi="Arial"/>
                <w:sz w:val="17"/>
                <w:szCs w:val="17"/>
                <w:color w:val="auto"/>
              </w:rPr>
              <w:t>23.39</w:t>
            </w:r>
          </w:p>
        </w:tc>
        <w:tc>
          <w:tcPr>
            <w:tcW w:w="340" w:type="dxa"/>
            <w:vAlign w:val="bottom"/>
            <w:vMerge w:val="continue"/>
          </w:tcPr>
          <w:p>
            <w:pPr>
              <w:spacing w:after="0"/>
              <w:rPr>
                <w:sz w:val="19"/>
                <w:szCs w:val="19"/>
                <w:color w:val="auto"/>
              </w:rPr>
            </w:pPr>
          </w:p>
        </w:tc>
        <w:tc>
          <w:tcPr>
            <w:tcW w:w="1320" w:type="dxa"/>
            <w:vAlign w:val="bottom"/>
            <w:vMerge w:val="continue"/>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500" w:type="dxa"/>
            <w:vAlign w:val="bottom"/>
          </w:tcPr>
          <w:p>
            <w:pPr>
              <w:jc w:val="right"/>
              <w:ind w:right="36"/>
              <w:spacing w:after="0"/>
              <w:rPr>
                <w:sz w:val="20"/>
                <w:szCs w:val="20"/>
                <w:color w:val="auto"/>
              </w:rPr>
            </w:pPr>
            <w:r>
              <w:rPr>
                <w:rFonts w:ascii="Arial" w:cs="Arial" w:eastAsia="Arial" w:hAnsi="Arial"/>
                <w:sz w:val="17"/>
                <w:szCs w:val="17"/>
                <w:color w:val="auto"/>
              </w:rPr>
              <w:t>41.74</w:t>
            </w:r>
          </w:p>
        </w:tc>
        <w:tc>
          <w:tcPr>
            <w:tcW w:w="0" w:type="dxa"/>
            <w:vAlign w:val="bottom"/>
          </w:tcPr>
          <w:p>
            <w:pPr>
              <w:spacing w:after="0"/>
              <w:rPr>
                <w:sz w:val="1"/>
                <w:szCs w:val="1"/>
                <w:color w:val="auto"/>
              </w:rPr>
            </w:pPr>
          </w:p>
        </w:tc>
      </w:tr>
      <w:tr>
        <w:trPr>
          <w:trHeight w:val="227"/>
        </w:trPr>
        <w:tc>
          <w:tcPr>
            <w:tcW w:w="4600" w:type="dxa"/>
            <w:vAlign w:val="bottom"/>
          </w:tcPr>
          <w:p>
            <w:pPr>
              <w:ind w:left="220"/>
              <w:spacing w:after="0"/>
              <w:rPr>
                <w:sz w:val="20"/>
                <w:szCs w:val="20"/>
                <w:color w:val="auto"/>
              </w:rPr>
            </w:pPr>
            <w:r>
              <w:rPr>
                <w:rFonts w:ascii="Arial" w:cs="Arial" w:eastAsia="Arial" w:hAnsi="Arial"/>
                <w:sz w:val="17"/>
                <w:szCs w:val="17"/>
                <w:color w:val="auto"/>
              </w:rPr>
              <w:t>International</w:t>
            </w:r>
          </w:p>
        </w:tc>
        <w:tc>
          <w:tcPr>
            <w:tcW w:w="320" w:type="dxa"/>
            <w:vAlign w:val="bottom"/>
          </w:tcPr>
          <w:p>
            <w:pPr>
              <w:jc w:val="right"/>
              <w:ind w:right="136"/>
              <w:spacing w:after="0"/>
              <w:rPr>
                <w:sz w:val="20"/>
                <w:szCs w:val="20"/>
                <w:color w:val="auto"/>
              </w:rPr>
            </w:pPr>
            <w:r>
              <w:rPr>
                <w:rFonts w:ascii="Arial" w:cs="Arial" w:eastAsia="Arial" w:hAnsi="Arial"/>
                <w:sz w:val="17"/>
                <w:szCs w:val="17"/>
                <w:b w:val="1"/>
                <w:bCs w:val="1"/>
                <w:color w:val="00539B"/>
                <w:w w:val="84"/>
              </w:rPr>
              <w:t>$</w:t>
            </w:r>
          </w:p>
        </w:tc>
        <w:tc>
          <w:tcPr>
            <w:tcW w:w="1340" w:type="dxa"/>
            <w:vAlign w:val="bottom"/>
          </w:tcPr>
          <w:p>
            <w:pPr>
              <w:jc w:val="right"/>
              <w:ind w:right="56"/>
              <w:spacing w:after="0"/>
              <w:rPr>
                <w:sz w:val="20"/>
                <w:szCs w:val="20"/>
                <w:color w:val="auto"/>
              </w:rPr>
            </w:pPr>
            <w:r>
              <w:rPr>
                <w:rFonts w:ascii="Arial" w:cs="Arial" w:eastAsia="Arial" w:hAnsi="Arial"/>
                <w:sz w:val="17"/>
                <w:szCs w:val="17"/>
                <w:b w:val="1"/>
                <w:bCs w:val="1"/>
                <w:color w:val="00539B"/>
              </w:rPr>
              <w:t>28.45</w:t>
            </w:r>
          </w:p>
        </w:tc>
        <w:tc>
          <w:tcPr>
            <w:tcW w:w="280" w:type="dxa"/>
            <w:vAlign w:val="bottom"/>
          </w:tcPr>
          <w:p>
            <w:pPr>
              <w:jc w:val="right"/>
              <w:ind w:right="96"/>
              <w:spacing w:after="0"/>
              <w:rPr>
                <w:sz w:val="20"/>
                <w:szCs w:val="20"/>
                <w:color w:val="auto"/>
              </w:rPr>
            </w:pPr>
            <w:r>
              <w:rPr>
                <w:rFonts w:ascii="Arial" w:cs="Arial" w:eastAsia="Arial" w:hAnsi="Arial"/>
                <w:sz w:val="17"/>
                <w:szCs w:val="17"/>
                <w:color w:val="auto"/>
                <w:w w:val="84"/>
              </w:rPr>
              <w:t>$</w:t>
            </w:r>
          </w:p>
        </w:tc>
        <w:tc>
          <w:tcPr>
            <w:tcW w:w="1360" w:type="dxa"/>
            <w:vAlign w:val="bottom"/>
          </w:tcPr>
          <w:p>
            <w:pPr>
              <w:jc w:val="right"/>
              <w:ind w:right="36"/>
              <w:spacing w:after="0"/>
              <w:rPr>
                <w:sz w:val="20"/>
                <w:szCs w:val="20"/>
                <w:color w:val="auto"/>
              </w:rPr>
            </w:pPr>
            <w:r>
              <w:rPr>
                <w:rFonts w:ascii="Arial" w:cs="Arial" w:eastAsia="Arial" w:hAnsi="Arial"/>
                <w:sz w:val="17"/>
                <w:szCs w:val="17"/>
                <w:color w:val="auto"/>
              </w:rPr>
              <w:t>32.98</w:t>
            </w:r>
          </w:p>
        </w:tc>
        <w:tc>
          <w:tcPr>
            <w:tcW w:w="340" w:type="dxa"/>
            <w:vAlign w:val="bottom"/>
          </w:tcPr>
          <w:p>
            <w:pPr>
              <w:jc w:val="right"/>
              <w:ind w:right="136"/>
              <w:spacing w:after="0"/>
              <w:rPr>
                <w:sz w:val="20"/>
                <w:szCs w:val="20"/>
                <w:color w:val="auto"/>
              </w:rPr>
            </w:pPr>
            <w:r>
              <w:rPr>
                <w:rFonts w:ascii="Arial" w:cs="Arial" w:eastAsia="Arial" w:hAnsi="Arial"/>
                <w:sz w:val="17"/>
                <w:szCs w:val="17"/>
                <w:b w:val="1"/>
                <w:bCs w:val="1"/>
                <w:color w:val="00539B"/>
              </w:rPr>
              <w:t>$</w:t>
            </w:r>
          </w:p>
        </w:tc>
        <w:tc>
          <w:tcPr>
            <w:tcW w:w="1320" w:type="dxa"/>
            <w:vAlign w:val="bottom"/>
          </w:tcPr>
          <w:p>
            <w:pPr>
              <w:jc w:val="right"/>
              <w:ind w:right="36"/>
              <w:spacing w:after="0"/>
              <w:rPr>
                <w:sz w:val="20"/>
                <w:szCs w:val="20"/>
                <w:color w:val="auto"/>
              </w:rPr>
            </w:pPr>
            <w:r>
              <w:rPr>
                <w:rFonts w:ascii="Arial" w:cs="Arial" w:eastAsia="Arial" w:hAnsi="Arial"/>
                <w:sz w:val="17"/>
                <w:szCs w:val="17"/>
                <w:b w:val="1"/>
                <w:bCs w:val="1"/>
                <w:color w:val="00539B"/>
              </w:rPr>
              <w:t>30.50</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500" w:type="dxa"/>
            <w:vAlign w:val="bottom"/>
          </w:tcPr>
          <w:p>
            <w:pPr>
              <w:jc w:val="right"/>
              <w:ind w:right="36"/>
              <w:spacing w:after="0"/>
              <w:rPr>
                <w:sz w:val="20"/>
                <w:szCs w:val="20"/>
                <w:color w:val="auto"/>
              </w:rPr>
            </w:pPr>
            <w:r>
              <w:rPr>
                <w:rFonts w:ascii="Arial" w:cs="Arial" w:eastAsia="Arial" w:hAnsi="Arial"/>
                <w:sz w:val="17"/>
                <w:szCs w:val="17"/>
                <w:color w:val="auto"/>
              </w:rPr>
              <w:t>34.32</w:t>
            </w:r>
          </w:p>
        </w:tc>
        <w:tc>
          <w:tcPr>
            <w:tcW w:w="0" w:type="dxa"/>
            <w:vAlign w:val="bottom"/>
          </w:tcPr>
          <w:p>
            <w:pPr>
              <w:spacing w:after="0"/>
              <w:rPr>
                <w:sz w:val="1"/>
                <w:szCs w:val="1"/>
                <w:color w:val="auto"/>
              </w:rPr>
            </w:pPr>
          </w:p>
        </w:tc>
      </w:tr>
      <w:tr>
        <w:trPr>
          <w:trHeight w:val="213"/>
        </w:trPr>
        <w:tc>
          <w:tcPr>
            <w:tcW w:w="4600" w:type="dxa"/>
            <w:vAlign w:val="bottom"/>
          </w:tcPr>
          <w:p>
            <w:pPr>
              <w:ind w:left="220"/>
              <w:spacing w:after="0"/>
              <w:rPr>
                <w:sz w:val="20"/>
                <w:szCs w:val="20"/>
                <w:color w:val="auto"/>
              </w:rPr>
            </w:pPr>
            <w:r>
              <w:rPr>
                <w:rFonts w:ascii="Arial" w:cs="Arial" w:eastAsia="Arial" w:hAnsi="Arial"/>
                <w:sz w:val="17"/>
                <w:szCs w:val="17"/>
                <w:color w:val="auto"/>
              </w:rPr>
              <w:t>Total Worldwide</w:t>
            </w:r>
          </w:p>
        </w:tc>
        <w:tc>
          <w:tcPr>
            <w:tcW w:w="320" w:type="dxa"/>
            <w:vAlign w:val="bottom"/>
          </w:tcPr>
          <w:p>
            <w:pPr>
              <w:jc w:val="right"/>
              <w:ind w:right="136"/>
              <w:spacing w:after="0"/>
              <w:rPr>
                <w:sz w:val="20"/>
                <w:szCs w:val="20"/>
                <w:color w:val="auto"/>
              </w:rPr>
            </w:pPr>
            <w:r>
              <w:rPr>
                <w:rFonts w:ascii="Arial" w:cs="Arial" w:eastAsia="Arial" w:hAnsi="Arial"/>
                <w:sz w:val="17"/>
                <w:szCs w:val="17"/>
                <w:b w:val="1"/>
                <w:bCs w:val="1"/>
                <w:color w:val="00539B"/>
                <w:w w:val="84"/>
              </w:rPr>
              <w:t>$</w:t>
            </w:r>
          </w:p>
        </w:tc>
        <w:tc>
          <w:tcPr>
            <w:tcW w:w="1340" w:type="dxa"/>
            <w:vAlign w:val="bottom"/>
          </w:tcPr>
          <w:p>
            <w:pPr>
              <w:jc w:val="right"/>
              <w:ind w:right="56"/>
              <w:spacing w:after="0"/>
              <w:rPr>
                <w:sz w:val="20"/>
                <w:szCs w:val="20"/>
                <w:color w:val="auto"/>
              </w:rPr>
            </w:pPr>
            <w:r>
              <w:rPr>
                <w:rFonts w:ascii="Arial" w:cs="Arial" w:eastAsia="Arial" w:hAnsi="Arial"/>
                <w:sz w:val="17"/>
                <w:szCs w:val="17"/>
                <w:b w:val="1"/>
                <w:bCs w:val="1"/>
                <w:color w:val="00539B"/>
              </w:rPr>
              <w:t>19.08</w:t>
            </w:r>
          </w:p>
        </w:tc>
        <w:tc>
          <w:tcPr>
            <w:tcW w:w="280" w:type="dxa"/>
            <w:vAlign w:val="bottom"/>
          </w:tcPr>
          <w:p>
            <w:pPr>
              <w:jc w:val="right"/>
              <w:ind w:right="96"/>
              <w:spacing w:after="0"/>
              <w:rPr>
                <w:sz w:val="20"/>
                <w:szCs w:val="20"/>
                <w:color w:val="auto"/>
              </w:rPr>
            </w:pPr>
            <w:r>
              <w:rPr>
                <w:rFonts w:ascii="Arial" w:cs="Arial" w:eastAsia="Arial" w:hAnsi="Arial"/>
                <w:sz w:val="17"/>
                <w:szCs w:val="17"/>
                <w:color w:val="auto"/>
                <w:w w:val="84"/>
              </w:rPr>
              <w:t>$</w:t>
            </w:r>
          </w:p>
        </w:tc>
        <w:tc>
          <w:tcPr>
            <w:tcW w:w="1360" w:type="dxa"/>
            <w:vAlign w:val="bottom"/>
          </w:tcPr>
          <w:p>
            <w:pPr>
              <w:jc w:val="right"/>
              <w:ind w:right="36"/>
              <w:spacing w:after="0"/>
              <w:rPr>
                <w:sz w:val="20"/>
                <w:szCs w:val="20"/>
                <w:color w:val="auto"/>
              </w:rPr>
            </w:pPr>
            <w:r>
              <w:rPr>
                <w:rFonts w:ascii="Arial" w:cs="Arial" w:eastAsia="Arial" w:hAnsi="Arial"/>
                <w:sz w:val="17"/>
                <w:szCs w:val="17"/>
                <w:color w:val="auto"/>
              </w:rPr>
              <w:t>24.41</w:t>
            </w:r>
          </w:p>
        </w:tc>
        <w:tc>
          <w:tcPr>
            <w:tcW w:w="340" w:type="dxa"/>
            <w:vAlign w:val="bottom"/>
          </w:tcPr>
          <w:p>
            <w:pPr>
              <w:jc w:val="right"/>
              <w:ind w:right="136"/>
              <w:spacing w:after="0"/>
              <w:rPr>
                <w:sz w:val="20"/>
                <w:szCs w:val="20"/>
                <w:color w:val="auto"/>
              </w:rPr>
            </w:pPr>
            <w:r>
              <w:rPr>
                <w:rFonts w:ascii="Arial" w:cs="Arial" w:eastAsia="Arial" w:hAnsi="Arial"/>
                <w:sz w:val="17"/>
                <w:szCs w:val="17"/>
                <w:b w:val="1"/>
                <w:bCs w:val="1"/>
                <w:color w:val="00539B"/>
              </w:rPr>
              <w:t>$</w:t>
            </w:r>
          </w:p>
        </w:tc>
        <w:tc>
          <w:tcPr>
            <w:tcW w:w="1320" w:type="dxa"/>
            <w:vAlign w:val="bottom"/>
          </w:tcPr>
          <w:p>
            <w:pPr>
              <w:jc w:val="right"/>
              <w:ind w:right="36"/>
              <w:spacing w:after="0"/>
              <w:rPr>
                <w:sz w:val="20"/>
                <w:szCs w:val="20"/>
                <w:color w:val="auto"/>
              </w:rPr>
            </w:pPr>
            <w:r>
              <w:rPr>
                <w:rFonts w:ascii="Arial" w:cs="Arial" w:eastAsia="Arial" w:hAnsi="Arial"/>
                <w:sz w:val="17"/>
                <w:szCs w:val="17"/>
                <w:b w:val="1"/>
                <w:bCs w:val="1"/>
                <w:color w:val="00539B"/>
              </w:rPr>
              <w:t>21.67</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500" w:type="dxa"/>
            <w:vAlign w:val="bottom"/>
          </w:tcPr>
          <w:p>
            <w:pPr>
              <w:jc w:val="right"/>
              <w:ind w:right="36"/>
              <w:spacing w:after="0"/>
              <w:rPr>
                <w:sz w:val="20"/>
                <w:szCs w:val="20"/>
                <w:color w:val="auto"/>
              </w:rPr>
            </w:pPr>
            <w:r>
              <w:rPr>
                <w:rFonts w:ascii="Arial" w:cs="Arial" w:eastAsia="Arial" w:hAnsi="Arial"/>
                <w:sz w:val="17"/>
                <w:szCs w:val="17"/>
                <w:color w:val="auto"/>
              </w:rPr>
              <w:t>40.90</w:t>
            </w:r>
          </w:p>
        </w:tc>
        <w:tc>
          <w:tcPr>
            <w:tcW w:w="0" w:type="dxa"/>
            <w:vAlign w:val="bottom"/>
          </w:tcPr>
          <w:p>
            <w:pPr>
              <w:spacing w:after="0"/>
              <w:rPr>
                <w:sz w:val="1"/>
                <w:szCs w:val="1"/>
                <w:color w:val="auto"/>
              </w:rPr>
            </w:pPr>
          </w:p>
        </w:tc>
      </w:tr>
      <w:tr>
        <w:trPr>
          <w:trHeight w:val="235"/>
        </w:trPr>
        <w:tc>
          <w:tcPr>
            <w:tcW w:w="4600" w:type="dxa"/>
            <w:vAlign w:val="bottom"/>
          </w:tcPr>
          <w:p>
            <w:pPr>
              <w:ind w:left="20"/>
              <w:spacing w:after="0"/>
              <w:rPr>
                <w:sz w:val="20"/>
                <w:szCs w:val="20"/>
                <w:color w:val="auto"/>
              </w:rPr>
            </w:pPr>
            <w:r>
              <w:rPr>
                <w:rFonts w:ascii="Arial" w:cs="Arial" w:eastAsia="Arial" w:hAnsi="Arial"/>
                <w:sz w:val="17"/>
                <w:szCs w:val="17"/>
                <w:b w:val="1"/>
                <w:bCs w:val="1"/>
                <w:color w:val="auto"/>
              </w:rPr>
              <w:t>Natural Gas ($/Mcf)</w:t>
            </w:r>
          </w:p>
        </w:tc>
        <w:tc>
          <w:tcPr>
            <w:tcW w:w="320" w:type="dxa"/>
            <w:vAlign w:val="bottom"/>
            <w:vMerge w:val="restart"/>
          </w:tcPr>
          <w:p>
            <w:pPr>
              <w:jc w:val="right"/>
              <w:ind w:right="136"/>
              <w:spacing w:after="0"/>
              <w:rPr>
                <w:sz w:val="20"/>
                <w:szCs w:val="20"/>
                <w:color w:val="auto"/>
              </w:rPr>
            </w:pPr>
            <w:r>
              <w:rPr>
                <w:rFonts w:ascii="Arial" w:cs="Arial" w:eastAsia="Arial" w:hAnsi="Arial"/>
                <w:sz w:val="17"/>
                <w:szCs w:val="17"/>
                <w:b w:val="1"/>
                <w:bCs w:val="1"/>
                <w:color w:val="00539B"/>
                <w:w w:val="84"/>
              </w:rPr>
              <w:t>$</w:t>
            </w:r>
          </w:p>
        </w:tc>
        <w:tc>
          <w:tcPr>
            <w:tcW w:w="1340" w:type="dxa"/>
            <w:vAlign w:val="bottom"/>
            <w:vMerge w:val="restart"/>
          </w:tcPr>
          <w:p>
            <w:pPr>
              <w:jc w:val="right"/>
              <w:ind w:right="56"/>
              <w:spacing w:after="0"/>
              <w:rPr>
                <w:sz w:val="20"/>
                <w:szCs w:val="20"/>
                <w:color w:val="auto"/>
              </w:rPr>
            </w:pPr>
            <w:r>
              <w:rPr>
                <w:rFonts w:ascii="Arial" w:cs="Arial" w:eastAsia="Arial" w:hAnsi="Arial"/>
                <w:sz w:val="17"/>
                <w:szCs w:val="17"/>
                <w:b w:val="1"/>
                <w:bCs w:val="1"/>
                <w:color w:val="00539B"/>
              </w:rPr>
              <w:t>1.36</w:t>
            </w:r>
          </w:p>
        </w:tc>
        <w:tc>
          <w:tcPr>
            <w:tcW w:w="2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40" w:type="dxa"/>
            <w:vAlign w:val="bottom"/>
            <w:vMerge w:val="restart"/>
          </w:tcPr>
          <w:p>
            <w:pPr>
              <w:jc w:val="right"/>
              <w:ind w:right="136"/>
              <w:spacing w:after="0"/>
              <w:rPr>
                <w:sz w:val="20"/>
                <w:szCs w:val="20"/>
                <w:color w:val="auto"/>
              </w:rPr>
            </w:pPr>
            <w:r>
              <w:rPr>
                <w:rFonts w:ascii="Arial" w:cs="Arial" w:eastAsia="Arial" w:hAnsi="Arial"/>
                <w:sz w:val="17"/>
                <w:szCs w:val="17"/>
                <w:b w:val="1"/>
                <w:bCs w:val="1"/>
                <w:color w:val="00539B"/>
              </w:rPr>
              <w:t>$</w:t>
            </w:r>
          </w:p>
        </w:tc>
        <w:tc>
          <w:tcPr>
            <w:tcW w:w="1320" w:type="dxa"/>
            <w:vAlign w:val="bottom"/>
            <w:vMerge w:val="restart"/>
          </w:tcPr>
          <w:p>
            <w:pPr>
              <w:jc w:val="right"/>
              <w:ind w:right="36"/>
              <w:spacing w:after="0"/>
              <w:rPr>
                <w:sz w:val="20"/>
                <w:szCs w:val="20"/>
                <w:color w:val="auto"/>
              </w:rPr>
            </w:pPr>
            <w:r>
              <w:rPr>
                <w:rFonts w:ascii="Arial" w:cs="Arial" w:eastAsia="Arial" w:hAnsi="Arial"/>
                <w:sz w:val="17"/>
                <w:szCs w:val="17"/>
                <w:b w:val="1"/>
                <w:bCs w:val="1"/>
                <w:color w:val="00539B"/>
              </w:rPr>
              <w:t>2.18</w:t>
            </w:r>
          </w:p>
        </w:tc>
        <w:tc>
          <w:tcPr>
            <w:tcW w:w="1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4600" w:type="dxa"/>
            <w:vAlign w:val="bottom"/>
          </w:tcPr>
          <w:p>
            <w:pPr>
              <w:ind w:left="220"/>
              <w:spacing w:after="0"/>
              <w:rPr>
                <w:sz w:val="20"/>
                <w:szCs w:val="20"/>
                <w:color w:val="auto"/>
              </w:rPr>
            </w:pPr>
            <w:r>
              <w:rPr>
                <w:rFonts w:ascii="Arial" w:cs="Arial" w:eastAsia="Arial" w:hAnsi="Arial"/>
                <w:sz w:val="17"/>
                <w:szCs w:val="17"/>
                <w:color w:val="auto"/>
              </w:rPr>
              <w:t>United States</w:t>
            </w:r>
          </w:p>
        </w:tc>
        <w:tc>
          <w:tcPr>
            <w:tcW w:w="320" w:type="dxa"/>
            <w:vAlign w:val="bottom"/>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80" w:type="dxa"/>
            <w:vAlign w:val="bottom"/>
          </w:tcPr>
          <w:p>
            <w:pPr>
              <w:jc w:val="right"/>
              <w:ind w:right="96"/>
              <w:spacing w:after="0"/>
              <w:rPr>
                <w:sz w:val="20"/>
                <w:szCs w:val="20"/>
                <w:color w:val="auto"/>
              </w:rPr>
            </w:pPr>
            <w:r>
              <w:rPr>
                <w:rFonts w:ascii="Arial" w:cs="Arial" w:eastAsia="Arial" w:hAnsi="Arial"/>
                <w:sz w:val="17"/>
                <w:szCs w:val="17"/>
                <w:color w:val="auto"/>
                <w:w w:val="84"/>
              </w:rPr>
              <w:t>$</w:t>
            </w:r>
          </w:p>
        </w:tc>
        <w:tc>
          <w:tcPr>
            <w:tcW w:w="1360" w:type="dxa"/>
            <w:vAlign w:val="bottom"/>
          </w:tcPr>
          <w:p>
            <w:pPr>
              <w:jc w:val="right"/>
              <w:ind w:right="36"/>
              <w:spacing w:after="0"/>
              <w:rPr>
                <w:sz w:val="20"/>
                <w:szCs w:val="20"/>
                <w:color w:val="auto"/>
              </w:rPr>
            </w:pPr>
            <w:r>
              <w:rPr>
                <w:rFonts w:ascii="Arial" w:cs="Arial" w:eastAsia="Arial" w:hAnsi="Arial"/>
                <w:sz w:val="17"/>
                <w:szCs w:val="17"/>
                <w:color w:val="auto"/>
              </w:rPr>
              <w:t>3.01</w:t>
            </w:r>
          </w:p>
        </w:tc>
        <w:tc>
          <w:tcPr>
            <w:tcW w:w="340" w:type="dxa"/>
            <w:vAlign w:val="bottom"/>
            <w:vMerge w:val="continue"/>
          </w:tcPr>
          <w:p>
            <w:pPr>
              <w:spacing w:after="0"/>
              <w:rPr>
                <w:sz w:val="19"/>
                <w:szCs w:val="19"/>
                <w:color w:val="auto"/>
              </w:rPr>
            </w:pPr>
          </w:p>
        </w:tc>
        <w:tc>
          <w:tcPr>
            <w:tcW w:w="1320" w:type="dxa"/>
            <w:vAlign w:val="bottom"/>
            <w:vMerge w:val="continue"/>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500" w:type="dxa"/>
            <w:vAlign w:val="bottom"/>
          </w:tcPr>
          <w:p>
            <w:pPr>
              <w:jc w:val="right"/>
              <w:ind w:right="36"/>
              <w:spacing w:after="0"/>
              <w:rPr>
                <w:sz w:val="20"/>
                <w:szCs w:val="20"/>
                <w:color w:val="auto"/>
              </w:rPr>
            </w:pPr>
            <w:r>
              <w:rPr>
                <w:rFonts w:ascii="Arial" w:cs="Arial" w:eastAsia="Arial" w:hAnsi="Arial"/>
                <w:sz w:val="17"/>
                <w:szCs w:val="17"/>
                <w:color w:val="auto"/>
              </w:rPr>
              <w:t>5.20</w:t>
            </w:r>
          </w:p>
        </w:tc>
        <w:tc>
          <w:tcPr>
            <w:tcW w:w="0" w:type="dxa"/>
            <w:vAlign w:val="bottom"/>
          </w:tcPr>
          <w:p>
            <w:pPr>
              <w:spacing w:after="0"/>
              <w:rPr>
                <w:sz w:val="1"/>
                <w:szCs w:val="1"/>
                <w:color w:val="auto"/>
              </w:rPr>
            </w:pPr>
          </w:p>
        </w:tc>
      </w:tr>
      <w:tr>
        <w:trPr>
          <w:trHeight w:val="213"/>
        </w:trPr>
        <w:tc>
          <w:tcPr>
            <w:tcW w:w="4600" w:type="dxa"/>
            <w:vAlign w:val="bottom"/>
          </w:tcPr>
          <w:p>
            <w:pPr>
              <w:ind w:left="220"/>
              <w:spacing w:after="0"/>
              <w:rPr>
                <w:sz w:val="20"/>
                <w:szCs w:val="20"/>
                <w:color w:val="auto"/>
              </w:rPr>
            </w:pPr>
            <w:r>
              <w:rPr>
                <w:rFonts w:ascii="Arial" w:cs="Arial" w:eastAsia="Arial" w:hAnsi="Arial"/>
                <w:sz w:val="17"/>
                <w:szCs w:val="17"/>
                <w:color w:val="auto"/>
              </w:rPr>
              <w:t>International</w:t>
            </w:r>
          </w:p>
        </w:tc>
        <w:tc>
          <w:tcPr>
            <w:tcW w:w="320" w:type="dxa"/>
            <w:vAlign w:val="bottom"/>
          </w:tcPr>
          <w:p>
            <w:pPr>
              <w:jc w:val="right"/>
              <w:ind w:right="136"/>
              <w:spacing w:after="0"/>
              <w:rPr>
                <w:sz w:val="20"/>
                <w:szCs w:val="20"/>
                <w:color w:val="auto"/>
              </w:rPr>
            </w:pPr>
            <w:r>
              <w:rPr>
                <w:rFonts w:ascii="Arial" w:cs="Arial" w:eastAsia="Arial" w:hAnsi="Arial"/>
                <w:sz w:val="17"/>
                <w:szCs w:val="17"/>
                <w:b w:val="1"/>
                <w:bCs w:val="1"/>
                <w:color w:val="00539B"/>
                <w:w w:val="84"/>
              </w:rPr>
              <w:t>$</w:t>
            </w:r>
          </w:p>
        </w:tc>
        <w:tc>
          <w:tcPr>
            <w:tcW w:w="1340" w:type="dxa"/>
            <w:vAlign w:val="bottom"/>
          </w:tcPr>
          <w:p>
            <w:pPr>
              <w:jc w:val="right"/>
              <w:ind w:right="56"/>
              <w:spacing w:after="0"/>
              <w:rPr>
                <w:sz w:val="20"/>
                <w:szCs w:val="20"/>
                <w:color w:val="auto"/>
              </w:rPr>
            </w:pPr>
            <w:r>
              <w:rPr>
                <w:rFonts w:ascii="Arial" w:cs="Arial" w:eastAsia="Arial" w:hAnsi="Arial"/>
                <w:sz w:val="17"/>
                <w:szCs w:val="17"/>
                <w:b w:val="1"/>
                <w:bCs w:val="1"/>
                <w:color w:val="00539B"/>
              </w:rPr>
              <w:t>1.88</w:t>
            </w:r>
          </w:p>
        </w:tc>
        <w:tc>
          <w:tcPr>
            <w:tcW w:w="280" w:type="dxa"/>
            <w:vAlign w:val="bottom"/>
          </w:tcPr>
          <w:p>
            <w:pPr>
              <w:jc w:val="right"/>
              <w:ind w:right="96"/>
              <w:spacing w:after="0"/>
              <w:rPr>
                <w:sz w:val="20"/>
                <w:szCs w:val="20"/>
                <w:color w:val="auto"/>
              </w:rPr>
            </w:pPr>
            <w:r>
              <w:rPr>
                <w:rFonts w:ascii="Arial" w:cs="Arial" w:eastAsia="Arial" w:hAnsi="Arial"/>
                <w:sz w:val="17"/>
                <w:szCs w:val="17"/>
                <w:color w:val="auto"/>
                <w:w w:val="84"/>
              </w:rPr>
              <w:t>$</w:t>
            </w:r>
          </w:p>
        </w:tc>
        <w:tc>
          <w:tcPr>
            <w:tcW w:w="1360" w:type="dxa"/>
            <w:vAlign w:val="bottom"/>
          </w:tcPr>
          <w:p>
            <w:pPr>
              <w:jc w:val="right"/>
              <w:ind w:right="36"/>
              <w:spacing w:after="0"/>
              <w:rPr>
                <w:sz w:val="20"/>
                <w:szCs w:val="20"/>
                <w:color w:val="auto"/>
              </w:rPr>
            </w:pPr>
            <w:r>
              <w:rPr>
                <w:rFonts w:ascii="Arial" w:cs="Arial" w:eastAsia="Arial" w:hAnsi="Arial"/>
                <w:sz w:val="17"/>
                <w:szCs w:val="17"/>
                <w:color w:val="auto"/>
              </w:rPr>
              <w:t>1.95</w:t>
            </w:r>
          </w:p>
        </w:tc>
        <w:tc>
          <w:tcPr>
            <w:tcW w:w="340" w:type="dxa"/>
            <w:vAlign w:val="bottom"/>
          </w:tcPr>
          <w:p>
            <w:pPr>
              <w:jc w:val="right"/>
              <w:ind w:right="136"/>
              <w:spacing w:after="0"/>
              <w:rPr>
                <w:sz w:val="20"/>
                <w:szCs w:val="20"/>
                <w:color w:val="auto"/>
              </w:rPr>
            </w:pPr>
            <w:r>
              <w:rPr>
                <w:rFonts w:ascii="Arial" w:cs="Arial" w:eastAsia="Arial" w:hAnsi="Arial"/>
                <w:sz w:val="17"/>
                <w:szCs w:val="17"/>
                <w:b w:val="1"/>
                <w:bCs w:val="1"/>
                <w:color w:val="00539B"/>
              </w:rPr>
              <w:t>$</w:t>
            </w:r>
          </w:p>
        </w:tc>
        <w:tc>
          <w:tcPr>
            <w:tcW w:w="1320" w:type="dxa"/>
            <w:vAlign w:val="bottom"/>
          </w:tcPr>
          <w:p>
            <w:pPr>
              <w:jc w:val="right"/>
              <w:ind w:right="36"/>
              <w:spacing w:after="0"/>
              <w:rPr>
                <w:sz w:val="20"/>
                <w:szCs w:val="20"/>
                <w:color w:val="auto"/>
              </w:rPr>
            </w:pPr>
            <w:r>
              <w:rPr>
                <w:rFonts w:ascii="Arial" w:cs="Arial" w:eastAsia="Arial" w:hAnsi="Arial"/>
                <w:sz w:val="17"/>
                <w:szCs w:val="17"/>
                <w:b w:val="1"/>
                <w:bCs w:val="1"/>
                <w:color w:val="00539B"/>
              </w:rPr>
              <w:t>1.91</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500" w:type="dxa"/>
            <w:vAlign w:val="bottom"/>
          </w:tcPr>
          <w:p>
            <w:pPr>
              <w:jc w:val="right"/>
              <w:ind w:right="36"/>
              <w:spacing w:after="0"/>
              <w:rPr>
                <w:sz w:val="20"/>
                <w:szCs w:val="20"/>
                <w:color w:val="auto"/>
              </w:rPr>
            </w:pPr>
            <w:r>
              <w:rPr>
                <w:rFonts w:ascii="Arial" w:cs="Arial" w:eastAsia="Arial" w:hAnsi="Arial"/>
                <w:sz w:val="17"/>
                <w:szCs w:val="17"/>
                <w:color w:val="auto"/>
              </w:rPr>
              <w:t>1.87</w:t>
            </w:r>
          </w:p>
        </w:tc>
        <w:tc>
          <w:tcPr>
            <w:tcW w:w="0" w:type="dxa"/>
            <w:vAlign w:val="bottom"/>
          </w:tcPr>
          <w:p>
            <w:pPr>
              <w:spacing w:after="0"/>
              <w:rPr>
                <w:sz w:val="1"/>
                <w:szCs w:val="1"/>
                <w:color w:val="auto"/>
              </w:rPr>
            </w:pPr>
          </w:p>
        </w:tc>
      </w:tr>
      <w:tr>
        <w:trPr>
          <w:trHeight w:val="235"/>
        </w:trPr>
        <w:tc>
          <w:tcPr>
            <w:tcW w:w="4600" w:type="dxa"/>
            <w:vAlign w:val="bottom"/>
          </w:tcPr>
          <w:p>
            <w:pPr>
              <w:ind w:left="220"/>
              <w:spacing w:after="0"/>
              <w:rPr>
                <w:sz w:val="20"/>
                <w:szCs w:val="20"/>
                <w:color w:val="auto"/>
              </w:rPr>
            </w:pPr>
            <w:r>
              <w:rPr>
                <w:rFonts w:ascii="Arial" w:cs="Arial" w:eastAsia="Arial" w:hAnsi="Arial"/>
                <w:sz w:val="17"/>
                <w:szCs w:val="17"/>
                <w:color w:val="auto"/>
              </w:rPr>
              <w:t>Total Worldwide</w:t>
            </w:r>
          </w:p>
        </w:tc>
        <w:tc>
          <w:tcPr>
            <w:tcW w:w="320" w:type="dxa"/>
            <w:vAlign w:val="bottom"/>
          </w:tcPr>
          <w:p>
            <w:pPr>
              <w:jc w:val="right"/>
              <w:ind w:right="136"/>
              <w:spacing w:after="0"/>
              <w:rPr>
                <w:sz w:val="20"/>
                <w:szCs w:val="20"/>
                <w:color w:val="auto"/>
              </w:rPr>
            </w:pPr>
            <w:r>
              <w:rPr>
                <w:rFonts w:ascii="Arial" w:cs="Arial" w:eastAsia="Arial" w:hAnsi="Arial"/>
                <w:sz w:val="17"/>
                <w:szCs w:val="17"/>
                <w:b w:val="1"/>
                <w:bCs w:val="1"/>
                <w:color w:val="00539B"/>
                <w:w w:val="84"/>
              </w:rPr>
              <w:t>$</w:t>
            </w:r>
          </w:p>
        </w:tc>
        <w:tc>
          <w:tcPr>
            <w:tcW w:w="1340" w:type="dxa"/>
            <w:vAlign w:val="bottom"/>
          </w:tcPr>
          <w:p>
            <w:pPr>
              <w:jc w:val="right"/>
              <w:ind w:right="56"/>
              <w:spacing w:after="0"/>
              <w:rPr>
                <w:sz w:val="20"/>
                <w:szCs w:val="20"/>
                <w:color w:val="auto"/>
              </w:rPr>
            </w:pPr>
            <w:r>
              <w:rPr>
                <w:rFonts w:ascii="Arial" w:cs="Arial" w:eastAsia="Arial" w:hAnsi="Arial"/>
                <w:sz w:val="17"/>
                <w:szCs w:val="17"/>
                <w:b w:val="1"/>
                <w:bCs w:val="1"/>
                <w:color w:val="00539B"/>
              </w:rPr>
              <w:t>1.50</w:t>
            </w:r>
          </w:p>
        </w:tc>
        <w:tc>
          <w:tcPr>
            <w:tcW w:w="280" w:type="dxa"/>
            <w:vAlign w:val="bottom"/>
          </w:tcPr>
          <w:p>
            <w:pPr>
              <w:jc w:val="right"/>
              <w:ind w:right="96"/>
              <w:spacing w:after="0"/>
              <w:rPr>
                <w:sz w:val="20"/>
                <w:szCs w:val="20"/>
                <w:color w:val="auto"/>
              </w:rPr>
            </w:pPr>
            <w:r>
              <w:rPr>
                <w:rFonts w:ascii="Arial" w:cs="Arial" w:eastAsia="Arial" w:hAnsi="Arial"/>
                <w:sz w:val="17"/>
                <w:szCs w:val="17"/>
                <w:color w:val="auto"/>
                <w:w w:val="84"/>
              </w:rPr>
              <w:t>$</w:t>
            </w:r>
          </w:p>
        </w:tc>
        <w:tc>
          <w:tcPr>
            <w:tcW w:w="1360" w:type="dxa"/>
            <w:vAlign w:val="bottom"/>
          </w:tcPr>
          <w:p>
            <w:pPr>
              <w:jc w:val="right"/>
              <w:ind w:right="36"/>
              <w:spacing w:after="0"/>
              <w:rPr>
                <w:sz w:val="20"/>
                <w:szCs w:val="20"/>
                <w:color w:val="auto"/>
              </w:rPr>
            </w:pPr>
            <w:r>
              <w:rPr>
                <w:rFonts w:ascii="Arial" w:cs="Arial" w:eastAsia="Arial" w:hAnsi="Arial"/>
                <w:sz w:val="17"/>
                <w:szCs w:val="17"/>
                <w:color w:val="auto"/>
              </w:rPr>
              <w:t>2.76</w:t>
            </w:r>
          </w:p>
        </w:tc>
        <w:tc>
          <w:tcPr>
            <w:tcW w:w="340" w:type="dxa"/>
            <w:vAlign w:val="bottom"/>
          </w:tcPr>
          <w:p>
            <w:pPr>
              <w:jc w:val="right"/>
              <w:ind w:right="136"/>
              <w:spacing w:after="0"/>
              <w:rPr>
                <w:sz w:val="20"/>
                <w:szCs w:val="20"/>
                <w:color w:val="auto"/>
              </w:rPr>
            </w:pPr>
            <w:r>
              <w:rPr>
                <w:rFonts w:ascii="Arial" w:cs="Arial" w:eastAsia="Arial" w:hAnsi="Arial"/>
                <w:sz w:val="17"/>
                <w:szCs w:val="17"/>
                <w:b w:val="1"/>
                <w:bCs w:val="1"/>
                <w:color w:val="00539B"/>
              </w:rPr>
              <w:t>$</w:t>
            </w:r>
          </w:p>
        </w:tc>
        <w:tc>
          <w:tcPr>
            <w:tcW w:w="1320" w:type="dxa"/>
            <w:vAlign w:val="bottom"/>
          </w:tcPr>
          <w:p>
            <w:pPr>
              <w:jc w:val="right"/>
              <w:ind w:right="36"/>
              <w:spacing w:after="0"/>
              <w:rPr>
                <w:sz w:val="20"/>
                <w:szCs w:val="20"/>
                <w:color w:val="auto"/>
              </w:rPr>
            </w:pPr>
            <w:r>
              <w:rPr>
                <w:rFonts w:ascii="Arial" w:cs="Arial" w:eastAsia="Arial" w:hAnsi="Arial"/>
                <w:sz w:val="17"/>
                <w:szCs w:val="17"/>
                <w:b w:val="1"/>
                <w:bCs w:val="1"/>
                <w:color w:val="00539B"/>
              </w:rPr>
              <w:t>2.11</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500" w:type="dxa"/>
            <w:vAlign w:val="bottom"/>
          </w:tcPr>
          <w:p>
            <w:pPr>
              <w:jc w:val="right"/>
              <w:ind w:right="36"/>
              <w:spacing w:after="0"/>
              <w:rPr>
                <w:sz w:val="20"/>
                <w:szCs w:val="20"/>
                <w:color w:val="auto"/>
              </w:rPr>
            </w:pPr>
            <w:r>
              <w:rPr>
                <w:rFonts w:ascii="Arial" w:cs="Arial" w:eastAsia="Arial" w:hAnsi="Arial"/>
                <w:sz w:val="17"/>
                <w:szCs w:val="17"/>
                <w:color w:val="auto"/>
              </w:rPr>
              <w:t>4.37</w:t>
            </w:r>
          </w:p>
        </w:tc>
        <w:tc>
          <w:tcPr>
            <w:tcW w:w="0" w:type="dxa"/>
            <w:vAlign w:val="bottom"/>
          </w:tcPr>
          <w:p>
            <w:pPr>
              <w:spacing w:after="0"/>
              <w:rPr>
                <w:sz w:val="1"/>
                <w:szCs w:val="1"/>
                <w:color w:val="auto"/>
              </w:rPr>
            </w:pPr>
          </w:p>
        </w:tc>
      </w:tr>
      <w:tr>
        <w:trPr>
          <w:trHeight w:val="467"/>
        </w:trPr>
        <w:tc>
          <w:tcPr>
            <w:tcW w:w="4600" w:type="dxa"/>
            <w:vAlign w:val="bottom"/>
          </w:tcPr>
          <w:p>
            <w:pPr>
              <w:ind w:left="20"/>
              <w:spacing w:after="0"/>
              <w:rPr>
                <w:sz w:val="20"/>
                <w:szCs w:val="20"/>
                <w:color w:val="auto"/>
              </w:rPr>
            </w:pPr>
            <w:r>
              <w:rPr>
                <w:rFonts w:ascii="Arial" w:cs="Arial" w:eastAsia="Arial" w:hAnsi="Arial"/>
                <w:sz w:val="17"/>
                <w:szCs w:val="17"/>
                <w:b w:val="1"/>
                <w:bCs w:val="1"/>
                <w:color w:val="auto"/>
              </w:rPr>
              <w:t>Average Index Prices</w:t>
            </w:r>
          </w:p>
        </w:tc>
        <w:tc>
          <w:tcPr>
            <w:tcW w:w="320" w:type="dxa"/>
            <w:vAlign w:val="bottom"/>
            <w:vMerge w:val="restart"/>
          </w:tcPr>
          <w:p>
            <w:pPr>
              <w:jc w:val="right"/>
              <w:ind w:right="136"/>
              <w:spacing w:after="0"/>
              <w:rPr>
                <w:sz w:val="20"/>
                <w:szCs w:val="20"/>
                <w:color w:val="auto"/>
              </w:rPr>
            </w:pPr>
            <w:r>
              <w:rPr>
                <w:rFonts w:ascii="Arial" w:cs="Arial" w:eastAsia="Arial" w:hAnsi="Arial"/>
                <w:sz w:val="17"/>
                <w:szCs w:val="17"/>
                <w:b w:val="1"/>
                <w:bCs w:val="1"/>
                <w:color w:val="00539B"/>
                <w:w w:val="84"/>
              </w:rPr>
              <w:t>$</w:t>
            </w:r>
          </w:p>
        </w:tc>
        <w:tc>
          <w:tcPr>
            <w:tcW w:w="1340" w:type="dxa"/>
            <w:vAlign w:val="bottom"/>
            <w:vMerge w:val="restart"/>
          </w:tcPr>
          <w:p>
            <w:pPr>
              <w:jc w:val="right"/>
              <w:ind w:right="56"/>
              <w:spacing w:after="0"/>
              <w:rPr>
                <w:sz w:val="20"/>
                <w:szCs w:val="20"/>
                <w:color w:val="auto"/>
              </w:rPr>
            </w:pPr>
            <w:r>
              <w:rPr>
                <w:rFonts w:ascii="Arial" w:cs="Arial" w:eastAsia="Arial" w:hAnsi="Arial"/>
                <w:sz w:val="17"/>
                <w:szCs w:val="17"/>
                <w:b w:val="1"/>
                <w:bCs w:val="1"/>
                <w:color w:val="00539B"/>
              </w:rPr>
              <w:t>73.83</w:t>
            </w: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40" w:type="dxa"/>
            <w:vAlign w:val="bottom"/>
            <w:vMerge w:val="restart"/>
          </w:tcPr>
          <w:p>
            <w:pPr>
              <w:jc w:val="right"/>
              <w:ind w:right="136"/>
              <w:spacing w:after="0"/>
              <w:rPr>
                <w:sz w:val="20"/>
                <w:szCs w:val="20"/>
                <w:color w:val="auto"/>
              </w:rPr>
            </w:pPr>
            <w:r>
              <w:rPr>
                <w:rFonts w:ascii="Arial" w:cs="Arial" w:eastAsia="Arial" w:hAnsi="Arial"/>
                <w:sz w:val="17"/>
                <w:szCs w:val="17"/>
                <w:b w:val="1"/>
                <w:bCs w:val="1"/>
                <w:color w:val="00539B"/>
              </w:rPr>
              <w:t>$</w:t>
            </w:r>
          </w:p>
        </w:tc>
        <w:tc>
          <w:tcPr>
            <w:tcW w:w="1320" w:type="dxa"/>
            <w:vAlign w:val="bottom"/>
            <w:vMerge w:val="restart"/>
          </w:tcPr>
          <w:p>
            <w:pPr>
              <w:jc w:val="right"/>
              <w:ind w:right="36"/>
              <w:spacing w:after="0"/>
              <w:rPr>
                <w:sz w:val="20"/>
                <w:szCs w:val="20"/>
                <w:color w:val="auto"/>
              </w:rPr>
            </w:pPr>
            <w:r>
              <w:rPr>
                <w:rFonts w:ascii="Arial" w:cs="Arial" w:eastAsia="Arial" w:hAnsi="Arial"/>
                <w:sz w:val="17"/>
                <w:szCs w:val="17"/>
                <w:b w:val="1"/>
                <w:bCs w:val="1"/>
                <w:color w:val="00539B"/>
              </w:rPr>
              <w:t>74.98</w:t>
            </w: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4600" w:type="dxa"/>
            <w:vAlign w:val="bottom"/>
          </w:tcPr>
          <w:p>
            <w:pPr>
              <w:ind w:left="20"/>
              <w:spacing w:after="0"/>
              <w:rPr>
                <w:sz w:val="20"/>
                <w:szCs w:val="20"/>
                <w:color w:val="auto"/>
              </w:rPr>
            </w:pPr>
            <w:r>
              <w:rPr>
                <w:rFonts w:ascii="Arial" w:cs="Arial" w:eastAsia="Arial" w:hAnsi="Arial"/>
                <w:sz w:val="17"/>
                <w:szCs w:val="17"/>
                <w:color w:val="auto"/>
              </w:rPr>
              <w:t>WTI oil ($/Bbl)</w:t>
            </w:r>
          </w:p>
        </w:tc>
        <w:tc>
          <w:tcPr>
            <w:tcW w:w="320" w:type="dxa"/>
            <w:vAlign w:val="bottom"/>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80" w:type="dxa"/>
            <w:vAlign w:val="bottom"/>
          </w:tcPr>
          <w:p>
            <w:pPr>
              <w:jc w:val="right"/>
              <w:ind w:right="96"/>
              <w:spacing w:after="0"/>
              <w:rPr>
                <w:sz w:val="20"/>
                <w:szCs w:val="20"/>
                <w:color w:val="auto"/>
              </w:rPr>
            </w:pPr>
            <w:r>
              <w:rPr>
                <w:rFonts w:ascii="Arial" w:cs="Arial" w:eastAsia="Arial" w:hAnsi="Arial"/>
                <w:sz w:val="17"/>
                <w:szCs w:val="17"/>
                <w:color w:val="auto"/>
                <w:w w:val="84"/>
              </w:rPr>
              <w:t>$</w:t>
            </w:r>
          </w:p>
        </w:tc>
        <w:tc>
          <w:tcPr>
            <w:tcW w:w="1360" w:type="dxa"/>
            <w:vAlign w:val="bottom"/>
          </w:tcPr>
          <w:p>
            <w:pPr>
              <w:jc w:val="right"/>
              <w:ind w:right="36"/>
              <w:spacing w:after="0"/>
              <w:rPr>
                <w:sz w:val="20"/>
                <w:szCs w:val="20"/>
                <w:color w:val="auto"/>
              </w:rPr>
            </w:pPr>
            <w:r>
              <w:rPr>
                <w:rFonts w:ascii="Arial" w:cs="Arial" w:eastAsia="Arial" w:hAnsi="Arial"/>
                <w:sz w:val="17"/>
                <w:szCs w:val="17"/>
                <w:color w:val="auto"/>
              </w:rPr>
              <w:t>76.13</w:t>
            </w:r>
          </w:p>
        </w:tc>
        <w:tc>
          <w:tcPr>
            <w:tcW w:w="340" w:type="dxa"/>
            <w:vAlign w:val="bottom"/>
            <w:vMerge w:val="continue"/>
          </w:tcPr>
          <w:p>
            <w:pPr>
              <w:spacing w:after="0"/>
              <w:rPr>
                <w:sz w:val="19"/>
                <w:szCs w:val="19"/>
                <w:color w:val="auto"/>
              </w:rPr>
            </w:pPr>
          </w:p>
        </w:tc>
        <w:tc>
          <w:tcPr>
            <w:tcW w:w="1320" w:type="dxa"/>
            <w:vAlign w:val="bottom"/>
            <w:vMerge w:val="continue"/>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500" w:type="dxa"/>
            <w:vAlign w:val="bottom"/>
          </w:tcPr>
          <w:p>
            <w:pPr>
              <w:jc w:val="right"/>
              <w:ind w:right="36"/>
              <w:spacing w:after="0"/>
              <w:rPr>
                <w:sz w:val="20"/>
                <w:szCs w:val="20"/>
                <w:color w:val="auto"/>
              </w:rPr>
            </w:pPr>
            <w:r>
              <w:rPr>
                <w:rFonts w:ascii="Arial" w:cs="Arial" w:eastAsia="Arial" w:hAnsi="Arial"/>
                <w:sz w:val="17"/>
                <w:szCs w:val="17"/>
                <w:color w:val="auto"/>
              </w:rPr>
              <w:t>101.35</w:t>
            </w:r>
          </w:p>
        </w:tc>
        <w:tc>
          <w:tcPr>
            <w:tcW w:w="0" w:type="dxa"/>
            <w:vAlign w:val="bottom"/>
          </w:tcPr>
          <w:p>
            <w:pPr>
              <w:spacing w:after="0"/>
              <w:rPr>
                <w:sz w:val="1"/>
                <w:szCs w:val="1"/>
                <w:color w:val="auto"/>
              </w:rPr>
            </w:pPr>
          </w:p>
        </w:tc>
      </w:tr>
      <w:tr>
        <w:trPr>
          <w:trHeight w:val="227"/>
        </w:trPr>
        <w:tc>
          <w:tcPr>
            <w:tcW w:w="4600" w:type="dxa"/>
            <w:vAlign w:val="bottom"/>
          </w:tcPr>
          <w:p>
            <w:pPr>
              <w:ind w:left="20"/>
              <w:spacing w:after="0"/>
              <w:rPr>
                <w:sz w:val="20"/>
                <w:szCs w:val="20"/>
                <w:color w:val="auto"/>
              </w:rPr>
            </w:pPr>
            <w:r>
              <w:rPr>
                <w:rFonts w:ascii="Arial" w:cs="Arial" w:eastAsia="Arial" w:hAnsi="Arial"/>
                <w:sz w:val="17"/>
                <w:szCs w:val="17"/>
                <w:color w:val="auto"/>
              </w:rPr>
              <w:t>Brent oil ($/Bbl)</w:t>
            </w:r>
          </w:p>
        </w:tc>
        <w:tc>
          <w:tcPr>
            <w:tcW w:w="320" w:type="dxa"/>
            <w:vAlign w:val="bottom"/>
          </w:tcPr>
          <w:p>
            <w:pPr>
              <w:jc w:val="right"/>
              <w:ind w:right="136"/>
              <w:spacing w:after="0"/>
              <w:rPr>
                <w:sz w:val="20"/>
                <w:szCs w:val="20"/>
                <w:color w:val="auto"/>
              </w:rPr>
            </w:pPr>
            <w:r>
              <w:rPr>
                <w:rFonts w:ascii="Arial" w:cs="Arial" w:eastAsia="Arial" w:hAnsi="Arial"/>
                <w:sz w:val="17"/>
                <w:szCs w:val="17"/>
                <w:b w:val="1"/>
                <w:bCs w:val="1"/>
                <w:color w:val="00539B"/>
                <w:w w:val="84"/>
              </w:rPr>
              <w:t>$</w:t>
            </w:r>
          </w:p>
        </w:tc>
        <w:tc>
          <w:tcPr>
            <w:tcW w:w="1340" w:type="dxa"/>
            <w:vAlign w:val="bottom"/>
          </w:tcPr>
          <w:p>
            <w:pPr>
              <w:jc w:val="right"/>
              <w:ind w:right="56"/>
              <w:spacing w:after="0"/>
              <w:rPr>
                <w:sz w:val="20"/>
                <w:szCs w:val="20"/>
                <w:color w:val="auto"/>
              </w:rPr>
            </w:pPr>
            <w:r>
              <w:rPr>
                <w:rFonts w:ascii="Arial" w:cs="Arial" w:eastAsia="Arial" w:hAnsi="Arial"/>
                <w:sz w:val="17"/>
                <w:szCs w:val="17"/>
                <w:b w:val="1"/>
                <w:bCs w:val="1"/>
                <w:color w:val="00539B"/>
              </w:rPr>
              <w:t>78.02</w:t>
            </w:r>
          </w:p>
        </w:tc>
        <w:tc>
          <w:tcPr>
            <w:tcW w:w="280" w:type="dxa"/>
            <w:vAlign w:val="bottom"/>
          </w:tcPr>
          <w:p>
            <w:pPr>
              <w:jc w:val="right"/>
              <w:ind w:right="96"/>
              <w:spacing w:after="0"/>
              <w:rPr>
                <w:sz w:val="20"/>
                <w:szCs w:val="20"/>
                <w:color w:val="auto"/>
              </w:rPr>
            </w:pPr>
            <w:r>
              <w:rPr>
                <w:rFonts w:ascii="Arial" w:cs="Arial" w:eastAsia="Arial" w:hAnsi="Arial"/>
                <w:sz w:val="17"/>
                <w:szCs w:val="17"/>
                <w:color w:val="auto"/>
                <w:w w:val="84"/>
              </w:rPr>
              <w:t>$</w:t>
            </w:r>
          </w:p>
        </w:tc>
        <w:tc>
          <w:tcPr>
            <w:tcW w:w="1360" w:type="dxa"/>
            <w:vAlign w:val="bottom"/>
          </w:tcPr>
          <w:p>
            <w:pPr>
              <w:jc w:val="right"/>
              <w:ind w:right="36"/>
              <w:spacing w:after="0"/>
              <w:rPr>
                <w:sz w:val="20"/>
                <w:szCs w:val="20"/>
                <w:color w:val="auto"/>
              </w:rPr>
            </w:pPr>
            <w:r>
              <w:rPr>
                <w:rFonts w:ascii="Arial" w:cs="Arial" w:eastAsia="Arial" w:hAnsi="Arial"/>
                <w:sz w:val="17"/>
                <w:szCs w:val="17"/>
                <w:color w:val="auto"/>
              </w:rPr>
              <w:t>82.20</w:t>
            </w:r>
          </w:p>
        </w:tc>
        <w:tc>
          <w:tcPr>
            <w:tcW w:w="340" w:type="dxa"/>
            <w:vAlign w:val="bottom"/>
          </w:tcPr>
          <w:p>
            <w:pPr>
              <w:jc w:val="right"/>
              <w:ind w:right="136"/>
              <w:spacing w:after="0"/>
              <w:rPr>
                <w:sz w:val="20"/>
                <w:szCs w:val="20"/>
                <w:color w:val="auto"/>
              </w:rPr>
            </w:pPr>
            <w:r>
              <w:rPr>
                <w:rFonts w:ascii="Arial" w:cs="Arial" w:eastAsia="Arial" w:hAnsi="Arial"/>
                <w:sz w:val="17"/>
                <w:szCs w:val="17"/>
                <w:b w:val="1"/>
                <w:bCs w:val="1"/>
                <w:color w:val="00539B"/>
              </w:rPr>
              <w:t>$</w:t>
            </w:r>
          </w:p>
        </w:tc>
        <w:tc>
          <w:tcPr>
            <w:tcW w:w="1320" w:type="dxa"/>
            <w:vAlign w:val="bottom"/>
          </w:tcPr>
          <w:p>
            <w:pPr>
              <w:jc w:val="right"/>
              <w:ind w:right="36"/>
              <w:spacing w:after="0"/>
              <w:rPr>
                <w:sz w:val="20"/>
                <w:szCs w:val="20"/>
                <w:color w:val="auto"/>
              </w:rPr>
            </w:pPr>
            <w:r>
              <w:rPr>
                <w:rFonts w:ascii="Arial" w:cs="Arial" w:eastAsia="Arial" w:hAnsi="Arial"/>
                <w:sz w:val="17"/>
                <w:szCs w:val="17"/>
                <w:b w:val="1"/>
                <w:bCs w:val="1"/>
                <w:color w:val="00539B"/>
              </w:rPr>
              <w:t>80.11</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500" w:type="dxa"/>
            <w:vAlign w:val="bottom"/>
          </w:tcPr>
          <w:p>
            <w:pPr>
              <w:jc w:val="right"/>
              <w:ind w:right="36"/>
              <w:spacing w:after="0"/>
              <w:rPr>
                <w:sz w:val="20"/>
                <w:szCs w:val="20"/>
                <w:color w:val="auto"/>
              </w:rPr>
            </w:pPr>
            <w:r>
              <w:rPr>
                <w:rFonts w:ascii="Arial" w:cs="Arial" w:eastAsia="Arial" w:hAnsi="Arial"/>
                <w:sz w:val="17"/>
                <w:szCs w:val="17"/>
                <w:color w:val="auto"/>
              </w:rPr>
              <w:t>104.53</w:t>
            </w:r>
          </w:p>
        </w:tc>
        <w:tc>
          <w:tcPr>
            <w:tcW w:w="0" w:type="dxa"/>
            <w:vAlign w:val="bottom"/>
          </w:tcPr>
          <w:p>
            <w:pPr>
              <w:spacing w:after="0"/>
              <w:rPr>
                <w:sz w:val="1"/>
                <w:szCs w:val="1"/>
                <w:color w:val="auto"/>
              </w:rPr>
            </w:pPr>
          </w:p>
        </w:tc>
      </w:tr>
      <w:tr>
        <w:trPr>
          <w:trHeight w:val="235"/>
        </w:trPr>
        <w:tc>
          <w:tcPr>
            <w:tcW w:w="4600" w:type="dxa"/>
            <w:vAlign w:val="bottom"/>
          </w:tcPr>
          <w:p>
            <w:pPr>
              <w:ind w:left="20"/>
              <w:spacing w:after="0"/>
              <w:rPr>
                <w:sz w:val="20"/>
                <w:szCs w:val="20"/>
                <w:color w:val="auto"/>
              </w:rPr>
            </w:pPr>
            <w:r>
              <w:rPr>
                <w:rFonts w:ascii="Arial" w:cs="Arial" w:eastAsia="Arial" w:hAnsi="Arial"/>
                <w:sz w:val="17"/>
                <w:szCs w:val="17"/>
                <w:color w:val="auto"/>
              </w:rPr>
              <w:t>NYMEX gas ($/Mcf)</w:t>
            </w:r>
          </w:p>
        </w:tc>
        <w:tc>
          <w:tcPr>
            <w:tcW w:w="320" w:type="dxa"/>
            <w:vAlign w:val="bottom"/>
          </w:tcPr>
          <w:p>
            <w:pPr>
              <w:jc w:val="right"/>
              <w:ind w:right="136"/>
              <w:spacing w:after="0"/>
              <w:rPr>
                <w:sz w:val="20"/>
                <w:szCs w:val="20"/>
                <w:color w:val="auto"/>
              </w:rPr>
            </w:pPr>
            <w:r>
              <w:rPr>
                <w:rFonts w:ascii="Arial" w:cs="Arial" w:eastAsia="Arial" w:hAnsi="Arial"/>
                <w:sz w:val="17"/>
                <w:szCs w:val="17"/>
                <w:b w:val="1"/>
                <w:bCs w:val="1"/>
                <w:color w:val="00539B"/>
                <w:w w:val="84"/>
              </w:rPr>
              <w:t>$</w:t>
            </w:r>
          </w:p>
        </w:tc>
        <w:tc>
          <w:tcPr>
            <w:tcW w:w="1340" w:type="dxa"/>
            <w:vAlign w:val="bottom"/>
          </w:tcPr>
          <w:p>
            <w:pPr>
              <w:jc w:val="right"/>
              <w:ind w:right="56"/>
              <w:spacing w:after="0"/>
              <w:rPr>
                <w:sz w:val="20"/>
                <w:szCs w:val="20"/>
                <w:color w:val="auto"/>
              </w:rPr>
            </w:pPr>
            <w:r>
              <w:rPr>
                <w:rFonts w:ascii="Arial" w:cs="Arial" w:eastAsia="Arial" w:hAnsi="Arial"/>
                <w:sz w:val="17"/>
                <w:szCs w:val="17"/>
                <w:b w:val="1"/>
                <w:bCs w:val="1"/>
                <w:color w:val="00539B"/>
              </w:rPr>
              <w:t>2.30</w:t>
            </w:r>
          </w:p>
        </w:tc>
        <w:tc>
          <w:tcPr>
            <w:tcW w:w="280" w:type="dxa"/>
            <w:vAlign w:val="bottom"/>
          </w:tcPr>
          <w:p>
            <w:pPr>
              <w:jc w:val="right"/>
              <w:ind w:right="96"/>
              <w:spacing w:after="0"/>
              <w:rPr>
                <w:sz w:val="20"/>
                <w:szCs w:val="20"/>
                <w:color w:val="auto"/>
              </w:rPr>
            </w:pPr>
            <w:r>
              <w:rPr>
                <w:rFonts w:ascii="Arial" w:cs="Arial" w:eastAsia="Arial" w:hAnsi="Arial"/>
                <w:sz w:val="17"/>
                <w:szCs w:val="17"/>
                <w:color w:val="auto"/>
                <w:w w:val="84"/>
              </w:rPr>
              <w:t>$</w:t>
            </w:r>
          </w:p>
        </w:tc>
        <w:tc>
          <w:tcPr>
            <w:tcW w:w="1360" w:type="dxa"/>
            <w:vAlign w:val="bottom"/>
          </w:tcPr>
          <w:p>
            <w:pPr>
              <w:jc w:val="right"/>
              <w:ind w:right="36"/>
              <w:spacing w:after="0"/>
              <w:rPr>
                <w:sz w:val="20"/>
                <w:szCs w:val="20"/>
                <w:color w:val="auto"/>
              </w:rPr>
            </w:pPr>
            <w:r>
              <w:rPr>
                <w:rFonts w:ascii="Arial" w:cs="Arial" w:eastAsia="Arial" w:hAnsi="Arial"/>
                <w:sz w:val="17"/>
                <w:szCs w:val="17"/>
                <w:color w:val="auto"/>
              </w:rPr>
              <w:t>3.88</w:t>
            </w:r>
          </w:p>
        </w:tc>
        <w:tc>
          <w:tcPr>
            <w:tcW w:w="340" w:type="dxa"/>
            <w:vAlign w:val="bottom"/>
          </w:tcPr>
          <w:p>
            <w:pPr>
              <w:jc w:val="right"/>
              <w:ind w:right="136"/>
              <w:spacing w:after="0"/>
              <w:rPr>
                <w:sz w:val="20"/>
                <w:szCs w:val="20"/>
                <w:color w:val="auto"/>
              </w:rPr>
            </w:pPr>
            <w:r>
              <w:rPr>
                <w:rFonts w:ascii="Arial" w:cs="Arial" w:eastAsia="Arial" w:hAnsi="Arial"/>
                <w:sz w:val="17"/>
                <w:szCs w:val="17"/>
                <w:b w:val="1"/>
                <w:bCs w:val="1"/>
                <w:color w:val="00539B"/>
              </w:rPr>
              <w:t>$</w:t>
            </w:r>
          </w:p>
        </w:tc>
        <w:tc>
          <w:tcPr>
            <w:tcW w:w="1320" w:type="dxa"/>
            <w:vAlign w:val="bottom"/>
          </w:tcPr>
          <w:p>
            <w:pPr>
              <w:jc w:val="right"/>
              <w:ind w:right="36"/>
              <w:spacing w:after="0"/>
              <w:rPr>
                <w:sz w:val="20"/>
                <w:szCs w:val="20"/>
                <w:color w:val="auto"/>
              </w:rPr>
            </w:pPr>
            <w:r>
              <w:rPr>
                <w:rFonts w:ascii="Arial" w:cs="Arial" w:eastAsia="Arial" w:hAnsi="Arial"/>
                <w:sz w:val="17"/>
                <w:szCs w:val="17"/>
                <w:b w:val="1"/>
                <w:bCs w:val="1"/>
                <w:color w:val="00539B"/>
              </w:rPr>
              <w:t>3.09</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500" w:type="dxa"/>
            <w:vAlign w:val="bottom"/>
          </w:tcPr>
          <w:p>
            <w:pPr>
              <w:jc w:val="right"/>
              <w:ind w:right="36"/>
              <w:spacing w:after="0"/>
              <w:rPr>
                <w:sz w:val="20"/>
                <w:szCs w:val="20"/>
                <w:color w:val="auto"/>
              </w:rPr>
            </w:pPr>
            <w:r>
              <w:rPr>
                <w:rFonts w:ascii="Arial" w:cs="Arial" w:eastAsia="Arial" w:hAnsi="Arial"/>
                <w:sz w:val="17"/>
                <w:szCs w:val="17"/>
                <w:color w:val="auto"/>
              </w:rPr>
              <w:t>5.39</w:t>
            </w:r>
          </w:p>
        </w:tc>
        <w:tc>
          <w:tcPr>
            <w:tcW w:w="0" w:type="dxa"/>
            <w:vAlign w:val="bottom"/>
          </w:tcPr>
          <w:p>
            <w:pPr>
              <w:spacing w:after="0"/>
              <w:rPr>
                <w:sz w:val="1"/>
                <w:szCs w:val="1"/>
                <w:color w:val="auto"/>
              </w:rPr>
            </w:pPr>
          </w:p>
        </w:tc>
      </w:tr>
      <w:tr>
        <w:trPr>
          <w:trHeight w:val="406"/>
        </w:trPr>
        <w:tc>
          <w:tcPr>
            <w:tcW w:w="4600" w:type="dxa"/>
            <w:vAlign w:val="bottom"/>
          </w:tcPr>
          <w:p>
            <w:pPr>
              <w:ind w:left="20"/>
              <w:spacing w:after="0"/>
              <w:rPr>
                <w:sz w:val="20"/>
                <w:szCs w:val="20"/>
                <w:color w:val="auto"/>
              </w:rPr>
            </w:pPr>
            <w:r>
              <w:rPr>
                <w:rFonts w:ascii="Arial" w:cs="Arial" w:eastAsia="Arial" w:hAnsi="Arial"/>
                <w:sz w:val="17"/>
                <w:szCs w:val="17"/>
                <w:b w:val="1"/>
                <w:bCs w:val="1"/>
                <w:color w:val="auto"/>
                <w:w w:val="99"/>
              </w:rPr>
              <w:t>Average Realized Prices as Percentage of Average Index</w:t>
            </w:r>
          </w:p>
        </w:tc>
        <w:tc>
          <w:tcPr>
            <w:tcW w:w="3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4600" w:type="dxa"/>
            <w:vAlign w:val="bottom"/>
          </w:tcPr>
          <w:p>
            <w:pPr>
              <w:ind w:left="180"/>
              <w:spacing w:after="0"/>
              <w:rPr>
                <w:sz w:val="20"/>
                <w:szCs w:val="20"/>
                <w:color w:val="auto"/>
              </w:rPr>
            </w:pPr>
            <w:r>
              <w:rPr>
                <w:rFonts w:ascii="Arial" w:cs="Arial" w:eastAsia="Arial" w:hAnsi="Arial"/>
                <w:sz w:val="17"/>
                <w:szCs w:val="17"/>
                <w:b w:val="1"/>
                <w:bCs w:val="1"/>
                <w:color w:val="auto"/>
              </w:rPr>
              <w:t>Prices</w:t>
            </w:r>
          </w:p>
        </w:tc>
        <w:tc>
          <w:tcPr>
            <w:tcW w:w="320" w:type="dxa"/>
            <w:vAlign w:val="bottom"/>
          </w:tcPr>
          <w:p>
            <w:pPr>
              <w:spacing w:after="0"/>
              <w:rPr>
                <w:sz w:val="19"/>
                <w:szCs w:val="19"/>
                <w:color w:val="auto"/>
              </w:rPr>
            </w:pPr>
          </w:p>
        </w:tc>
        <w:tc>
          <w:tcPr>
            <w:tcW w:w="1340" w:type="dxa"/>
            <w:vAlign w:val="bottom"/>
            <w:vMerge w:val="restart"/>
          </w:tcPr>
          <w:p>
            <w:pPr>
              <w:jc w:val="right"/>
              <w:spacing w:after="0"/>
              <w:rPr>
                <w:sz w:val="20"/>
                <w:szCs w:val="20"/>
                <w:color w:val="auto"/>
              </w:rPr>
            </w:pPr>
            <w:r>
              <w:rPr>
                <w:rFonts w:ascii="Arial" w:cs="Arial" w:eastAsia="Arial" w:hAnsi="Arial"/>
                <w:sz w:val="17"/>
                <w:szCs w:val="17"/>
                <w:b w:val="1"/>
                <w:bCs w:val="1"/>
                <w:color w:val="00539B"/>
              </w:rPr>
              <w:t>100 %</w:t>
            </w:r>
          </w:p>
        </w:tc>
        <w:tc>
          <w:tcPr>
            <w:tcW w:w="2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vMerge w:val="restart"/>
          </w:tcPr>
          <w:p>
            <w:pPr>
              <w:jc w:val="right"/>
              <w:spacing w:after="0"/>
              <w:rPr>
                <w:sz w:val="20"/>
                <w:szCs w:val="20"/>
                <w:color w:val="auto"/>
              </w:rPr>
            </w:pPr>
            <w:r>
              <w:rPr>
                <w:rFonts w:ascii="Arial" w:cs="Arial" w:eastAsia="Arial" w:hAnsi="Arial"/>
                <w:sz w:val="17"/>
                <w:szCs w:val="17"/>
                <w:b w:val="1"/>
                <w:bCs w:val="1"/>
                <w:color w:val="00539B"/>
              </w:rPr>
              <w:t>99 %</w:t>
            </w:r>
          </w:p>
        </w:tc>
        <w:tc>
          <w:tcPr>
            <w:tcW w:w="1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600" w:type="dxa"/>
            <w:vAlign w:val="bottom"/>
          </w:tcPr>
          <w:p>
            <w:pPr>
              <w:ind w:left="20"/>
              <w:spacing w:after="0"/>
              <w:rPr>
                <w:sz w:val="20"/>
                <w:szCs w:val="20"/>
                <w:color w:val="auto"/>
              </w:rPr>
            </w:pPr>
            <w:r>
              <w:rPr>
                <w:rFonts w:ascii="Arial" w:cs="Arial" w:eastAsia="Arial" w:hAnsi="Arial"/>
                <w:sz w:val="17"/>
                <w:szCs w:val="17"/>
                <w:color w:val="auto"/>
              </w:rPr>
              <w:t>Worldwide oil as a percentage of average WTI</w:t>
            </w:r>
          </w:p>
        </w:tc>
        <w:tc>
          <w:tcPr>
            <w:tcW w:w="320" w:type="dxa"/>
            <w:vAlign w:val="bottom"/>
          </w:tcPr>
          <w:p>
            <w:pPr>
              <w:spacing w:after="0"/>
              <w:rPr>
                <w:sz w:val="19"/>
                <w:szCs w:val="19"/>
                <w:color w:val="auto"/>
              </w:rPr>
            </w:pPr>
          </w:p>
        </w:tc>
        <w:tc>
          <w:tcPr>
            <w:tcW w:w="134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97 %</w:t>
            </w:r>
          </w:p>
        </w:tc>
        <w:tc>
          <w:tcPr>
            <w:tcW w:w="340" w:type="dxa"/>
            <w:vAlign w:val="bottom"/>
          </w:tcPr>
          <w:p>
            <w:pPr>
              <w:spacing w:after="0"/>
              <w:rPr>
                <w:sz w:val="19"/>
                <w:szCs w:val="19"/>
                <w:color w:val="auto"/>
              </w:rPr>
            </w:pPr>
          </w:p>
        </w:tc>
        <w:tc>
          <w:tcPr>
            <w:tcW w:w="132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99 %</w:t>
            </w:r>
          </w:p>
        </w:tc>
        <w:tc>
          <w:tcPr>
            <w:tcW w:w="0" w:type="dxa"/>
            <w:vAlign w:val="bottom"/>
          </w:tcPr>
          <w:p>
            <w:pPr>
              <w:spacing w:after="0"/>
              <w:rPr>
                <w:sz w:val="1"/>
                <w:szCs w:val="1"/>
                <w:color w:val="auto"/>
              </w:rPr>
            </w:pPr>
          </w:p>
        </w:tc>
      </w:tr>
      <w:tr>
        <w:trPr>
          <w:trHeight w:val="227"/>
        </w:trPr>
        <w:tc>
          <w:tcPr>
            <w:tcW w:w="4600" w:type="dxa"/>
            <w:vAlign w:val="bottom"/>
          </w:tcPr>
          <w:p>
            <w:pPr>
              <w:ind w:left="20"/>
              <w:spacing w:after="0"/>
              <w:rPr>
                <w:sz w:val="20"/>
                <w:szCs w:val="20"/>
                <w:color w:val="auto"/>
              </w:rPr>
            </w:pPr>
            <w:r>
              <w:rPr>
                <w:rFonts w:ascii="Arial" w:cs="Arial" w:eastAsia="Arial" w:hAnsi="Arial"/>
                <w:sz w:val="17"/>
                <w:szCs w:val="17"/>
                <w:color w:val="auto"/>
              </w:rPr>
              <w:t>Worldwide oil as a percentage of average Brent</w:t>
            </w: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b w:val="1"/>
                <w:bCs w:val="1"/>
                <w:color w:val="00539B"/>
              </w:rPr>
              <w:t>94 %</w:t>
            </w: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90 %</w:t>
            </w: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b w:val="1"/>
                <w:bCs w:val="1"/>
                <w:color w:val="00539B"/>
              </w:rPr>
              <w:t>92 %</w:t>
            </w: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96 %</w:t>
            </w:r>
          </w:p>
        </w:tc>
        <w:tc>
          <w:tcPr>
            <w:tcW w:w="0" w:type="dxa"/>
            <w:vAlign w:val="bottom"/>
          </w:tcPr>
          <w:p>
            <w:pPr>
              <w:spacing w:after="0"/>
              <w:rPr>
                <w:sz w:val="1"/>
                <w:szCs w:val="1"/>
                <w:color w:val="auto"/>
              </w:rPr>
            </w:pPr>
          </w:p>
        </w:tc>
      </w:tr>
      <w:tr>
        <w:trPr>
          <w:trHeight w:val="213"/>
        </w:trPr>
        <w:tc>
          <w:tcPr>
            <w:tcW w:w="4600" w:type="dxa"/>
            <w:vAlign w:val="bottom"/>
          </w:tcPr>
          <w:p>
            <w:pPr>
              <w:ind w:left="20"/>
              <w:spacing w:after="0"/>
              <w:rPr>
                <w:sz w:val="20"/>
                <w:szCs w:val="20"/>
                <w:color w:val="auto"/>
              </w:rPr>
            </w:pPr>
            <w:r>
              <w:rPr>
                <w:rFonts w:ascii="Arial" w:cs="Arial" w:eastAsia="Arial" w:hAnsi="Arial"/>
                <w:sz w:val="17"/>
                <w:szCs w:val="17"/>
                <w:color w:val="auto"/>
              </w:rPr>
              <w:t>Worldwide NGL as a percentage of average WTI</w:t>
            </w:r>
          </w:p>
        </w:tc>
        <w:tc>
          <w:tcPr>
            <w:tcW w:w="3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b w:val="1"/>
                <w:bCs w:val="1"/>
                <w:color w:val="00539B"/>
              </w:rPr>
              <w:t>26 %</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32 %</w:t>
            </w:r>
          </w:p>
        </w:tc>
        <w:tc>
          <w:tcPr>
            <w:tcW w:w="3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b w:val="1"/>
                <w:bCs w:val="1"/>
                <w:color w:val="00539B"/>
              </w:rPr>
              <w:t>29 %</w:t>
            </w: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40 %</w:t>
            </w:r>
          </w:p>
        </w:tc>
        <w:tc>
          <w:tcPr>
            <w:tcW w:w="0" w:type="dxa"/>
            <w:vAlign w:val="bottom"/>
          </w:tcPr>
          <w:p>
            <w:pPr>
              <w:spacing w:after="0"/>
              <w:rPr>
                <w:sz w:val="1"/>
                <w:szCs w:val="1"/>
                <w:color w:val="auto"/>
              </w:rPr>
            </w:pPr>
          </w:p>
        </w:tc>
      </w:tr>
      <w:tr>
        <w:trPr>
          <w:trHeight w:val="237"/>
        </w:trPr>
        <w:tc>
          <w:tcPr>
            <w:tcW w:w="46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Domestic natural gas as a percentage of average NYMEX</w:t>
            </w:r>
          </w:p>
        </w:tc>
        <w:tc>
          <w:tcPr>
            <w:tcW w:w="3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59 %</w:t>
            </w:r>
          </w:p>
        </w:tc>
        <w:tc>
          <w:tcPr>
            <w:tcW w:w="2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78 %</w:t>
            </w:r>
          </w:p>
        </w:tc>
        <w:tc>
          <w:tcPr>
            <w:tcW w:w="3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71 %</w:t>
            </w:r>
          </w:p>
        </w:tc>
        <w:tc>
          <w:tcPr>
            <w:tcW w:w="1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96 %</w:t>
            </w:r>
          </w:p>
        </w:tc>
        <w:tc>
          <w:tcPr>
            <w:tcW w:w="0" w:type="dxa"/>
            <w:vAlign w:val="bottom"/>
          </w:tcPr>
          <w:p>
            <w:pPr>
              <w:spacing w:after="0"/>
              <w:rPr>
                <w:sz w:val="1"/>
                <w:szCs w:val="1"/>
                <w:color w:val="auto"/>
              </w:rPr>
            </w:pPr>
          </w:p>
        </w:tc>
      </w:tr>
    </w:tbl>
    <w:p>
      <w:pPr>
        <w:spacing w:after="0" w:line="30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539B"/>
        </w:rPr>
        <w:t>Significant Activity</w:t>
      </w:r>
    </w:p>
    <w:p>
      <w:pPr>
        <w:spacing w:after="0" w:line="11" w:lineRule="exact"/>
        <w:rPr>
          <w:sz w:val="20"/>
          <w:szCs w:val="20"/>
          <w:color w:val="auto"/>
        </w:rPr>
      </w:pPr>
    </w:p>
    <w:p>
      <w:pPr>
        <w:jc w:val="both"/>
        <w:ind w:firstLine="240"/>
        <w:spacing w:after="0" w:line="234" w:lineRule="auto"/>
        <w:rPr>
          <w:sz w:val="20"/>
          <w:szCs w:val="20"/>
          <w:color w:val="auto"/>
        </w:rPr>
      </w:pPr>
      <w:r>
        <w:rPr>
          <w:rFonts w:ascii="Arial" w:cs="Arial" w:eastAsia="Arial" w:hAnsi="Arial"/>
          <w:sz w:val="17"/>
          <w:szCs w:val="17"/>
          <w:color w:val="auto"/>
        </w:rPr>
        <w:t>For the three and six months ended June 30, 2023, Occidental recorded a pre-tax impairment of $180 million related to undeveloped acreage in the northern non-core area of the Powder River Basin where Occidental has determined not to pursue future exploration and appraisal activities and a $29 million impairment related to an equity method investment in the Black Butte Coal Company.</w:t>
      </w:r>
    </w:p>
    <w:p>
      <w:pPr>
        <w:spacing w:after="0" w:line="2" w:lineRule="exact"/>
        <w:rPr>
          <w:sz w:val="20"/>
          <w:szCs w:val="20"/>
          <w:color w:val="auto"/>
        </w:rPr>
      </w:pPr>
    </w:p>
    <w:p>
      <w:pPr>
        <w:jc w:val="both"/>
        <w:ind w:firstLine="240"/>
        <w:spacing w:after="0" w:line="239" w:lineRule="auto"/>
        <w:rPr>
          <w:sz w:val="20"/>
          <w:szCs w:val="20"/>
          <w:color w:val="auto"/>
        </w:rPr>
      </w:pPr>
      <w:r>
        <w:rPr>
          <w:rFonts w:ascii="Arial" w:cs="Arial" w:eastAsia="Arial" w:hAnsi="Arial"/>
          <w:sz w:val="17"/>
          <w:szCs w:val="17"/>
          <w:color w:val="auto"/>
        </w:rPr>
        <w:t>Occidental's extension of its production sharing contract in Algeria became effective in the second quarter of 2023, resulting in a deferred tax charge of $68 million. This charge is included in the table "Items affecting comparability" above.</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539B"/>
        </w:rPr>
        <w:t>Q2 2023 compared to Q1 2023</w:t>
      </w:r>
    </w:p>
    <w:p>
      <w:pPr>
        <w:spacing w:after="0" w:line="11" w:lineRule="exact"/>
        <w:rPr>
          <w:sz w:val="20"/>
          <w:szCs w:val="20"/>
          <w:color w:val="auto"/>
        </w:rPr>
      </w:pPr>
    </w:p>
    <w:p>
      <w:pPr>
        <w:jc w:val="both"/>
        <w:ind w:firstLine="240"/>
        <w:spacing w:after="0" w:line="237" w:lineRule="auto"/>
        <w:rPr>
          <w:sz w:val="20"/>
          <w:szCs w:val="20"/>
          <w:color w:val="auto"/>
        </w:rPr>
      </w:pPr>
      <w:r>
        <w:rPr>
          <w:rFonts w:ascii="Arial" w:cs="Arial" w:eastAsia="Arial" w:hAnsi="Arial"/>
          <w:sz w:val="17"/>
          <w:szCs w:val="17"/>
          <w:color w:val="auto"/>
        </w:rPr>
        <w:t>Oil and gas segment income was $1.1 billion for the three months ended June 30, 2023, compared with segment income of $1.6 billion for the three months ended March 31, 2023. Excluding the impact of items affecting comparability, oil and gas segment results for the three months ended June 30, 2023, compared to the three months ended March 31, 2023, reflected lower domestic NGL and natural gas commodity prices and lower domestic crude oil volumes, partially offset by higher international sales volumes.</w:t>
      </w:r>
    </w:p>
    <w:p>
      <w:pPr>
        <w:spacing w:after="0" w:line="2" w:lineRule="exact"/>
        <w:rPr>
          <w:sz w:val="20"/>
          <w:szCs w:val="20"/>
          <w:color w:val="auto"/>
        </w:rPr>
      </w:pPr>
    </w:p>
    <w:p>
      <w:pPr>
        <w:jc w:val="both"/>
        <w:ind w:firstLine="240"/>
        <w:spacing w:after="0" w:line="271" w:lineRule="auto"/>
        <w:rPr>
          <w:sz w:val="20"/>
          <w:szCs w:val="20"/>
          <w:color w:val="auto"/>
        </w:rPr>
      </w:pPr>
      <w:r>
        <w:rPr>
          <w:rFonts w:ascii="Arial" w:cs="Arial" w:eastAsia="Arial" w:hAnsi="Arial"/>
          <w:sz w:val="17"/>
          <w:szCs w:val="17"/>
          <w:color w:val="auto"/>
        </w:rPr>
        <w:t>The increase in average daily sales volumes of 8 Mboe/d for the three months ended June 30, 2023, compared to the three months ended March 31, 2023, primarily reflected the completion of the Al Hosn Gas expansion project, partially offset by downtime for maintenance in the Gulf of Mexico.</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715962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22" w:right="339" w:bottom="1440" w:gutter="0" w:footer="0" w:header="0"/>
        </w:sectPr>
      </w:pPr>
    </w:p>
    <w:bookmarkStart w:id="34" w:name="page35"/>
    <w:bookmarkEnd w:id="34"/>
    <w:p>
      <w:pPr>
        <w:spacing w:after="0"/>
        <w:rPr>
          <w:sz w:val="20"/>
          <w:szCs w:val="20"/>
          <w:color w:val="auto"/>
        </w:rPr>
      </w:pPr>
      <w:r>
        <w:rPr>
          <w:rFonts w:ascii="Arial" w:cs="Arial" w:eastAsia="Arial" w:hAnsi="Arial"/>
          <w:sz w:val="17"/>
          <w:szCs w:val="17"/>
          <w:b w:val="1"/>
          <w:bCs w:val="1"/>
          <w:i w:val="1"/>
          <w:iCs w:val="1"/>
          <w:color w:val="00539B"/>
        </w:rPr>
        <w:t>YTD 2023 compared to YTD 2022</w:t>
      </w:r>
    </w:p>
    <w:p>
      <w:pPr>
        <w:spacing w:after="0" w:line="25" w:lineRule="exact"/>
        <w:rPr>
          <w:sz w:val="20"/>
          <w:szCs w:val="20"/>
          <w:color w:val="auto"/>
        </w:rPr>
      </w:pPr>
    </w:p>
    <w:p>
      <w:pPr>
        <w:jc w:val="both"/>
        <w:ind w:firstLine="240"/>
        <w:spacing w:after="0" w:line="237" w:lineRule="auto"/>
        <w:rPr>
          <w:sz w:val="20"/>
          <w:szCs w:val="20"/>
          <w:color w:val="auto"/>
        </w:rPr>
      </w:pPr>
      <w:r>
        <w:rPr>
          <w:rFonts w:ascii="Arial" w:cs="Arial" w:eastAsia="Arial" w:hAnsi="Arial"/>
          <w:sz w:val="17"/>
          <w:szCs w:val="17"/>
          <w:color w:val="auto"/>
        </w:rPr>
        <w:t>Oil and gas segment income was $2.7 billion for the six months ended June 30, 2023, compared with segment income of $7.0 billion for the six months ended June 30, 2022. Excluding the impact of items affecting comparability, oil and gas segment results for the six months ended June 30, 2023, compared to the six months ended June 30, 2022, reflected lower worldwide crude oil, domestic NGL and domestic natural gas commodity prices, partially offset by higher domestic sales volumes.</w:t>
      </w:r>
    </w:p>
    <w:p>
      <w:pPr>
        <w:spacing w:after="0" w:line="2" w:lineRule="exact"/>
        <w:rPr>
          <w:sz w:val="20"/>
          <w:szCs w:val="20"/>
          <w:color w:val="auto"/>
        </w:rPr>
      </w:pPr>
    </w:p>
    <w:p>
      <w:pPr>
        <w:jc w:val="both"/>
        <w:ind w:firstLine="240"/>
        <w:spacing w:after="0" w:line="250" w:lineRule="auto"/>
        <w:rPr>
          <w:sz w:val="20"/>
          <w:szCs w:val="20"/>
          <w:color w:val="auto"/>
        </w:rPr>
      </w:pPr>
      <w:r>
        <w:rPr>
          <w:rFonts w:ascii="Arial" w:cs="Arial" w:eastAsia="Arial" w:hAnsi="Arial"/>
          <w:sz w:val="17"/>
          <w:szCs w:val="17"/>
          <w:color w:val="auto"/>
        </w:rPr>
        <w:t>The increase in average daily sales volumes of 106 Mboe/d for the six months ended June 30, 2023, compared to the six months ended June 30, 2022, primarily reflected increased activity in the Permian Basin and Gulf of Mexico and the prior year planned shutdown at Al Hosn Gas to allow for tie-in work for the expansion project.</w:t>
      </w:r>
    </w:p>
    <w:p>
      <w:pPr>
        <w:spacing w:after="0" w:line="218" w:lineRule="exact"/>
        <w:rPr>
          <w:sz w:val="20"/>
          <w:szCs w:val="20"/>
          <w:color w:val="auto"/>
        </w:rPr>
      </w:pPr>
    </w:p>
    <w:p>
      <w:pPr>
        <w:jc w:val="both"/>
        <w:ind w:firstLine="240"/>
        <w:spacing w:after="0" w:line="285" w:lineRule="auto"/>
        <w:rPr>
          <w:sz w:val="20"/>
          <w:szCs w:val="20"/>
          <w:color w:val="auto"/>
        </w:rPr>
      </w:pPr>
      <w:r>
        <w:rPr>
          <w:rFonts w:ascii="Arial" w:cs="Arial" w:eastAsia="Arial" w:hAnsi="Arial"/>
          <w:sz w:val="17"/>
          <w:szCs w:val="17"/>
          <w:color w:val="auto"/>
        </w:rPr>
        <w:t>The following table presents an analysis of the impacts of changes in average realized prices and sales volumes with regard to Occidental's domestic and international oil and gas revenue:</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2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88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3760" w:type="dxa"/>
            <w:vAlign w:val="bottom"/>
            <w:tcBorders>
              <w:top w:val="single" w:sz="8" w:color="auto"/>
              <w:bottom w:val="single" w:sz="8" w:color="auto"/>
            </w:tcBorders>
            <w:gridSpan w:val="4"/>
          </w:tcPr>
          <w:p>
            <w:pPr>
              <w:jc w:val="right"/>
              <w:ind w:right="696"/>
              <w:spacing w:after="0"/>
              <w:rPr>
                <w:sz w:val="20"/>
                <w:szCs w:val="20"/>
                <w:color w:val="auto"/>
              </w:rPr>
            </w:pPr>
            <w:r>
              <w:rPr>
                <w:rFonts w:ascii="Arial" w:cs="Arial" w:eastAsia="Arial" w:hAnsi="Arial"/>
                <w:sz w:val="17"/>
                <w:szCs w:val="17"/>
                <w:b w:val="1"/>
                <w:bCs w:val="1"/>
                <w:color w:val="auto"/>
              </w:rPr>
              <w:t>Increase (Decrease) Related to</w:t>
            </w:r>
          </w:p>
        </w:tc>
        <w:tc>
          <w:tcPr>
            <w:tcW w:w="120" w:type="dxa"/>
            <w:vAlign w:val="bottom"/>
            <w:tcBorders>
              <w:top w:val="single" w:sz="8" w:color="auto"/>
              <w:bottom w:val="single" w:sz="8" w:color="auto"/>
            </w:tcBorders>
          </w:tcPr>
          <w:p>
            <w:pPr>
              <w:spacing w:after="0"/>
              <w:rPr>
                <w:sz w:val="19"/>
                <w:szCs w:val="19"/>
                <w:color w:val="auto"/>
              </w:rPr>
            </w:pPr>
          </w:p>
        </w:tc>
        <w:tc>
          <w:tcPr>
            <w:tcW w:w="2180" w:type="dxa"/>
            <w:vAlign w:val="bottom"/>
            <w:tcBorders>
              <w:top w:val="single" w:sz="8" w:color="auto"/>
              <w:bottom w:val="single" w:sz="8" w:color="auto"/>
            </w:tcBorders>
            <w:gridSpan w:val="3"/>
            <w:vMerge w:val="restart"/>
          </w:tcPr>
          <w:p>
            <w:pPr>
              <w:jc w:val="right"/>
              <w:ind w:right="20"/>
              <w:spacing w:after="0"/>
              <w:rPr>
                <w:sz w:val="20"/>
                <w:szCs w:val="20"/>
                <w:color w:val="auto"/>
              </w:rPr>
            </w:pPr>
            <w:r>
              <w:rPr>
                <w:rFonts w:ascii="Arial" w:cs="Arial" w:eastAsia="Arial" w:hAnsi="Arial"/>
                <w:sz w:val="17"/>
                <w:szCs w:val="17"/>
                <w:b w:val="1"/>
                <w:bCs w:val="1"/>
                <w:color w:val="00539B"/>
              </w:rPr>
              <w:t>Three Months Ended June</w:t>
            </w:r>
          </w:p>
        </w:tc>
        <w:tc>
          <w:tcPr>
            <w:tcW w:w="0" w:type="dxa"/>
            <w:vAlign w:val="bottom"/>
          </w:tcPr>
          <w:p>
            <w:pPr>
              <w:spacing w:after="0"/>
              <w:rPr>
                <w:sz w:val="1"/>
                <w:szCs w:val="1"/>
                <w:color w:val="auto"/>
              </w:rPr>
            </w:pPr>
          </w:p>
        </w:tc>
      </w:tr>
      <w:tr>
        <w:trPr>
          <w:trHeight w:val="154"/>
        </w:trPr>
        <w:tc>
          <w:tcPr>
            <w:tcW w:w="2240" w:type="dxa"/>
            <w:vAlign w:val="bottom"/>
            <w:vMerge w:val="restart"/>
          </w:tcPr>
          <w:p>
            <w:pPr>
              <w:ind w:left="20"/>
              <w:spacing w:after="0"/>
              <w:rPr>
                <w:sz w:val="20"/>
                <w:szCs w:val="20"/>
                <w:color w:val="auto"/>
              </w:rPr>
            </w:pPr>
            <w:r>
              <w:rPr>
                <w:rFonts w:ascii="Arial" w:cs="Arial" w:eastAsia="Arial" w:hAnsi="Arial"/>
                <w:sz w:val="17"/>
                <w:szCs w:val="17"/>
                <w:i w:val="1"/>
                <w:iCs w:val="1"/>
                <w:color w:val="auto"/>
              </w:rPr>
              <w:t>millions</w:t>
            </w:r>
          </w:p>
        </w:tc>
        <w:tc>
          <w:tcPr>
            <w:tcW w:w="600" w:type="dxa"/>
            <w:vAlign w:val="bottom"/>
          </w:tcPr>
          <w:p>
            <w:pPr>
              <w:spacing w:after="0"/>
              <w:rPr>
                <w:sz w:val="13"/>
                <w:szCs w:val="13"/>
                <w:color w:val="auto"/>
              </w:rPr>
            </w:pPr>
          </w:p>
        </w:tc>
        <w:tc>
          <w:tcPr>
            <w:tcW w:w="1940" w:type="dxa"/>
            <w:vAlign w:val="bottom"/>
            <w:gridSpan w:val="2"/>
          </w:tcPr>
          <w:p>
            <w:pPr>
              <w:jc w:val="right"/>
              <w:spacing w:after="0" w:line="154" w:lineRule="exact"/>
              <w:rPr>
                <w:sz w:val="20"/>
                <w:szCs w:val="20"/>
                <w:color w:val="auto"/>
              </w:rPr>
            </w:pPr>
            <w:r>
              <w:rPr>
                <w:rFonts w:ascii="Arial" w:cs="Arial" w:eastAsia="Arial" w:hAnsi="Arial"/>
                <w:sz w:val="17"/>
                <w:szCs w:val="17"/>
                <w:color w:val="auto"/>
              </w:rPr>
              <w:t>Three Months Ended</w:t>
            </w:r>
          </w:p>
        </w:tc>
        <w:tc>
          <w:tcPr>
            <w:tcW w:w="4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8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6"/>
        </w:trPr>
        <w:tc>
          <w:tcPr>
            <w:tcW w:w="2240" w:type="dxa"/>
            <w:vAlign w:val="bottom"/>
            <w:tcBorders>
              <w:bottom w:val="single" w:sz="8" w:color="auto"/>
            </w:tcBorders>
            <w:vMerge w:val="continue"/>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gridSpan w:val="3"/>
          </w:tcPr>
          <w:p>
            <w:pPr>
              <w:jc w:val="right"/>
              <w:ind w:right="420"/>
              <w:spacing w:after="0"/>
              <w:rPr>
                <w:sz w:val="20"/>
                <w:szCs w:val="20"/>
                <w:color w:val="auto"/>
              </w:rPr>
            </w:pPr>
            <w:r>
              <w:rPr>
                <w:rFonts w:ascii="Arial" w:cs="Arial" w:eastAsia="Arial" w:hAnsi="Arial"/>
                <w:sz w:val="17"/>
                <w:szCs w:val="17"/>
                <w:color w:val="auto"/>
              </w:rPr>
              <w:t>March 31, 2023</w:t>
            </w:r>
          </w:p>
        </w:tc>
        <w:tc>
          <w:tcPr>
            <w:tcW w:w="178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Price Realizations</w:t>
            </w:r>
          </w:p>
        </w:tc>
        <w:tc>
          <w:tcPr>
            <w:tcW w:w="30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Net Sales Volumes</w:t>
            </w:r>
          </w:p>
        </w:tc>
        <w:tc>
          <w:tcPr>
            <w:tcW w:w="6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b w:val="1"/>
                <w:bCs w:val="1"/>
                <w:color w:val="00539B"/>
              </w:rPr>
              <w:t xml:space="preserve">30, 2023 </w:t>
            </w:r>
            <w:r>
              <w:rPr>
                <w:rFonts w:ascii="Arial" w:cs="Arial" w:eastAsia="Arial" w:hAnsi="Arial"/>
                <w:sz w:val="10"/>
                <w:szCs w:val="10"/>
                <w:b w:val="1"/>
                <w:bCs w:val="1"/>
                <w:color w:val="00539B"/>
              </w:rPr>
              <w:t>(b)</w:t>
            </w:r>
          </w:p>
        </w:tc>
        <w:tc>
          <w:tcPr>
            <w:tcW w:w="0" w:type="dxa"/>
            <w:vAlign w:val="bottom"/>
          </w:tcPr>
          <w:p>
            <w:pPr>
              <w:spacing w:after="0"/>
              <w:rPr>
                <w:sz w:val="1"/>
                <w:szCs w:val="1"/>
                <w:color w:val="auto"/>
              </w:rPr>
            </w:pPr>
          </w:p>
        </w:tc>
      </w:tr>
      <w:tr>
        <w:trPr>
          <w:trHeight w:val="215"/>
        </w:trPr>
        <w:tc>
          <w:tcPr>
            <w:tcW w:w="2240" w:type="dxa"/>
            <w:vAlign w:val="bottom"/>
          </w:tcPr>
          <w:p>
            <w:pPr>
              <w:ind w:left="20"/>
              <w:spacing w:after="0"/>
              <w:rPr>
                <w:sz w:val="20"/>
                <w:szCs w:val="20"/>
                <w:color w:val="auto"/>
              </w:rPr>
            </w:pPr>
            <w:r>
              <w:rPr>
                <w:rFonts w:ascii="Arial" w:cs="Arial" w:eastAsia="Arial" w:hAnsi="Arial"/>
                <w:sz w:val="17"/>
                <w:szCs w:val="17"/>
                <w:b w:val="1"/>
                <w:bCs w:val="1"/>
                <w:color w:val="auto"/>
              </w:rPr>
              <w:t>United States Revenue</w:t>
            </w:r>
          </w:p>
        </w:tc>
        <w:tc>
          <w:tcPr>
            <w:tcW w:w="6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vMerge w:val="restart"/>
          </w:tcPr>
          <w:p>
            <w:pPr>
              <w:jc w:val="right"/>
              <w:ind w:right="436"/>
              <w:spacing w:after="0"/>
              <w:rPr>
                <w:sz w:val="20"/>
                <w:szCs w:val="20"/>
                <w:color w:val="auto"/>
              </w:rPr>
            </w:pPr>
            <w:r>
              <w:rPr>
                <w:rFonts w:ascii="Arial" w:cs="Arial" w:eastAsia="Arial" w:hAnsi="Arial"/>
                <w:sz w:val="17"/>
                <w:szCs w:val="17"/>
                <w:b w:val="1"/>
                <w:bCs w:val="1"/>
                <w:color w:val="00539B"/>
              </w:rPr>
              <w:t>$</w:t>
            </w:r>
          </w:p>
        </w:tc>
        <w:tc>
          <w:tcPr>
            <w:tcW w:w="1540" w:type="dxa"/>
            <w:vAlign w:val="bottom"/>
            <w:gridSpan w:val="2"/>
            <w:vMerge w:val="restart"/>
          </w:tcPr>
          <w:p>
            <w:pPr>
              <w:jc w:val="right"/>
              <w:ind w:right="80"/>
              <w:spacing w:after="0"/>
              <w:rPr>
                <w:sz w:val="20"/>
                <w:szCs w:val="20"/>
                <w:color w:val="auto"/>
              </w:rPr>
            </w:pPr>
            <w:r>
              <w:rPr>
                <w:rFonts w:ascii="Arial" w:cs="Arial" w:eastAsia="Arial" w:hAnsi="Arial"/>
                <w:sz w:val="17"/>
                <w:szCs w:val="17"/>
                <w:b w:val="1"/>
                <w:bCs w:val="1"/>
                <w:color w:val="00539B"/>
              </w:rPr>
              <w:t>3,446</w:t>
            </w:r>
          </w:p>
        </w:tc>
        <w:tc>
          <w:tcPr>
            <w:tcW w:w="0" w:type="dxa"/>
            <w:vAlign w:val="bottom"/>
          </w:tcPr>
          <w:p>
            <w:pPr>
              <w:spacing w:after="0"/>
              <w:rPr>
                <w:sz w:val="1"/>
                <w:szCs w:val="1"/>
                <w:color w:val="auto"/>
              </w:rPr>
            </w:pPr>
          </w:p>
        </w:tc>
      </w:tr>
      <w:tr>
        <w:trPr>
          <w:trHeight w:val="219"/>
        </w:trPr>
        <w:tc>
          <w:tcPr>
            <w:tcW w:w="2240" w:type="dxa"/>
            <w:vAlign w:val="bottom"/>
          </w:tcPr>
          <w:p>
            <w:pPr>
              <w:ind w:left="20"/>
              <w:spacing w:after="0"/>
              <w:rPr>
                <w:sz w:val="20"/>
                <w:szCs w:val="20"/>
                <w:color w:val="auto"/>
              </w:rPr>
            </w:pPr>
            <w:r>
              <w:rPr>
                <w:rFonts w:ascii="Arial" w:cs="Arial" w:eastAsia="Arial" w:hAnsi="Arial"/>
                <w:sz w:val="17"/>
                <w:szCs w:val="17"/>
                <w:color w:val="auto"/>
              </w:rPr>
              <w:t>Oil</w:t>
            </w:r>
          </w:p>
        </w:tc>
        <w:tc>
          <w:tcPr>
            <w:tcW w:w="600" w:type="dxa"/>
            <w:vAlign w:val="bottom"/>
          </w:tcPr>
          <w:p>
            <w:pPr>
              <w:jc w:val="right"/>
              <w:spacing w:after="0"/>
              <w:rPr>
                <w:sz w:val="20"/>
                <w:szCs w:val="20"/>
                <w:color w:val="auto"/>
              </w:rPr>
            </w:pPr>
            <w:r>
              <w:rPr>
                <w:rFonts w:ascii="Arial" w:cs="Arial" w:eastAsia="Arial" w:hAnsi="Arial"/>
                <w:sz w:val="17"/>
                <w:szCs w:val="17"/>
                <w:color w:val="auto"/>
              </w:rPr>
              <w:t>$</w:t>
            </w:r>
          </w:p>
        </w:tc>
        <w:tc>
          <w:tcPr>
            <w:tcW w:w="1880" w:type="dxa"/>
            <w:vAlign w:val="bottom"/>
          </w:tcPr>
          <w:p>
            <w:pPr>
              <w:jc w:val="right"/>
              <w:spacing w:after="0"/>
              <w:rPr>
                <w:sz w:val="20"/>
                <w:szCs w:val="20"/>
                <w:color w:val="auto"/>
              </w:rPr>
            </w:pPr>
            <w:r>
              <w:rPr>
                <w:rFonts w:ascii="Arial" w:cs="Arial" w:eastAsia="Arial" w:hAnsi="Arial"/>
                <w:sz w:val="17"/>
                <w:szCs w:val="17"/>
                <w:color w:val="auto"/>
              </w:rPr>
              <w:t>3,650</w:t>
            </w:r>
          </w:p>
        </w:tc>
        <w:tc>
          <w:tcPr>
            <w:tcW w:w="460" w:type="dxa"/>
            <w:vAlign w:val="bottom"/>
            <w:gridSpan w:val="2"/>
          </w:tcPr>
          <w:p>
            <w:pPr>
              <w:jc w:val="right"/>
              <w:ind w:right="280"/>
              <w:spacing w:after="0"/>
              <w:rPr>
                <w:sz w:val="20"/>
                <w:szCs w:val="20"/>
                <w:color w:val="auto"/>
              </w:rPr>
            </w:pPr>
            <w:r>
              <w:rPr>
                <w:rFonts w:ascii="Arial" w:cs="Arial" w:eastAsia="Arial" w:hAnsi="Arial"/>
                <w:sz w:val="17"/>
                <w:szCs w:val="17"/>
                <w:color w:val="00539B"/>
              </w:rPr>
              <w:t>$</w:t>
            </w:r>
          </w:p>
        </w:tc>
        <w:tc>
          <w:tcPr>
            <w:tcW w:w="1780" w:type="dxa"/>
            <w:vAlign w:val="bottom"/>
            <w:gridSpan w:val="2"/>
          </w:tcPr>
          <w:p>
            <w:pPr>
              <w:jc w:val="right"/>
              <w:spacing w:after="0"/>
              <w:rPr>
                <w:sz w:val="20"/>
                <w:szCs w:val="20"/>
                <w:color w:val="auto"/>
              </w:rPr>
            </w:pPr>
            <w:r>
              <w:rPr>
                <w:rFonts w:ascii="Arial" w:cs="Arial" w:eastAsia="Arial" w:hAnsi="Arial"/>
                <w:sz w:val="17"/>
                <w:szCs w:val="17"/>
                <w:color w:val="00539B"/>
              </w:rPr>
              <w:t>(47)</w:t>
            </w:r>
          </w:p>
        </w:tc>
        <w:tc>
          <w:tcPr>
            <w:tcW w:w="300" w:type="dxa"/>
            <w:vAlign w:val="bottom"/>
          </w:tcPr>
          <w:p>
            <w:pPr>
              <w:jc w:val="right"/>
              <w:ind w:right="146"/>
              <w:spacing w:after="0"/>
              <w:rPr>
                <w:sz w:val="20"/>
                <w:szCs w:val="20"/>
                <w:color w:val="auto"/>
              </w:rPr>
            </w:pPr>
            <w:r>
              <w:rPr>
                <w:rFonts w:ascii="Arial" w:cs="Arial" w:eastAsia="Arial" w:hAnsi="Arial"/>
                <w:sz w:val="15"/>
                <w:szCs w:val="15"/>
                <w:color w:val="00539B"/>
                <w:w w:val="71"/>
              </w:rPr>
              <w:t>$</w:t>
            </w:r>
          </w:p>
        </w:tc>
        <w:tc>
          <w:tcPr>
            <w:tcW w:w="1800" w:type="dxa"/>
            <w:vAlign w:val="bottom"/>
            <w:gridSpan w:val="2"/>
          </w:tcPr>
          <w:p>
            <w:pPr>
              <w:jc w:val="right"/>
              <w:spacing w:after="0"/>
              <w:rPr>
                <w:sz w:val="20"/>
                <w:szCs w:val="20"/>
                <w:color w:val="auto"/>
              </w:rPr>
            </w:pPr>
            <w:r>
              <w:rPr>
                <w:rFonts w:ascii="Arial" w:cs="Arial" w:eastAsia="Arial" w:hAnsi="Arial"/>
                <w:sz w:val="17"/>
                <w:szCs w:val="17"/>
                <w:color w:val="00539B"/>
              </w:rPr>
              <w:t>(157)</w:t>
            </w:r>
          </w:p>
        </w:tc>
        <w:tc>
          <w:tcPr>
            <w:tcW w:w="640" w:type="dxa"/>
            <w:vAlign w:val="bottom"/>
            <w:vMerge w:val="continue"/>
          </w:tcPr>
          <w:p>
            <w:pPr>
              <w:spacing w:after="0"/>
              <w:rPr>
                <w:sz w:val="19"/>
                <w:szCs w:val="19"/>
                <w:color w:val="auto"/>
              </w:rPr>
            </w:pPr>
          </w:p>
        </w:tc>
        <w:tc>
          <w:tcPr>
            <w:tcW w:w="15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240" w:type="dxa"/>
            <w:vAlign w:val="bottom"/>
          </w:tcPr>
          <w:p>
            <w:pPr>
              <w:ind w:left="20"/>
              <w:spacing w:after="0"/>
              <w:rPr>
                <w:sz w:val="20"/>
                <w:szCs w:val="20"/>
                <w:color w:val="auto"/>
              </w:rPr>
            </w:pPr>
            <w:r>
              <w:rPr>
                <w:rFonts w:ascii="Arial" w:cs="Arial" w:eastAsia="Arial" w:hAnsi="Arial"/>
                <w:sz w:val="17"/>
                <w:szCs w:val="17"/>
                <w:color w:val="auto"/>
              </w:rPr>
              <w:t>NGL</w:t>
            </w:r>
          </w:p>
        </w:tc>
        <w:tc>
          <w:tcPr>
            <w:tcW w:w="60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7"/>
                <w:szCs w:val="17"/>
                <w:color w:val="auto"/>
              </w:rPr>
              <w:t>460</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780" w:type="dxa"/>
            <w:vAlign w:val="bottom"/>
            <w:gridSpan w:val="2"/>
          </w:tcPr>
          <w:p>
            <w:pPr>
              <w:jc w:val="right"/>
              <w:spacing w:after="0"/>
              <w:rPr>
                <w:sz w:val="20"/>
                <w:szCs w:val="20"/>
                <w:color w:val="auto"/>
              </w:rPr>
            </w:pPr>
            <w:r>
              <w:rPr>
                <w:rFonts w:ascii="Arial" w:cs="Arial" w:eastAsia="Arial" w:hAnsi="Arial"/>
                <w:sz w:val="17"/>
                <w:szCs w:val="17"/>
                <w:color w:val="00539B"/>
              </w:rPr>
              <w:t>(131)</w:t>
            </w:r>
          </w:p>
        </w:tc>
        <w:tc>
          <w:tcPr>
            <w:tcW w:w="300" w:type="dxa"/>
            <w:vAlign w:val="bottom"/>
          </w:tcPr>
          <w:p>
            <w:pPr>
              <w:spacing w:after="0"/>
              <w:rPr>
                <w:sz w:val="18"/>
                <w:szCs w:val="18"/>
                <w:color w:val="auto"/>
              </w:rPr>
            </w:pPr>
          </w:p>
        </w:tc>
        <w:tc>
          <w:tcPr>
            <w:tcW w:w="1800" w:type="dxa"/>
            <w:vAlign w:val="bottom"/>
            <w:gridSpan w:val="2"/>
          </w:tcPr>
          <w:p>
            <w:pPr>
              <w:jc w:val="right"/>
              <w:spacing w:after="0"/>
              <w:rPr>
                <w:sz w:val="20"/>
                <w:szCs w:val="20"/>
                <w:color w:val="auto"/>
              </w:rPr>
            </w:pPr>
            <w:r>
              <w:rPr>
                <w:rFonts w:ascii="Arial" w:cs="Arial" w:eastAsia="Arial" w:hAnsi="Arial"/>
                <w:sz w:val="17"/>
                <w:szCs w:val="17"/>
                <w:color w:val="00539B"/>
              </w:rPr>
              <w:t>23</w:t>
            </w:r>
          </w:p>
        </w:tc>
        <w:tc>
          <w:tcPr>
            <w:tcW w:w="640" w:type="dxa"/>
            <w:vAlign w:val="bottom"/>
          </w:tcPr>
          <w:p>
            <w:pPr>
              <w:spacing w:after="0"/>
              <w:rPr>
                <w:sz w:val="18"/>
                <w:szCs w:val="18"/>
                <w:color w:val="auto"/>
              </w:rPr>
            </w:pPr>
          </w:p>
        </w:tc>
        <w:tc>
          <w:tcPr>
            <w:tcW w:w="1540" w:type="dxa"/>
            <w:vAlign w:val="bottom"/>
            <w:gridSpan w:val="2"/>
          </w:tcPr>
          <w:p>
            <w:pPr>
              <w:jc w:val="right"/>
              <w:ind w:right="80"/>
              <w:spacing w:after="0"/>
              <w:rPr>
                <w:sz w:val="20"/>
                <w:szCs w:val="20"/>
                <w:color w:val="auto"/>
              </w:rPr>
            </w:pPr>
            <w:r>
              <w:rPr>
                <w:rFonts w:ascii="Arial" w:cs="Arial" w:eastAsia="Arial" w:hAnsi="Arial"/>
                <w:sz w:val="17"/>
                <w:szCs w:val="17"/>
                <w:b w:val="1"/>
                <w:bCs w:val="1"/>
                <w:color w:val="00539B"/>
              </w:rPr>
              <w:t>352</w:t>
            </w:r>
          </w:p>
        </w:tc>
        <w:tc>
          <w:tcPr>
            <w:tcW w:w="0" w:type="dxa"/>
            <w:vAlign w:val="bottom"/>
          </w:tcPr>
          <w:p>
            <w:pPr>
              <w:spacing w:after="0"/>
              <w:rPr>
                <w:sz w:val="1"/>
                <w:szCs w:val="1"/>
                <w:color w:val="auto"/>
              </w:rPr>
            </w:pPr>
          </w:p>
        </w:tc>
      </w:tr>
      <w:tr>
        <w:trPr>
          <w:trHeight w:val="237"/>
        </w:trPr>
        <w:tc>
          <w:tcPr>
            <w:tcW w:w="22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Natural gas</w:t>
            </w:r>
          </w:p>
        </w:tc>
        <w:tc>
          <w:tcPr>
            <w:tcW w:w="60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355</w:t>
            </w:r>
          </w:p>
        </w:tc>
        <w:tc>
          <w:tcPr>
            <w:tcW w:w="6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00539B"/>
              </w:rPr>
              <w:t>(197)</w:t>
            </w:r>
          </w:p>
        </w:tc>
        <w:tc>
          <w:tcPr>
            <w:tcW w:w="30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00539B"/>
              </w:rPr>
              <w:t>3</w:t>
            </w:r>
          </w:p>
        </w:tc>
        <w:tc>
          <w:tcPr>
            <w:tcW w:w="6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7"/>
                <w:szCs w:val="17"/>
                <w:b w:val="1"/>
                <w:bCs w:val="1"/>
                <w:color w:val="00539B"/>
              </w:rPr>
              <w:t>161</w:t>
            </w:r>
          </w:p>
        </w:tc>
        <w:tc>
          <w:tcPr>
            <w:tcW w:w="0" w:type="dxa"/>
            <w:vAlign w:val="bottom"/>
          </w:tcPr>
          <w:p>
            <w:pPr>
              <w:spacing w:after="0"/>
              <w:rPr>
                <w:sz w:val="1"/>
                <w:szCs w:val="1"/>
                <w:color w:val="auto"/>
              </w:rPr>
            </w:pPr>
          </w:p>
        </w:tc>
      </w:tr>
      <w:tr>
        <w:trPr>
          <w:trHeight w:val="223"/>
        </w:trPr>
        <w:tc>
          <w:tcPr>
            <w:tcW w:w="2240" w:type="dxa"/>
            <w:vAlign w:val="bottom"/>
            <w:tcBorders>
              <w:bottom w:val="single" w:sz="8" w:color="auto"/>
            </w:tcBorders>
          </w:tcPr>
          <w:p>
            <w:pPr>
              <w:ind w:left="240"/>
              <w:spacing w:after="0"/>
              <w:rPr>
                <w:sz w:val="20"/>
                <w:szCs w:val="20"/>
                <w:color w:val="auto"/>
              </w:rPr>
            </w:pPr>
            <w:r>
              <w:rPr>
                <w:rFonts w:ascii="Arial" w:cs="Arial" w:eastAsia="Arial" w:hAnsi="Arial"/>
                <w:sz w:val="17"/>
                <w:szCs w:val="17"/>
                <w:color w:val="auto"/>
              </w:rPr>
              <w:t>Total</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4,465</w:t>
            </w:r>
          </w:p>
        </w:tc>
        <w:tc>
          <w:tcPr>
            <w:tcW w:w="46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7"/>
                <w:szCs w:val="17"/>
                <w:color w:val="00539B"/>
              </w:rPr>
              <w:t>$</w:t>
            </w:r>
          </w:p>
        </w:tc>
        <w:tc>
          <w:tcPr>
            <w:tcW w:w="178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00539B"/>
              </w:rPr>
              <w:t>(375)</w:t>
            </w:r>
          </w:p>
        </w:tc>
        <w:tc>
          <w:tcPr>
            <w:tcW w:w="300" w:type="dxa"/>
            <w:vAlign w:val="bottom"/>
            <w:tcBorders>
              <w:bottom w:val="single" w:sz="8" w:color="auto"/>
            </w:tcBorders>
          </w:tcPr>
          <w:p>
            <w:pPr>
              <w:jc w:val="right"/>
              <w:ind w:right="146"/>
              <w:spacing w:after="0"/>
              <w:rPr>
                <w:sz w:val="20"/>
                <w:szCs w:val="20"/>
                <w:color w:val="auto"/>
              </w:rPr>
            </w:pPr>
            <w:r>
              <w:rPr>
                <w:rFonts w:ascii="Arial" w:cs="Arial" w:eastAsia="Arial" w:hAnsi="Arial"/>
                <w:sz w:val="15"/>
                <w:szCs w:val="15"/>
                <w:color w:val="00539B"/>
                <w:w w:val="71"/>
              </w:rPr>
              <w:t>$</w:t>
            </w:r>
          </w:p>
        </w:tc>
        <w:tc>
          <w:tcPr>
            <w:tcW w:w="180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00539B"/>
              </w:rPr>
              <w:t>(131)</w:t>
            </w:r>
          </w:p>
        </w:tc>
        <w:tc>
          <w:tcPr>
            <w:tcW w:w="640" w:type="dxa"/>
            <w:vAlign w:val="bottom"/>
            <w:tcBorders>
              <w:bottom w:val="single" w:sz="8" w:color="auto"/>
            </w:tcBorders>
          </w:tcPr>
          <w:p>
            <w:pPr>
              <w:jc w:val="right"/>
              <w:ind w:right="436"/>
              <w:spacing w:after="0"/>
              <w:rPr>
                <w:sz w:val="20"/>
                <w:szCs w:val="20"/>
                <w:color w:val="auto"/>
              </w:rPr>
            </w:pPr>
            <w:r>
              <w:rPr>
                <w:rFonts w:ascii="Arial" w:cs="Arial" w:eastAsia="Arial" w:hAnsi="Arial"/>
                <w:sz w:val="17"/>
                <w:szCs w:val="17"/>
                <w:b w:val="1"/>
                <w:bCs w:val="1"/>
                <w:color w:val="00539B"/>
              </w:rPr>
              <w:t>$</w:t>
            </w:r>
          </w:p>
        </w:tc>
        <w:tc>
          <w:tcPr>
            <w:tcW w:w="15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7"/>
                <w:szCs w:val="17"/>
                <w:b w:val="1"/>
                <w:bCs w:val="1"/>
                <w:color w:val="00539B"/>
              </w:rPr>
              <w:t>3,959</w:t>
            </w:r>
          </w:p>
        </w:tc>
        <w:tc>
          <w:tcPr>
            <w:tcW w:w="0" w:type="dxa"/>
            <w:vAlign w:val="bottom"/>
          </w:tcPr>
          <w:p>
            <w:pPr>
              <w:spacing w:after="0"/>
              <w:rPr>
                <w:sz w:val="1"/>
                <w:szCs w:val="1"/>
                <w:color w:val="auto"/>
              </w:rPr>
            </w:pPr>
          </w:p>
        </w:tc>
      </w:tr>
      <w:tr>
        <w:trPr>
          <w:trHeight w:val="202"/>
        </w:trPr>
        <w:tc>
          <w:tcPr>
            <w:tcW w:w="2240" w:type="dxa"/>
            <w:vAlign w:val="bottom"/>
          </w:tcPr>
          <w:p>
            <w:pPr>
              <w:ind w:left="20"/>
              <w:spacing w:after="0"/>
              <w:rPr>
                <w:sz w:val="20"/>
                <w:szCs w:val="20"/>
                <w:color w:val="auto"/>
              </w:rPr>
            </w:pPr>
            <w:r>
              <w:rPr>
                <w:rFonts w:ascii="Arial" w:cs="Arial" w:eastAsia="Arial" w:hAnsi="Arial"/>
                <w:sz w:val="17"/>
                <w:szCs w:val="17"/>
                <w:b w:val="1"/>
                <w:bCs w:val="1"/>
                <w:color w:val="auto"/>
              </w:rPr>
              <w:t>International Revenue</w:t>
            </w:r>
          </w:p>
        </w:tc>
        <w:tc>
          <w:tcPr>
            <w:tcW w:w="60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vMerge w:val="restart"/>
          </w:tcPr>
          <w:p>
            <w:pPr>
              <w:jc w:val="right"/>
              <w:ind w:right="436"/>
              <w:spacing w:after="0"/>
              <w:rPr>
                <w:sz w:val="20"/>
                <w:szCs w:val="20"/>
                <w:color w:val="auto"/>
              </w:rPr>
            </w:pPr>
            <w:r>
              <w:rPr>
                <w:rFonts w:ascii="Arial" w:cs="Arial" w:eastAsia="Arial" w:hAnsi="Arial"/>
                <w:sz w:val="17"/>
                <w:szCs w:val="17"/>
                <w:b w:val="1"/>
                <w:bCs w:val="1"/>
                <w:color w:val="00539B"/>
              </w:rPr>
              <w:t>$</w:t>
            </w:r>
          </w:p>
        </w:tc>
        <w:tc>
          <w:tcPr>
            <w:tcW w:w="1540" w:type="dxa"/>
            <w:vAlign w:val="bottom"/>
            <w:gridSpan w:val="2"/>
            <w:vMerge w:val="restart"/>
          </w:tcPr>
          <w:p>
            <w:pPr>
              <w:jc w:val="right"/>
              <w:ind w:right="80"/>
              <w:spacing w:after="0"/>
              <w:rPr>
                <w:sz w:val="20"/>
                <w:szCs w:val="20"/>
                <w:color w:val="auto"/>
              </w:rPr>
            </w:pPr>
            <w:r>
              <w:rPr>
                <w:rFonts w:ascii="Arial" w:cs="Arial" w:eastAsia="Arial" w:hAnsi="Arial"/>
                <w:sz w:val="17"/>
                <w:szCs w:val="17"/>
                <w:b w:val="1"/>
                <w:bCs w:val="1"/>
                <w:color w:val="00539B"/>
              </w:rPr>
              <w:t>795</w:t>
            </w:r>
          </w:p>
        </w:tc>
        <w:tc>
          <w:tcPr>
            <w:tcW w:w="0" w:type="dxa"/>
            <w:vAlign w:val="bottom"/>
          </w:tcPr>
          <w:p>
            <w:pPr>
              <w:spacing w:after="0"/>
              <w:rPr>
                <w:sz w:val="1"/>
                <w:szCs w:val="1"/>
                <w:color w:val="auto"/>
              </w:rPr>
            </w:pPr>
          </w:p>
        </w:tc>
      </w:tr>
      <w:tr>
        <w:trPr>
          <w:trHeight w:val="219"/>
        </w:trPr>
        <w:tc>
          <w:tcPr>
            <w:tcW w:w="2240" w:type="dxa"/>
            <w:vAlign w:val="bottom"/>
          </w:tcPr>
          <w:p>
            <w:pPr>
              <w:ind w:left="20"/>
              <w:spacing w:after="0" w:line="219" w:lineRule="exact"/>
              <w:rPr>
                <w:sz w:val="20"/>
                <w:szCs w:val="20"/>
                <w:color w:val="auto"/>
              </w:rPr>
            </w:pPr>
            <w:r>
              <w:rPr>
                <w:rFonts w:ascii="Arial" w:cs="Arial" w:eastAsia="Arial" w:hAnsi="Arial"/>
                <w:sz w:val="17"/>
                <w:szCs w:val="17"/>
                <w:color w:val="auto"/>
              </w:rPr>
              <w:t xml:space="preserve">Oil </w:t>
            </w:r>
            <w:r>
              <w:rPr>
                <w:rFonts w:ascii="Arial" w:cs="Arial" w:eastAsia="Arial" w:hAnsi="Arial"/>
                <w:sz w:val="21"/>
                <w:szCs w:val="21"/>
                <w:color w:val="auto"/>
                <w:vertAlign w:val="superscript"/>
              </w:rPr>
              <w:t>(a)</w:t>
            </w:r>
          </w:p>
        </w:tc>
        <w:tc>
          <w:tcPr>
            <w:tcW w:w="600" w:type="dxa"/>
            <w:vAlign w:val="bottom"/>
          </w:tcPr>
          <w:p>
            <w:pPr>
              <w:jc w:val="right"/>
              <w:spacing w:after="0"/>
              <w:rPr>
                <w:sz w:val="20"/>
                <w:szCs w:val="20"/>
                <w:color w:val="auto"/>
              </w:rPr>
            </w:pPr>
            <w:r>
              <w:rPr>
                <w:rFonts w:ascii="Arial" w:cs="Arial" w:eastAsia="Arial" w:hAnsi="Arial"/>
                <w:sz w:val="17"/>
                <w:szCs w:val="17"/>
                <w:color w:val="auto"/>
              </w:rPr>
              <w:t>$</w:t>
            </w:r>
          </w:p>
        </w:tc>
        <w:tc>
          <w:tcPr>
            <w:tcW w:w="1880" w:type="dxa"/>
            <w:vAlign w:val="bottom"/>
          </w:tcPr>
          <w:p>
            <w:pPr>
              <w:jc w:val="right"/>
              <w:spacing w:after="0"/>
              <w:rPr>
                <w:sz w:val="20"/>
                <w:szCs w:val="20"/>
                <w:color w:val="auto"/>
              </w:rPr>
            </w:pPr>
            <w:r>
              <w:rPr>
                <w:rFonts w:ascii="Arial" w:cs="Arial" w:eastAsia="Arial" w:hAnsi="Arial"/>
                <w:sz w:val="17"/>
                <w:szCs w:val="17"/>
                <w:color w:val="auto"/>
              </w:rPr>
              <w:t>718</w:t>
            </w:r>
          </w:p>
        </w:tc>
        <w:tc>
          <w:tcPr>
            <w:tcW w:w="460" w:type="dxa"/>
            <w:vAlign w:val="bottom"/>
            <w:gridSpan w:val="2"/>
          </w:tcPr>
          <w:p>
            <w:pPr>
              <w:jc w:val="right"/>
              <w:ind w:right="280"/>
              <w:spacing w:after="0"/>
              <w:rPr>
                <w:sz w:val="20"/>
                <w:szCs w:val="20"/>
                <w:color w:val="auto"/>
              </w:rPr>
            </w:pPr>
            <w:r>
              <w:rPr>
                <w:rFonts w:ascii="Arial" w:cs="Arial" w:eastAsia="Arial" w:hAnsi="Arial"/>
                <w:sz w:val="17"/>
                <w:szCs w:val="17"/>
                <w:color w:val="00539B"/>
              </w:rPr>
              <w:t>$</w:t>
            </w:r>
          </w:p>
        </w:tc>
        <w:tc>
          <w:tcPr>
            <w:tcW w:w="1780" w:type="dxa"/>
            <w:vAlign w:val="bottom"/>
            <w:gridSpan w:val="2"/>
          </w:tcPr>
          <w:p>
            <w:pPr>
              <w:jc w:val="right"/>
              <w:ind w:right="16"/>
              <w:spacing w:after="0"/>
              <w:rPr>
                <w:sz w:val="20"/>
                <w:szCs w:val="20"/>
                <w:color w:val="auto"/>
              </w:rPr>
            </w:pPr>
            <w:r>
              <w:rPr>
                <w:rFonts w:ascii="Arial" w:cs="Arial" w:eastAsia="Arial" w:hAnsi="Arial"/>
                <w:sz w:val="17"/>
                <w:szCs w:val="17"/>
                <w:color w:val="00539B"/>
              </w:rPr>
              <w:t>6</w:t>
            </w:r>
          </w:p>
        </w:tc>
        <w:tc>
          <w:tcPr>
            <w:tcW w:w="300" w:type="dxa"/>
            <w:vAlign w:val="bottom"/>
          </w:tcPr>
          <w:p>
            <w:pPr>
              <w:jc w:val="right"/>
              <w:ind w:right="146"/>
              <w:spacing w:after="0"/>
              <w:rPr>
                <w:sz w:val="20"/>
                <w:szCs w:val="20"/>
                <w:color w:val="auto"/>
              </w:rPr>
            </w:pPr>
            <w:r>
              <w:rPr>
                <w:rFonts w:ascii="Arial" w:cs="Arial" w:eastAsia="Arial" w:hAnsi="Arial"/>
                <w:sz w:val="15"/>
                <w:szCs w:val="15"/>
                <w:color w:val="00539B"/>
                <w:w w:val="71"/>
              </w:rPr>
              <w:t>$</w:t>
            </w:r>
          </w:p>
        </w:tc>
        <w:tc>
          <w:tcPr>
            <w:tcW w:w="1800" w:type="dxa"/>
            <w:vAlign w:val="bottom"/>
            <w:gridSpan w:val="2"/>
          </w:tcPr>
          <w:p>
            <w:pPr>
              <w:jc w:val="right"/>
              <w:spacing w:after="0"/>
              <w:rPr>
                <w:sz w:val="20"/>
                <w:szCs w:val="20"/>
                <w:color w:val="auto"/>
              </w:rPr>
            </w:pPr>
            <w:r>
              <w:rPr>
                <w:rFonts w:ascii="Arial" w:cs="Arial" w:eastAsia="Arial" w:hAnsi="Arial"/>
                <w:sz w:val="17"/>
                <w:szCs w:val="17"/>
                <w:color w:val="00539B"/>
              </w:rPr>
              <w:t>71</w:t>
            </w:r>
          </w:p>
        </w:tc>
        <w:tc>
          <w:tcPr>
            <w:tcW w:w="640" w:type="dxa"/>
            <w:vAlign w:val="bottom"/>
            <w:vMerge w:val="continue"/>
          </w:tcPr>
          <w:p>
            <w:pPr>
              <w:spacing w:after="0"/>
              <w:rPr>
                <w:sz w:val="19"/>
                <w:szCs w:val="19"/>
                <w:color w:val="auto"/>
              </w:rPr>
            </w:pPr>
          </w:p>
        </w:tc>
        <w:tc>
          <w:tcPr>
            <w:tcW w:w="15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240" w:type="dxa"/>
            <w:vAlign w:val="bottom"/>
          </w:tcPr>
          <w:p>
            <w:pPr>
              <w:ind w:left="20"/>
              <w:spacing w:after="0"/>
              <w:rPr>
                <w:sz w:val="20"/>
                <w:szCs w:val="20"/>
                <w:color w:val="auto"/>
              </w:rPr>
            </w:pPr>
            <w:r>
              <w:rPr>
                <w:rFonts w:ascii="Arial" w:cs="Arial" w:eastAsia="Arial" w:hAnsi="Arial"/>
                <w:sz w:val="17"/>
                <w:szCs w:val="17"/>
                <w:color w:val="auto"/>
              </w:rPr>
              <w:t>NGL</w:t>
            </w:r>
          </w:p>
        </w:tc>
        <w:tc>
          <w:tcPr>
            <w:tcW w:w="60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7"/>
                <w:szCs w:val="17"/>
                <w:color w:val="auto"/>
              </w:rPr>
              <w:t>85</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780" w:type="dxa"/>
            <w:vAlign w:val="bottom"/>
            <w:gridSpan w:val="2"/>
          </w:tcPr>
          <w:p>
            <w:pPr>
              <w:jc w:val="right"/>
              <w:spacing w:after="0"/>
              <w:rPr>
                <w:sz w:val="20"/>
                <w:szCs w:val="20"/>
                <w:color w:val="auto"/>
              </w:rPr>
            </w:pPr>
            <w:r>
              <w:rPr>
                <w:rFonts w:ascii="Arial" w:cs="Arial" w:eastAsia="Arial" w:hAnsi="Arial"/>
                <w:sz w:val="17"/>
                <w:szCs w:val="17"/>
                <w:color w:val="00539B"/>
              </w:rPr>
              <w:t>(7)</w:t>
            </w:r>
          </w:p>
        </w:tc>
        <w:tc>
          <w:tcPr>
            <w:tcW w:w="300" w:type="dxa"/>
            <w:vAlign w:val="bottom"/>
          </w:tcPr>
          <w:p>
            <w:pPr>
              <w:spacing w:after="0"/>
              <w:rPr>
                <w:sz w:val="18"/>
                <w:szCs w:val="18"/>
                <w:color w:val="auto"/>
              </w:rPr>
            </w:pPr>
          </w:p>
        </w:tc>
        <w:tc>
          <w:tcPr>
            <w:tcW w:w="1800" w:type="dxa"/>
            <w:vAlign w:val="bottom"/>
            <w:gridSpan w:val="2"/>
          </w:tcPr>
          <w:p>
            <w:pPr>
              <w:jc w:val="right"/>
              <w:spacing w:after="0"/>
              <w:rPr>
                <w:sz w:val="20"/>
                <w:szCs w:val="20"/>
                <w:color w:val="auto"/>
              </w:rPr>
            </w:pPr>
            <w:r>
              <w:rPr>
                <w:rFonts w:ascii="Arial" w:cs="Arial" w:eastAsia="Arial" w:hAnsi="Arial"/>
                <w:sz w:val="17"/>
                <w:szCs w:val="17"/>
                <w:color w:val="00539B"/>
              </w:rPr>
              <w:t>12</w:t>
            </w:r>
          </w:p>
        </w:tc>
        <w:tc>
          <w:tcPr>
            <w:tcW w:w="640" w:type="dxa"/>
            <w:vAlign w:val="bottom"/>
          </w:tcPr>
          <w:p>
            <w:pPr>
              <w:spacing w:after="0"/>
              <w:rPr>
                <w:sz w:val="18"/>
                <w:szCs w:val="18"/>
                <w:color w:val="auto"/>
              </w:rPr>
            </w:pPr>
          </w:p>
        </w:tc>
        <w:tc>
          <w:tcPr>
            <w:tcW w:w="1540" w:type="dxa"/>
            <w:vAlign w:val="bottom"/>
            <w:gridSpan w:val="2"/>
          </w:tcPr>
          <w:p>
            <w:pPr>
              <w:jc w:val="right"/>
              <w:ind w:right="80"/>
              <w:spacing w:after="0"/>
              <w:rPr>
                <w:sz w:val="20"/>
                <w:szCs w:val="20"/>
                <w:color w:val="auto"/>
              </w:rPr>
            </w:pPr>
            <w:r>
              <w:rPr>
                <w:rFonts w:ascii="Arial" w:cs="Arial" w:eastAsia="Arial" w:hAnsi="Arial"/>
                <w:sz w:val="17"/>
                <w:szCs w:val="17"/>
                <w:b w:val="1"/>
                <w:bCs w:val="1"/>
                <w:color w:val="00539B"/>
              </w:rPr>
              <w:t>90</w:t>
            </w:r>
          </w:p>
        </w:tc>
        <w:tc>
          <w:tcPr>
            <w:tcW w:w="0" w:type="dxa"/>
            <w:vAlign w:val="bottom"/>
          </w:tcPr>
          <w:p>
            <w:pPr>
              <w:spacing w:after="0"/>
              <w:rPr>
                <w:sz w:val="1"/>
                <w:szCs w:val="1"/>
                <w:color w:val="auto"/>
              </w:rPr>
            </w:pPr>
          </w:p>
        </w:tc>
      </w:tr>
      <w:tr>
        <w:trPr>
          <w:trHeight w:val="237"/>
        </w:trPr>
        <w:tc>
          <w:tcPr>
            <w:tcW w:w="22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Natural gas</w:t>
            </w:r>
          </w:p>
        </w:tc>
        <w:tc>
          <w:tcPr>
            <w:tcW w:w="60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72</w:t>
            </w:r>
          </w:p>
        </w:tc>
        <w:tc>
          <w:tcPr>
            <w:tcW w:w="6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2"/>
          </w:tcPr>
          <w:p>
            <w:pPr>
              <w:jc w:val="right"/>
              <w:ind w:right="16"/>
              <w:spacing w:after="0"/>
              <w:rPr>
                <w:sz w:val="20"/>
                <w:szCs w:val="20"/>
                <w:color w:val="auto"/>
              </w:rPr>
            </w:pPr>
            <w:r>
              <w:rPr>
                <w:rFonts w:ascii="Arial" w:cs="Arial" w:eastAsia="Arial" w:hAnsi="Arial"/>
                <w:sz w:val="17"/>
                <w:szCs w:val="17"/>
                <w:color w:val="00539B"/>
              </w:rPr>
              <w:t>—</w:t>
            </w:r>
          </w:p>
        </w:tc>
        <w:tc>
          <w:tcPr>
            <w:tcW w:w="30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00539B"/>
              </w:rPr>
              <w:t>15</w:t>
            </w:r>
          </w:p>
        </w:tc>
        <w:tc>
          <w:tcPr>
            <w:tcW w:w="6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7"/>
                <w:szCs w:val="17"/>
                <w:b w:val="1"/>
                <w:bCs w:val="1"/>
                <w:color w:val="00539B"/>
              </w:rPr>
              <w:t>87</w:t>
            </w:r>
          </w:p>
        </w:tc>
        <w:tc>
          <w:tcPr>
            <w:tcW w:w="0" w:type="dxa"/>
            <w:vAlign w:val="bottom"/>
          </w:tcPr>
          <w:p>
            <w:pPr>
              <w:spacing w:after="0"/>
              <w:rPr>
                <w:sz w:val="1"/>
                <w:szCs w:val="1"/>
                <w:color w:val="auto"/>
              </w:rPr>
            </w:pPr>
          </w:p>
        </w:tc>
      </w:tr>
      <w:tr>
        <w:trPr>
          <w:trHeight w:val="223"/>
        </w:trPr>
        <w:tc>
          <w:tcPr>
            <w:tcW w:w="2240" w:type="dxa"/>
            <w:vAlign w:val="bottom"/>
            <w:tcBorders>
              <w:bottom w:val="single" w:sz="8" w:color="auto"/>
            </w:tcBorders>
          </w:tcPr>
          <w:p>
            <w:pPr>
              <w:ind w:left="240"/>
              <w:spacing w:after="0"/>
              <w:rPr>
                <w:sz w:val="20"/>
                <w:szCs w:val="20"/>
                <w:color w:val="auto"/>
              </w:rPr>
            </w:pPr>
            <w:r>
              <w:rPr>
                <w:rFonts w:ascii="Arial" w:cs="Arial" w:eastAsia="Arial" w:hAnsi="Arial"/>
                <w:sz w:val="17"/>
                <w:szCs w:val="17"/>
                <w:color w:val="auto"/>
              </w:rPr>
              <w:t>Total</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875</w:t>
            </w:r>
          </w:p>
        </w:tc>
        <w:tc>
          <w:tcPr>
            <w:tcW w:w="46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7"/>
                <w:szCs w:val="17"/>
                <w:color w:val="00539B"/>
              </w:rPr>
              <w:t>$</w:t>
            </w:r>
          </w:p>
        </w:tc>
        <w:tc>
          <w:tcPr>
            <w:tcW w:w="178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00539B"/>
              </w:rPr>
              <w:t>(1)</w:t>
            </w:r>
          </w:p>
        </w:tc>
        <w:tc>
          <w:tcPr>
            <w:tcW w:w="300" w:type="dxa"/>
            <w:vAlign w:val="bottom"/>
            <w:tcBorders>
              <w:bottom w:val="single" w:sz="8" w:color="auto"/>
            </w:tcBorders>
          </w:tcPr>
          <w:p>
            <w:pPr>
              <w:jc w:val="right"/>
              <w:ind w:right="146"/>
              <w:spacing w:after="0"/>
              <w:rPr>
                <w:sz w:val="20"/>
                <w:szCs w:val="20"/>
                <w:color w:val="auto"/>
              </w:rPr>
            </w:pPr>
            <w:r>
              <w:rPr>
                <w:rFonts w:ascii="Arial" w:cs="Arial" w:eastAsia="Arial" w:hAnsi="Arial"/>
                <w:sz w:val="15"/>
                <w:szCs w:val="15"/>
                <w:color w:val="00539B"/>
                <w:w w:val="71"/>
              </w:rPr>
              <w:t>$</w:t>
            </w:r>
          </w:p>
        </w:tc>
        <w:tc>
          <w:tcPr>
            <w:tcW w:w="180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00539B"/>
              </w:rPr>
              <w:t>98</w:t>
            </w:r>
          </w:p>
        </w:tc>
        <w:tc>
          <w:tcPr>
            <w:tcW w:w="640" w:type="dxa"/>
            <w:vAlign w:val="bottom"/>
            <w:tcBorders>
              <w:bottom w:val="single" w:sz="8" w:color="auto"/>
            </w:tcBorders>
          </w:tcPr>
          <w:p>
            <w:pPr>
              <w:jc w:val="right"/>
              <w:ind w:right="436"/>
              <w:spacing w:after="0"/>
              <w:rPr>
                <w:sz w:val="20"/>
                <w:szCs w:val="20"/>
                <w:color w:val="auto"/>
              </w:rPr>
            </w:pPr>
            <w:r>
              <w:rPr>
                <w:rFonts w:ascii="Arial" w:cs="Arial" w:eastAsia="Arial" w:hAnsi="Arial"/>
                <w:sz w:val="17"/>
                <w:szCs w:val="17"/>
                <w:b w:val="1"/>
                <w:bCs w:val="1"/>
                <w:color w:val="00539B"/>
              </w:rPr>
              <w:t>$</w:t>
            </w:r>
          </w:p>
        </w:tc>
        <w:tc>
          <w:tcPr>
            <w:tcW w:w="15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7"/>
                <w:szCs w:val="17"/>
                <w:b w:val="1"/>
                <w:bCs w:val="1"/>
                <w:color w:val="00539B"/>
              </w:rPr>
              <w:t>972</w:t>
            </w:r>
          </w:p>
        </w:tc>
        <w:tc>
          <w:tcPr>
            <w:tcW w:w="0" w:type="dxa"/>
            <w:vAlign w:val="bottom"/>
          </w:tcPr>
          <w:p>
            <w:pPr>
              <w:spacing w:after="0"/>
              <w:rPr>
                <w:sz w:val="1"/>
                <w:szCs w:val="1"/>
                <w:color w:val="auto"/>
              </w:rPr>
            </w:pPr>
          </w:p>
        </w:tc>
      </w:tr>
      <w:tr>
        <w:trPr>
          <w:trHeight w:val="100"/>
        </w:trPr>
        <w:tc>
          <w:tcPr>
            <w:tcW w:w="224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8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760" w:type="dxa"/>
            <w:vAlign w:val="bottom"/>
            <w:tcBorders>
              <w:bottom w:val="single" w:sz="8" w:color="auto"/>
            </w:tcBorders>
            <w:gridSpan w:val="4"/>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3760" w:type="dxa"/>
            <w:vAlign w:val="bottom"/>
            <w:tcBorders>
              <w:bottom w:val="single" w:sz="8" w:color="auto"/>
            </w:tcBorders>
            <w:gridSpan w:val="4"/>
          </w:tcPr>
          <w:p>
            <w:pPr>
              <w:jc w:val="right"/>
              <w:ind w:right="796"/>
              <w:spacing w:after="0"/>
              <w:rPr>
                <w:sz w:val="20"/>
                <w:szCs w:val="20"/>
                <w:color w:val="auto"/>
              </w:rPr>
            </w:pPr>
            <w:r>
              <w:rPr>
                <w:rFonts w:ascii="Arial" w:cs="Arial" w:eastAsia="Arial" w:hAnsi="Arial"/>
                <w:sz w:val="17"/>
                <w:szCs w:val="17"/>
                <w:b w:val="1"/>
                <w:bCs w:val="1"/>
                <w:color w:val="auto"/>
              </w:rPr>
              <w:t>Increase (Decrease) Related to</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3"/>
        </w:trPr>
        <w:tc>
          <w:tcPr>
            <w:tcW w:w="2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80" w:type="dxa"/>
            <w:vAlign w:val="bottom"/>
          </w:tcPr>
          <w:p>
            <w:pPr>
              <w:jc w:val="right"/>
              <w:spacing w:after="0" w:line="154" w:lineRule="exact"/>
              <w:rPr>
                <w:sz w:val="20"/>
                <w:szCs w:val="20"/>
                <w:color w:val="auto"/>
              </w:rPr>
            </w:pPr>
            <w:r>
              <w:rPr>
                <w:rFonts w:ascii="Arial" w:cs="Arial" w:eastAsia="Arial" w:hAnsi="Arial"/>
                <w:sz w:val="17"/>
                <w:szCs w:val="17"/>
                <w:color w:val="auto"/>
              </w:rPr>
              <w:t>Six Months Ended June</w:t>
            </w: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80" w:type="dxa"/>
            <w:vAlign w:val="bottom"/>
            <w:gridSpan w:val="3"/>
          </w:tcPr>
          <w:p>
            <w:pPr>
              <w:jc w:val="right"/>
              <w:ind w:right="180"/>
              <w:spacing w:after="0" w:line="154" w:lineRule="exact"/>
              <w:rPr>
                <w:sz w:val="20"/>
                <w:szCs w:val="20"/>
                <w:color w:val="auto"/>
              </w:rPr>
            </w:pPr>
            <w:r>
              <w:rPr>
                <w:rFonts w:ascii="Arial" w:cs="Arial" w:eastAsia="Arial" w:hAnsi="Arial"/>
                <w:sz w:val="17"/>
                <w:szCs w:val="17"/>
                <w:b w:val="1"/>
                <w:bCs w:val="1"/>
                <w:color w:val="00539B"/>
              </w:rPr>
              <w:t>Six Months Ended June</w:t>
            </w:r>
          </w:p>
        </w:tc>
        <w:tc>
          <w:tcPr>
            <w:tcW w:w="0" w:type="dxa"/>
            <w:vAlign w:val="bottom"/>
          </w:tcPr>
          <w:p>
            <w:pPr>
              <w:spacing w:after="0"/>
              <w:rPr>
                <w:sz w:val="1"/>
                <w:szCs w:val="1"/>
                <w:color w:val="auto"/>
              </w:rPr>
            </w:pPr>
          </w:p>
        </w:tc>
      </w:tr>
      <w:tr>
        <w:trPr>
          <w:trHeight w:val="227"/>
        </w:trPr>
        <w:tc>
          <w:tcPr>
            <w:tcW w:w="2240" w:type="dxa"/>
            <w:vAlign w:val="bottom"/>
          </w:tcPr>
          <w:p>
            <w:pPr>
              <w:ind w:left="20"/>
              <w:spacing w:after="0"/>
              <w:rPr>
                <w:sz w:val="20"/>
                <w:szCs w:val="20"/>
                <w:color w:val="auto"/>
              </w:rPr>
            </w:pPr>
            <w:r>
              <w:rPr>
                <w:rFonts w:ascii="Arial" w:cs="Arial" w:eastAsia="Arial" w:hAnsi="Arial"/>
                <w:sz w:val="17"/>
                <w:szCs w:val="17"/>
                <w:i w:val="1"/>
                <w:iCs w:val="1"/>
                <w:color w:val="auto"/>
              </w:rPr>
              <w:t>millions</w:t>
            </w:r>
          </w:p>
        </w:tc>
        <w:tc>
          <w:tcPr>
            <w:tcW w:w="6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7"/>
                <w:szCs w:val="17"/>
                <w:color w:val="auto"/>
              </w:rPr>
              <w:t xml:space="preserve">30, 2022 </w:t>
            </w:r>
            <w:r>
              <w:rPr>
                <w:rFonts w:ascii="Arial" w:cs="Arial" w:eastAsia="Arial" w:hAnsi="Arial"/>
                <w:sz w:val="10"/>
                <w:szCs w:val="10"/>
                <w:color w:val="auto"/>
              </w:rPr>
              <w:t>(b)</w:t>
            </w: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7"/>
                <w:szCs w:val="17"/>
                <w:color w:val="auto"/>
              </w:rPr>
              <w:t>Price Realizations</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7"/>
                <w:szCs w:val="17"/>
                <w:color w:val="auto"/>
              </w:rPr>
              <w:t>Net Sales Volumes</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540" w:type="dxa"/>
            <w:vAlign w:val="bottom"/>
            <w:gridSpan w:val="2"/>
          </w:tcPr>
          <w:p>
            <w:pPr>
              <w:jc w:val="right"/>
              <w:ind w:right="180"/>
              <w:spacing w:after="0" w:line="227" w:lineRule="exact"/>
              <w:rPr>
                <w:sz w:val="20"/>
                <w:szCs w:val="20"/>
                <w:color w:val="auto"/>
              </w:rPr>
            </w:pPr>
            <w:r>
              <w:rPr>
                <w:rFonts w:ascii="Arial" w:cs="Arial" w:eastAsia="Arial" w:hAnsi="Arial"/>
                <w:sz w:val="17"/>
                <w:szCs w:val="17"/>
                <w:b w:val="1"/>
                <w:bCs w:val="1"/>
                <w:color w:val="00539B"/>
              </w:rPr>
              <w:t xml:space="preserve">30, 2023 </w:t>
            </w:r>
            <w:r>
              <w:rPr>
                <w:rFonts w:ascii="Arial" w:cs="Arial" w:eastAsia="Arial" w:hAnsi="Arial"/>
                <w:sz w:val="21"/>
                <w:szCs w:val="21"/>
                <w:b w:val="1"/>
                <w:bCs w:val="1"/>
                <w:color w:val="00539B"/>
                <w:vertAlign w:val="subscript"/>
              </w:rPr>
              <w:t>(b)</w:t>
            </w:r>
          </w:p>
        </w:tc>
        <w:tc>
          <w:tcPr>
            <w:tcW w:w="0" w:type="dxa"/>
            <w:vAlign w:val="bottom"/>
          </w:tcPr>
          <w:p>
            <w:pPr>
              <w:spacing w:after="0"/>
              <w:rPr>
                <w:sz w:val="1"/>
                <w:szCs w:val="1"/>
                <w:color w:val="auto"/>
              </w:rPr>
            </w:pPr>
          </w:p>
        </w:tc>
      </w:tr>
      <w:tr>
        <w:trPr>
          <w:trHeight w:val="215"/>
        </w:trPr>
        <w:tc>
          <w:tcPr>
            <w:tcW w:w="2240" w:type="dxa"/>
            <w:vAlign w:val="bottom"/>
            <w:tcBorders>
              <w:top w:val="single" w:sz="8" w:color="auto"/>
            </w:tcBorders>
          </w:tcPr>
          <w:p>
            <w:pPr>
              <w:ind w:left="20"/>
              <w:spacing w:after="0"/>
              <w:rPr>
                <w:sz w:val="20"/>
                <w:szCs w:val="20"/>
                <w:color w:val="auto"/>
              </w:rPr>
            </w:pPr>
            <w:r>
              <w:rPr>
                <w:rFonts w:ascii="Arial" w:cs="Arial" w:eastAsia="Arial" w:hAnsi="Arial"/>
                <w:sz w:val="17"/>
                <w:szCs w:val="17"/>
                <w:b w:val="1"/>
                <w:bCs w:val="1"/>
                <w:color w:val="auto"/>
              </w:rPr>
              <w:t>United States Revenue</w:t>
            </w:r>
          </w:p>
        </w:tc>
        <w:tc>
          <w:tcPr>
            <w:tcW w:w="600" w:type="dxa"/>
            <w:vAlign w:val="bottom"/>
            <w:tcBorders>
              <w:top w:val="single" w:sz="8" w:color="auto"/>
            </w:tcBorders>
          </w:tcPr>
          <w:p>
            <w:pPr>
              <w:spacing w:after="0"/>
              <w:rPr>
                <w:sz w:val="18"/>
                <w:szCs w:val="18"/>
                <w:color w:val="auto"/>
              </w:rPr>
            </w:pPr>
          </w:p>
        </w:tc>
        <w:tc>
          <w:tcPr>
            <w:tcW w:w="188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00539B"/>
                <w:w w:val="99"/>
              </w:rPr>
              <w:t>$</w:t>
            </w:r>
          </w:p>
        </w:tc>
        <w:tc>
          <w:tcPr>
            <w:tcW w:w="64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00539B"/>
              </w:rPr>
              <w:t>7,096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240" w:type="dxa"/>
            <w:vAlign w:val="bottom"/>
          </w:tcPr>
          <w:p>
            <w:pPr>
              <w:ind w:left="20"/>
              <w:spacing w:after="0"/>
              <w:rPr>
                <w:sz w:val="20"/>
                <w:szCs w:val="20"/>
                <w:color w:val="auto"/>
              </w:rPr>
            </w:pPr>
            <w:r>
              <w:rPr>
                <w:rFonts w:ascii="Arial" w:cs="Arial" w:eastAsia="Arial" w:hAnsi="Arial"/>
                <w:sz w:val="17"/>
                <w:szCs w:val="17"/>
                <w:color w:val="auto"/>
              </w:rPr>
              <w:t>Oil</w:t>
            </w:r>
          </w:p>
        </w:tc>
        <w:tc>
          <w:tcPr>
            <w:tcW w:w="60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1880" w:type="dxa"/>
            <w:vAlign w:val="bottom"/>
          </w:tcPr>
          <w:p>
            <w:pPr>
              <w:jc w:val="right"/>
              <w:spacing w:after="0"/>
              <w:rPr>
                <w:sz w:val="20"/>
                <w:szCs w:val="20"/>
                <w:color w:val="auto"/>
              </w:rPr>
            </w:pPr>
            <w:r>
              <w:rPr>
                <w:rFonts w:ascii="Arial" w:cs="Arial" w:eastAsia="Arial" w:hAnsi="Arial"/>
                <w:sz w:val="17"/>
                <w:szCs w:val="17"/>
                <w:color w:val="auto"/>
              </w:rPr>
              <w:t>8,942</w:t>
            </w:r>
          </w:p>
        </w:tc>
        <w:tc>
          <w:tcPr>
            <w:tcW w:w="460" w:type="dxa"/>
            <w:vAlign w:val="bottom"/>
            <w:gridSpan w:val="2"/>
          </w:tcPr>
          <w:p>
            <w:pPr>
              <w:jc w:val="right"/>
              <w:ind w:right="340"/>
              <w:spacing w:after="0"/>
              <w:rPr>
                <w:sz w:val="20"/>
                <w:szCs w:val="20"/>
                <w:color w:val="auto"/>
              </w:rPr>
            </w:pPr>
            <w:r>
              <w:rPr>
                <w:rFonts w:ascii="Arial" w:cs="Arial" w:eastAsia="Arial" w:hAnsi="Arial"/>
                <w:sz w:val="17"/>
                <w:szCs w:val="17"/>
                <w:color w:val="00539B"/>
              </w:rPr>
              <w:t>$</w:t>
            </w:r>
          </w:p>
        </w:tc>
        <w:tc>
          <w:tcPr>
            <w:tcW w:w="1660" w:type="dxa"/>
            <w:vAlign w:val="bottom"/>
          </w:tcPr>
          <w:p>
            <w:pPr>
              <w:jc w:val="right"/>
              <w:spacing w:after="0"/>
              <w:rPr>
                <w:sz w:val="20"/>
                <w:szCs w:val="20"/>
                <w:color w:val="auto"/>
              </w:rPr>
            </w:pPr>
            <w:r>
              <w:rPr>
                <w:rFonts w:ascii="Arial" w:cs="Arial" w:eastAsia="Arial" w:hAnsi="Arial"/>
                <w:sz w:val="17"/>
                <w:szCs w:val="17"/>
                <w:color w:val="00539B"/>
              </w:rPr>
              <w:t>(2,720)</w:t>
            </w:r>
          </w:p>
        </w:tc>
        <w:tc>
          <w:tcPr>
            <w:tcW w:w="120" w:type="dxa"/>
            <w:vAlign w:val="bottom"/>
          </w:tcPr>
          <w:p>
            <w:pPr>
              <w:jc w:val="right"/>
              <w:spacing w:after="0"/>
              <w:rPr>
                <w:sz w:val="20"/>
                <w:szCs w:val="20"/>
                <w:color w:val="auto"/>
              </w:rPr>
            </w:pPr>
            <w:r>
              <w:rPr>
                <w:rFonts w:ascii="Arial" w:cs="Arial" w:eastAsia="Arial" w:hAnsi="Arial"/>
                <w:sz w:val="17"/>
                <w:szCs w:val="17"/>
                <w:color w:val="00539B"/>
                <w:w w:val="84"/>
              </w:rPr>
              <w:t>$</w:t>
            </w:r>
          </w:p>
        </w:tc>
        <w:tc>
          <w:tcPr>
            <w:tcW w:w="3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7"/>
                <w:szCs w:val="17"/>
                <w:color w:val="00539B"/>
              </w:rPr>
              <w:t>874</w:t>
            </w:r>
          </w:p>
        </w:tc>
        <w:tc>
          <w:tcPr>
            <w:tcW w:w="12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38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240" w:type="dxa"/>
            <w:vAlign w:val="bottom"/>
          </w:tcPr>
          <w:p>
            <w:pPr>
              <w:ind w:left="20"/>
              <w:spacing w:after="0"/>
              <w:rPr>
                <w:sz w:val="20"/>
                <w:szCs w:val="20"/>
                <w:color w:val="auto"/>
              </w:rPr>
            </w:pPr>
            <w:r>
              <w:rPr>
                <w:rFonts w:ascii="Arial" w:cs="Arial" w:eastAsia="Arial" w:hAnsi="Arial"/>
                <w:sz w:val="17"/>
                <w:szCs w:val="17"/>
                <w:color w:val="auto"/>
              </w:rPr>
              <w:t>NGL</w:t>
            </w:r>
          </w:p>
        </w:tc>
        <w:tc>
          <w:tcPr>
            <w:tcW w:w="6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7"/>
                <w:szCs w:val="17"/>
                <w:color w:val="auto"/>
              </w:rPr>
              <w:t>1,481</w:t>
            </w: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7"/>
                <w:szCs w:val="17"/>
                <w:color w:val="00539B"/>
              </w:rPr>
              <w:t>(860)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7"/>
                <w:szCs w:val="17"/>
                <w:color w:val="00539B"/>
              </w:rPr>
              <w:t>191</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00539B"/>
              </w:rPr>
              <w:t>812</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22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Natural gas</w:t>
            </w:r>
          </w:p>
        </w:tc>
        <w:tc>
          <w:tcPr>
            <w:tcW w:w="600" w:type="dxa"/>
            <w:vAlign w:val="bottom"/>
            <w:tcBorders>
              <w:bottom w:val="single" w:sz="8" w:color="auto"/>
            </w:tcBorders>
          </w:tcPr>
          <w:p>
            <w:pPr>
              <w:spacing w:after="0"/>
              <w:rPr>
                <w:sz w:val="21"/>
                <w:szCs w:val="21"/>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1,130</w:t>
            </w:r>
          </w:p>
        </w:tc>
        <w:tc>
          <w:tcPr>
            <w:tcW w:w="6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00539B"/>
              </w:rPr>
              <w:t>(714)</w:t>
            </w:r>
          </w:p>
        </w:tc>
        <w:tc>
          <w:tcPr>
            <w:tcW w:w="12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00539B"/>
              </w:rPr>
              <w:t>100</w:t>
            </w:r>
          </w:p>
        </w:tc>
        <w:tc>
          <w:tcPr>
            <w:tcW w:w="12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00539B"/>
              </w:rPr>
              <w:t>516</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2240" w:type="dxa"/>
            <w:vAlign w:val="bottom"/>
            <w:tcBorders>
              <w:bottom w:val="single" w:sz="8" w:color="auto"/>
            </w:tcBorders>
          </w:tcPr>
          <w:p>
            <w:pPr>
              <w:ind w:left="240"/>
              <w:spacing w:after="0"/>
              <w:rPr>
                <w:sz w:val="20"/>
                <w:szCs w:val="20"/>
                <w:color w:val="auto"/>
              </w:rPr>
            </w:pPr>
            <w:r>
              <w:rPr>
                <w:rFonts w:ascii="Arial" w:cs="Arial" w:eastAsia="Arial" w:hAnsi="Arial"/>
                <w:sz w:val="17"/>
                <w:szCs w:val="17"/>
                <w:color w:val="auto"/>
              </w:rPr>
              <w:t>Total</w:t>
            </w:r>
          </w:p>
        </w:tc>
        <w:tc>
          <w:tcPr>
            <w:tcW w:w="60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11,553</w:t>
            </w:r>
          </w:p>
        </w:tc>
        <w:tc>
          <w:tcPr>
            <w:tcW w:w="46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7"/>
                <w:szCs w:val="17"/>
                <w:color w:val="00539B"/>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00539B"/>
              </w:rPr>
              <w:t>(4,294)</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00539B"/>
                <w:w w:val="84"/>
              </w:rPr>
              <w:t>$</w:t>
            </w:r>
          </w:p>
        </w:tc>
        <w:tc>
          <w:tcPr>
            <w:tcW w:w="3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00539B"/>
              </w:rPr>
              <w:t>1,165</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w w:val="84"/>
              </w:rPr>
              <w:t>$</w:t>
            </w:r>
          </w:p>
        </w:tc>
        <w:tc>
          <w:tcPr>
            <w:tcW w:w="6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8,424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240" w:type="dxa"/>
            <w:vAlign w:val="bottom"/>
          </w:tcPr>
          <w:p>
            <w:pPr>
              <w:ind w:left="20"/>
              <w:spacing w:after="0"/>
              <w:rPr>
                <w:sz w:val="20"/>
                <w:szCs w:val="20"/>
                <w:color w:val="auto"/>
              </w:rPr>
            </w:pPr>
            <w:r>
              <w:rPr>
                <w:rFonts w:ascii="Arial" w:cs="Arial" w:eastAsia="Arial" w:hAnsi="Arial"/>
                <w:sz w:val="17"/>
                <w:szCs w:val="17"/>
                <w:b w:val="1"/>
                <w:bCs w:val="1"/>
                <w:color w:val="auto"/>
              </w:rPr>
              <w:t>International Revenue</w:t>
            </w:r>
          </w:p>
        </w:tc>
        <w:tc>
          <w:tcPr>
            <w:tcW w:w="60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240" w:type="dxa"/>
            <w:vAlign w:val="bottom"/>
          </w:tcPr>
          <w:p>
            <w:pPr>
              <w:ind w:left="20"/>
              <w:spacing w:after="0" w:line="228" w:lineRule="exact"/>
              <w:rPr>
                <w:sz w:val="20"/>
                <w:szCs w:val="20"/>
                <w:color w:val="auto"/>
              </w:rPr>
            </w:pPr>
            <w:r>
              <w:rPr>
                <w:rFonts w:ascii="Arial" w:cs="Arial" w:eastAsia="Arial" w:hAnsi="Arial"/>
                <w:sz w:val="17"/>
                <w:szCs w:val="17"/>
                <w:color w:val="auto"/>
              </w:rPr>
              <w:t xml:space="preserve">Oil </w:t>
            </w:r>
            <w:r>
              <w:rPr>
                <w:rFonts w:ascii="Arial" w:cs="Arial" w:eastAsia="Arial" w:hAnsi="Arial"/>
                <w:sz w:val="21"/>
                <w:szCs w:val="21"/>
                <w:color w:val="auto"/>
                <w:vertAlign w:val="superscript"/>
              </w:rPr>
              <w:t>(a)</w:t>
            </w:r>
          </w:p>
        </w:tc>
        <w:tc>
          <w:tcPr>
            <w:tcW w:w="60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1880" w:type="dxa"/>
            <w:vAlign w:val="bottom"/>
          </w:tcPr>
          <w:p>
            <w:pPr>
              <w:jc w:val="right"/>
              <w:spacing w:after="0"/>
              <w:rPr>
                <w:sz w:val="20"/>
                <w:szCs w:val="20"/>
                <w:color w:val="auto"/>
              </w:rPr>
            </w:pPr>
            <w:r>
              <w:rPr>
                <w:rFonts w:ascii="Arial" w:cs="Arial" w:eastAsia="Arial" w:hAnsi="Arial"/>
                <w:sz w:val="17"/>
                <w:szCs w:val="17"/>
                <w:color w:val="auto"/>
              </w:rPr>
              <w:t>1,897</w:t>
            </w:r>
          </w:p>
        </w:tc>
        <w:tc>
          <w:tcPr>
            <w:tcW w:w="460" w:type="dxa"/>
            <w:vAlign w:val="bottom"/>
            <w:gridSpan w:val="2"/>
          </w:tcPr>
          <w:p>
            <w:pPr>
              <w:jc w:val="right"/>
              <w:ind w:right="340"/>
              <w:spacing w:after="0"/>
              <w:rPr>
                <w:sz w:val="20"/>
                <w:szCs w:val="20"/>
                <w:color w:val="auto"/>
              </w:rPr>
            </w:pPr>
            <w:r>
              <w:rPr>
                <w:rFonts w:ascii="Arial" w:cs="Arial" w:eastAsia="Arial" w:hAnsi="Arial"/>
                <w:sz w:val="17"/>
                <w:szCs w:val="17"/>
                <w:color w:val="00539B"/>
              </w:rPr>
              <w:t>$</w:t>
            </w:r>
          </w:p>
        </w:tc>
        <w:tc>
          <w:tcPr>
            <w:tcW w:w="1660" w:type="dxa"/>
            <w:vAlign w:val="bottom"/>
          </w:tcPr>
          <w:p>
            <w:pPr>
              <w:jc w:val="right"/>
              <w:spacing w:after="0"/>
              <w:rPr>
                <w:sz w:val="20"/>
                <w:szCs w:val="20"/>
                <w:color w:val="auto"/>
              </w:rPr>
            </w:pPr>
            <w:r>
              <w:rPr>
                <w:rFonts w:ascii="Arial" w:cs="Arial" w:eastAsia="Arial" w:hAnsi="Arial"/>
                <w:sz w:val="17"/>
                <w:szCs w:val="17"/>
                <w:color w:val="00539B"/>
              </w:rPr>
              <w:t>(314)</w:t>
            </w:r>
          </w:p>
        </w:tc>
        <w:tc>
          <w:tcPr>
            <w:tcW w:w="120" w:type="dxa"/>
            <w:vAlign w:val="bottom"/>
          </w:tcPr>
          <w:p>
            <w:pPr>
              <w:jc w:val="right"/>
              <w:spacing w:after="0"/>
              <w:rPr>
                <w:sz w:val="20"/>
                <w:szCs w:val="20"/>
                <w:color w:val="auto"/>
              </w:rPr>
            </w:pPr>
            <w:r>
              <w:rPr>
                <w:rFonts w:ascii="Arial" w:cs="Arial" w:eastAsia="Arial" w:hAnsi="Arial"/>
                <w:sz w:val="17"/>
                <w:szCs w:val="17"/>
                <w:color w:val="00539B"/>
                <w:w w:val="84"/>
              </w:rPr>
              <w:t>$</w:t>
            </w:r>
          </w:p>
        </w:tc>
        <w:tc>
          <w:tcPr>
            <w:tcW w:w="3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7"/>
                <w:szCs w:val="17"/>
                <w:color w:val="00539B"/>
              </w:rPr>
              <w:t>(70)</w:t>
            </w:r>
          </w:p>
        </w:tc>
        <w:tc>
          <w:tcPr>
            <w:tcW w:w="120" w:type="dxa"/>
            <w:vAlign w:val="bottom"/>
          </w:tcPr>
          <w:p>
            <w:pPr>
              <w:jc w:val="right"/>
              <w:spacing w:after="0"/>
              <w:rPr>
                <w:sz w:val="20"/>
                <w:szCs w:val="20"/>
                <w:color w:val="auto"/>
              </w:rPr>
            </w:pPr>
            <w:r>
              <w:rPr>
                <w:rFonts w:ascii="Arial" w:cs="Arial" w:eastAsia="Arial" w:hAnsi="Arial"/>
                <w:sz w:val="17"/>
                <w:szCs w:val="17"/>
                <w:b w:val="1"/>
                <w:bCs w:val="1"/>
                <w:color w:val="00539B"/>
                <w:w w:val="84"/>
              </w:rPr>
              <w:t>$</w:t>
            </w:r>
          </w:p>
        </w:tc>
        <w:tc>
          <w:tcPr>
            <w:tcW w:w="6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b w:val="1"/>
                <w:bCs w:val="1"/>
                <w:color w:val="00539B"/>
              </w:rPr>
              <w:t>1,513</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240" w:type="dxa"/>
            <w:vAlign w:val="bottom"/>
          </w:tcPr>
          <w:p>
            <w:pPr>
              <w:ind w:left="20"/>
              <w:spacing w:after="0"/>
              <w:rPr>
                <w:sz w:val="20"/>
                <w:szCs w:val="20"/>
                <w:color w:val="auto"/>
              </w:rPr>
            </w:pPr>
            <w:r>
              <w:rPr>
                <w:rFonts w:ascii="Arial" w:cs="Arial" w:eastAsia="Arial" w:hAnsi="Arial"/>
                <w:sz w:val="17"/>
                <w:szCs w:val="17"/>
                <w:color w:val="auto"/>
              </w:rPr>
              <w:t>NGL</w:t>
            </w:r>
          </w:p>
        </w:tc>
        <w:tc>
          <w:tcPr>
            <w:tcW w:w="60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7"/>
                <w:szCs w:val="17"/>
                <w:color w:val="auto"/>
              </w:rPr>
              <w:t>175</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7"/>
                <w:szCs w:val="17"/>
                <w:color w:val="00539B"/>
              </w:rPr>
              <w:t>(24)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7"/>
                <w:szCs w:val="17"/>
                <w:color w:val="00539B"/>
              </w:rPr>
              <w:t>24</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b w:val="1"/>
                <w:bCs w:val="1"/>
                <w:color w:val="00539B"/>
              </w:rPr>
              <w:t>175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2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Natural gas</w:t>
            </w:r>
          </w:p>
        </w:tc>
        <w:tc>
          <w:tcPr>
            <w:tcW w:w="60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137</w:t>
            </w:r>
          </w:p>
        </w:tc>
        <w:tc>
          <w:tcPr>
            <w:tcW w:w="6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00539B"/>
              </w:rPr>
              <w:t>4</w:t>
            </w:r>
          </w:p>
        </w:tc>
        <w:tc>
          <w:tcPr>
            <w:tcW w:w="1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00539B"/>
              </w:rPr>
              <w:t>18</w:t>
            </w:r>
          </w:p>
        </w:tc>
        <w:tc>
          <w:tcPr>
            <w:tcW w:w="1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159</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240" w:type="dxa"/>
            <w:vAlign w:val="bottom"/>
            <w:tcBorders>
              <w:bottom w:val="single" w:sz="8" w:color="auto"/>
            </w:tcBorders>
          </w:tcPr>
          <w:p>
            <w:pPr>
              <w:ind w:left="240"/>
              <w:spacing w:after="0"/>
              <w:rPr>
                <w:sz w:val="20"/>
                <w:szCs w:val="20"/>
                <w:color w:val="auto"/>
              </w:rPr>
            </w:pPr>
            <w:r>
              <w:rPr>
                <w:rFonts w:ascii="Arial" w:cs="Arial" w:eastAsia="Arial" w:hAnsi="Arial"/>
                <w:sz w:val="17"/>
                <w:szCs w:val="17"/>
                <w:color w:val="auto"/>
              </w:rPr>
              <w:t>Total</w:t>
            </w:r>
          </w:p>
        </w:tc>
        <w:tc>
          <w:tcPr>
            <w:tcW w:w="60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2,209</w:t>
            </w:r>
          </w:p>
        </w:tc>
        <w:tc>
          <w:tcPr>
            <w:tcW w:w="46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7"/>
                <w:szCs w:val="17"/>
                <w:color w:val="00539B"/>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00539B"/>
              </w:rPr>
              <w:t>(334)</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00539B"/>
                <w:w w:val="84"/>
              </w:rPr>
              <w:t>$</w:t>
            </w:r>
          </w:p>
        </w:tc>
        <w:tc>
          <w:tcPr>
            <w:tcW w:w="3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00539B"/>
              </w:rPr>
              <w:t>(28)</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w w:val="84"/>
              </w:rPr>
              <w:t>$</w:t>
            </w:r>
          </w:p>
        </w:tc>
        <w:tc>
          <w:tcPr>
            <w:tcW w:w="6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1,847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47" w:lineRule="exact"/>
        <w:rPr>
          <w:sz w:val="20"/>
          <w:szCs w:val="20"/>
          <w:color w:val="auto"/>
        </w:rPr>
      </w:pPr>
    </w:p>
    <w:p>
      <w:pPr>
        <w:ind w:left="280" w:hanging="273"/>
        <w:spacing w:after="0"/>
        <w:tabs>
          <w:tab w:leader="none" w:pos="280" w:val="left"/>
        </w:tabs>
        <w:numPr>
          <w:ilvl w:val="0"/>
          <w:numId w:val="19"/>
        </w:numPr>
        <w:rPr>
          <w:rFonts w:ascii="Arial" w:cs="Arial" w:eastAsia="Arial" w:hAnsi="Arial"/>
          <w:sz w:val="21"/>
          <w:szCs w:val="21"/>
          <w:color w:val="auto"/>
          <w:vertAlign w:val="superscript"/>
        </w:rPr>
      </w:pPr>
      <w:r>
        <w:rPr>
          <w:rFonts w:ascii="Arial" w:cs="Arial" w:eastAsia="Arial" w:hAnsi="Arial"/>
          <w:sz w:val="16"/>
          <w:szCs w:val="16"/>
          <w:color w:val="auto"/>
        </w:rPr>
        <w:t>Includes the impact of international production sharing contracts.</w:t>
      </w:r>
    </w:p>
    <w:p>
      <w:pPr>
        <w:spacing w:after="0" w:line="7" w:lineRule="exact"/>
        <w:rPr>
          <w:rFonts w:ascii="Arial" w:cs="Arial" w:eastAsia="Arial" w:hAnsi="Arial"/>
          <w:sz w:val="21"/>
          <w:szCs w:val="21"/>
          <w:color w:val="auto"/>
          <w:vertAlign w:val="superscript"/>
        </w:rPr>
      </w:pPr>
    </w:p>
    <w:p>
      <w:pPr>
        <w:ind w:left="320" w:hanging="313"/>
        <w:spacing w:after="0" w:line="214" w:lineRule="auto"/>
        <w:tabs>
          <w:tab w:leader="none" w:pos="296" w:val="left"/>
        </w:tabs>
        <w:numPr>
          <w:ilvl w:val="0"/>
          <w:numId w:val="19"/>
        </w:numPr>
        <w:rPr>
          <w:rFonts w:ascii="Arial" w:cs="Arial" w:eastAsia="Arial" w:hAnsi="Arial"/>
          <w:sz w:val="21"/>
          <w:szCs w:val="21"/>
          <w:color w:val="auto"/>
          <w:vertAlign w:val="superscript"/>
        </w:rPr>
      </w:pPr>
      <w:r>
        <w:rPr>
          <w:rFonts w:ascii="Arial" w:cs="Arial" w:eastAsia="Arial" w:hAnsi="Arial"/>
          <w:sz w:val="16"/>
          <w:szCs w:val="16"/>
          <w:color w:val="auto"/>
        </w:rPr>
        <w:t xml:space="preserve">Excludes "other" oil and gas revenue. See </w:t>
      </w:r>
      <w:r>
        <w:rPr>
          <w:rFonts w:ascii="Arial" w:cs="Arial" w:eastAsia="Arial" w:hAnsi="Arial"/>
          <w:sz w:val="16"/>
          <w:szCs w:val="16"/>
          <w:u w:val="single" w:color="auto"/>
          <w:color w:val="auto"/>
        </w:rPr>
        <w:t>Note 2 - Revenue</w:t>
      </w:r>
      <w:r>
        <w:rPr>
          <w:rFonts w:ascii="Arial" w:cs="Arial" w:eastAsia="Arial" w:hAnsi="Arial"/>
          <w:sz w:val="16"/>
          <w:szCs w:val="16"/>
          <w:color w:val="auto"/>
        </w:rPr>
        <w:t xml:space="preserve"> in the notes to the Consolidated Condensed Financial Statements in Part I, Item 1 of this Form 10-Q for additional information regarding other revenue.</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color w:val="00539B"/>
        </w:rPr>
        <w:t>CHEMICAL SEGMENT</w:t>
      </w:r>
    </w:p>
    <w:p>
      <w:pPr>
        <w:spacing w:after="0" w:line="4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539B"/>
        </w:rPr>
        <w:t>Q2 2023 compared to Q1 2023</w:t>
      </w:r>
    </w:p>
    <w:p>
      <w:pPr>
        <w:spacing w:after="0" w:line="5" w:lineRule="exact"/>
        <w:rPr>
          <w:sz w:val="20"/>
          <w:szCs w:val="20"/>
          <w:color w:val="auto"/>
        </w:rPr>
      </w:pPr>
    </w:p>
    <w:p>
      <w:pPr>
        <w:jc w:val="both"/>
        <w:ind w:firstLine="240"/>
        <w:spacing w:after="0" w:line="250" w:lineRule="auto"/>
        <w:rPr>
          <w:sz w:val="20"/>
          <w:szCs w:val="20"/>
          <w:color w:val="auto"/>
        </w:rPr>
      </w:pPr>
      <w:r>
        <w:rPr>
          <w:rFonts w:ascii="Arial" w:cs="Arial" w:eastAsia="Arial" w:hAnsi="Arial"/>
          <w:sz w:val="17"/>
          <w:szCs w:val="17"/>
          <w:color w:val="auto"/>
        </w:rPr>
        <w:t>Chemical segment earnings for the three months ended June 30, 2023 were $436 million, compared to $472 million for the three months ended March 31, 2023. The decrease in segment earnings was driven primarily by lower realized caustic soda and PVC pricing, partially offset by higher sales volumes for caustic soda as well as lower ethylene and energy costs.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715962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sectPr>
      </w:pPr>
    </w:p>
    <w:bookmarkStart w:id="35" w:name="page36"/>
    <w:bookmarkEnd w:id="35"/>
    <w:p>
      <w:pPr>
        <w:spacing w:after="0"/>
        <w:rPr>
          <w:sz w:val="20"/>
          <w:szCs w:val="20"/>
          <w:color w:val="auto"/>
        </w:rPr>
      </w:pPr>
      <w:r>
        <w:rPr>
          <w:rFonts w:ascii="Arial" w:cs="Arial" w:eastAsia="Arial" w:hAnsi="Arial"/>
          <w:sz w:val="17"/>
          <w:szCs w:val="17"/>
          <w:b w:val="1"/>
          <w:bCs w:val="1"/>
          <w:i w:val="1"/>
          <w:iCs w:val="1"/>
          <w:color w:val="00539B"/>
        </w:rPr>
        <w:t>YTD 2023 compared to YTD 2022</w:t>
      </w:r>
    </w:p>
    <w:p>
      <w:pPr>
        <w:spacing w:after="0" w:line="25" w:lineRule="exact"/>
        <w:rPr>
          <w:sz w:val="20"/>
          <w:szCs w:val="20"/>
          <w:color w:val="auto"/>
        </w:rPr>
      </w:pPr>
    </w:p>
    <w:p>
      <w:pPr>
        <w:jc w:val="both"/>
        <w:ind w:firstLine="240"/>
        <w:spacing w:after="0" w:line="258" w:lineRule="auto"/>
        <w:rPr>
          <w:sz w:val="20"/>
          <w:szCs w:val="20"/>
          <w:color w:val="auto"/>
        </w:rPr>
      </w:pPr>
      <w:r>
        <w:rPr>
          <w:rFonts w:ascii="Arial" w:cs="Arial" w:eastAsia="Arial" w:hAnsi="Arial"/>
          <w:sz w:val="17"/>
          <w:szCs w:val="17"/>
          <w:color w:val="auto"/>
        </w:rPr>
        <w:t>Chemical segment earnings for the six months ended June 30, 2023 were $908 million, compared to $1.5 billion for the six months ended June 30, 2022. The decrease in segment earnings was driven primarily by lower realized PVC pricing as well as lower sales volumes due to decreased demand across most product lines, partially offset by lower ethylene and energy cost.</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00539B"/>
        </w:rPr>
        <w:t>MIDSTREAM AND MARKETING SEGMENT</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539B"/>
        </w:rPr>
        <w:t>Q2 2023 compared to Q1 2023</w:t>
      </w:r>
    </w:p>
    <w:p>
      <w:pPr>
        <w:spacing w:after="0" w:line="5" w:lineRule="exact"/>
        <w:rPr>
          <w:sz w:val="20"/>
          <w:szCs w:val="20"/>
          <w:color w:val="auto"/>
        </w:rPr>
      </w:pPr>
    </w:p>
    <w:p>
      <w:pPr>
        <w:jc w:val="both"/>
        <w:ind w:firstLine="240"/>
        <w:spacing w:after="0" w:line="254" w:lineRule="auto"/>
        <w:rPr>
          <w:sz w:val="20"/>
          <w:szCs w:val="20"/>
          <w:color w:val="auto"/>
        </w:rPr>
      </w:pPr>
      <w:r>
        <w:rPr>
          <w:rFonts w:ascii="Arial" w:cs="Arial" w:eastAsia="Arial" w:hAnsi="Arial"/>
          <w:sz w:val="17"/>
          <w:szCs w:val="17"/>
          <w:color w:val="auto"/>
        </w:rPr>
        <w:t>Midstream and marketing segment losses for the three months ended June 30, 2023 were $30 million, compared to segment earnings of $2 million for the three months ended March 31, 2023. Excluding the impact of items affecting comparability, the decrease in midstream and marketing second quarter results reflected higher gas margins due to the winter weather impact in the first quarter in comparison to the second quarter, and the timing impact of crude oil sales.</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539B"/>
        </w:rPr>
        <w:t>YTD 2023 compared to YTD 2022</w:t>
      </w:r>
    </w:p>
    <w:p>
      <w:pPr>
        <w:spacing w:after="0" w:line="25" w:lineRule="exact"/>
        <w:rPr>
          <w:sz w:val="20"/>
          <w:szCs w:val="20"/>
          <w:color w:val="auto"/>
        </w:rPr>
      </w:pPr>
    </w:p>
    <w:p>
      <w:pPr>
        <w:jc w:val="both"/>
        <w:ind w:firstLine="240"/>
        <w:spacing w:after="0" w:line="250" w:lineRule="auto"/>
        <w:rPr>
          <w:sz w:val="20"/>
          <w:szCs w:val="20"/>
          <w:color w:val="auto"/>
        </w:rPr>
      </w:pPr>
      <w:r>
        <w:rPr>
          <w:rFonts w:ascii="Arial" w:cs="Arial" w:eastAsia="Arial" w:hAnsi="Arial"/>
          <w:sz w:val="17"/>
          <w:szCs w:val="17"/>
          <w:color w:val="auto"/>
        </w:rPr>
        <w:t>Midstream and marketing segment losses for the six months ended June 30, 2023 were $28 million, compared with segment earnings of $214 million for the six months ended June 30, 2022. Excluding the impact of items affecting comparability, the decrease in midstream and marketing segment results was primarily driven by the timing impact of crude oil sales in the marketing business, lower sulfur prices at Al Hosn Gas, lower equity method investment income from WES, lower NGL prices impacting domestic gas plants, and increased activities in the low carbon ventures businesses, partially offset by favorable gas margins from the optimization of gas transportation capacities in the marketing business and higher volumes from Al Hosn Gas.</w:t>
      </w:r>
    </w:p>
    <w:p>
      <w:pPr>
        <w:spacing w:after="0" w:line="264"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00539B"/>
        </w:rPr>
        <w:t>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-180975</wp:posOffset>
            </wp:positionV>
            <wp:extent cx="713422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4225" cy="17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30480</wp:posOffset>
            </wp:positionV>
            <wp:extent cx="713422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pacing w:after="0" w:line="375" w:lineRule="exact"/>
        <w:rPr>
          <w:sz w:val="20"/>
          <w:szCs w:val="20"/>
          <w:color w:val="auto"/>
        </w:rPr>
      </w:pPr>
    </w:p>
    <w:p>
      <w:pPr>
        <w:ind w:left="240"/>
        <w:spacing w:after="0"/>
        <w:rPr>
          <w:sz w:val="20"/>
          <w:szCs w:val="20"/>
          <w:color w:val="auto"/>
        </w:rPr>
      </w:pPr>
      <w:r>
        <w:rPr>
          <w:rFonts w:ascii="Arial" w:cs="Arial" w:eastAsia="Arial" w:hAnsi="Arial"/>
          <w:sz w:val="17"/>
          <w:szCs w:val="17"/>
          <w:color w:val="auto"/>
        </w:rPr>
        <w:t>The following table sets forth the calculation of the worldwide effective tax rate for income:</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4260" w:type="dxa"/>
            <w:vAlign w:val="bottom"/>
            <w:tcBorders>
              <w:top w:val="single" w:sz="8" w:color="auto"/>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380" w:type="dxa"/>
            <w:vAlign w:val="bottom"/>
            <w:tcBorders>
              <w:top w:val="single" w:sz="8" w:color="auto"/>
              <w:bottom w:val="single" w:sz="8" w:color="auto"/>
            </w:tcBorders>
          </w:tcPr>
          <w:p>
            <w:pPr>
              <w:spacing w:after="0"/>
              <w:rPr>
                <w:sz w:val="20"/>
                <w:szCs w:val="20"/>
                <w:color w:val="auto"/>
              </w:rPr>
            </w:pPr>
          </w:p>
        </w:tc>
        <w:tc>
          <w:tcPr>
            <w:tcW w:w="17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rPr>
              <w:t>Three months ended</w:t>
            </w:r>
          </w:p>
        </w:tc>
        <w:tc>
          <w:tcPr>
            <w:tcW w:w="360" w:type="dxa"/>
            <w:vAlign w:val="bottom"/>
            <w:tcBorders>
              <w:top w:val="single" w:sz="8" w:color="auto"/>
              <w:bottom w:val="single" w:sz="8" w:color="auto"/>
            </w:tcBorders>
          </w:tcPr>
          <w:p>
            <w:pPr>
              <w:spacing w:after="0"/>
              <w:rPr>
                <w:sz w:val="20"/>
                <w:szCs w:val="20"/>
                <w:color w:val="auto"/>
              </w:rPr>
            </w:pPr>
          </w:p>
        </w:tc>
        <w:tc>
          <w:tcPr>
            <w:tcW w:w="1380" w:type="dxa"/>
            <w:vAlign w:val="bottom"/>
            <w:tcBorders>
              <w:top w:val="single" w:sz="8" w:color="auto"/>
              <w:bottom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Six months ended</w:t>
            </w:r>
          </w:p>
        </w:tc>
        <w:tc>
          <w:tcPr>
            <w:tcW w:w="0" w:type="dxa"/>
            <w:vAlign w:val="bottom"/>
          </w:tcPr>
          <w:p>
            <w:pPr>
              <w:spacing w:after="0"/>
              <w:rPr>
                <w:sz w:val="1"/>
                <w:szCs w:val="1"/>
                <w:color w:val="auto"/>
              </w:rPr>
            </w:pPr>
          </w:p>
        </w:tc>
      </w:tr>
      <w:tr>
        <w:trPr>
          <w:trHeight w:val="207"/>
        </w:trPr>
        <w:tc>
          <w:tcPr>
            <w:tcW w:w="4260" w:type="dxa"/>
            <w:vAlign w:val="bottom"/>
            <w:tcBorders>
              <w:bottom w:val="single" w:sz="8" w:color="auto"/>
            </w:tcBorders>
          </w:tcPr>
          <w:p>
            <w:pPr>
              <w:ind w:left="20"/>
              <w:spacing w:after="0"/>
              <w:rPr>
                <w:sz w:val="20"/>
                <w:szCs w:val="20"/>
                <w:color w:val="auto"/>
              </w:rPr>
            </w:pPr>
            <w:r>
              <w:rPr>
                <w:rFonts w:ascii="Arial" w:cs="Arial" w:eastAsia="Arial" w:hAnsi="Arial"/>
                <w:sz w:val="17"/>
                <w:szCs w:val="17"/>
                <w:i w:val="1"/>
                <w:iCs w:val="1"/>
                <w:color w:val="auto"/>
              </w:rPr>
              <w:t>millions, except percentages</w:t>
            </w:r>
          </w:p>
        </w:tc>
        <w:tc>
          <w:tcPr>
            <w:tcW w:w="3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June 30, 2023</w:t>
            </w:r>
          </w:p>
        </w:tc>
        <w:tc>
          <w:tcPr>
            <w:tcW w:w="3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March 31, 2023</w:t>
            </w:r>
          </w:p>
        </w:tc>
        <w:tc>
          <w:tcPr>
            <w:tcW w:w="3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June 30, 2023</w:t>
            </w:r>
          </w:p>
        </w:tc>
        <w:tc>
          <w:tcPr>
            <w:tcW w:w="1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June 30, 2022</w:t>
            </w:r>
          </w:p>
        </w:tc>
        <w:tc>
          <w:tcPr>
            <w:tcW w:w="0" w:type="dxa"/>
            <w:vAlign w:val="bottom"/>
          </w:tcPr>
          <w:p>
            <w:pPr>
              <w:spacing w:after="0"/>
              <w:rPr>
                <w:sz w:val="1"/>
                <w:szCs w:val="1"/>
                <w:color w:val="auto"/>
              </w:rPr>
            </w:pPr>
          </w:p>
        </w:tc>
      </w:tr>
      <w:tr>
        <w:trPr>
          <w:trHeight w:val="207"/>
        </w:trPr>
        <w:tc>
          <w:tcPr>
            <w:tcW w:w="4260" w:type="dxa"/>
            <w:vAlign w:val="bottom"/>
          </w:tcPr>
          <w:p>
            <w:pPr>
              <w:ind w:left="20"/>
              <w:spacing w:after="0"/>
              <w:rPr>
                <w:sz w:val="20"/>
                <w:szCs w:val="20"/>
                <w:color w:val="auto"/>
              </w:rPr>
            </w:pPr>
            <w:r>
              <w:rPr>
                <w:rFonts w:ascii="Arial" w:cs="Arial" w:eastAsia="Arial" w:hAnsi="Arial"/>
                <w:sz w:val="17"/>
                <w:szCs w:val="17"/>
                <w:b w:val="1"/>
                <w:bCs w:val="1"/>
                <w:color w:val="auto"/>
              </w:rPr>
              <w:t>Income before income taxes</w:t>
            </w:r>
          </w:p>
        </w:tc>
        <w:tc>
          <w:tcPr>
            <w:tcW w:w="380" w:type="dxa"/>
            <w:vAlign w:val="bottom"/>
          </w:tcPr>
          <w:p>
            <w:pPr>
              <w:jc w:val="right"/>
              <w:ind w:right="176"/>
              <w:spacing w:after="0"/>
              <w:rPr>
                <w:sz w:val="20"/>
                <w:szCs w:val="20"/>
                <w:color w:val="auto"/>
              </w:rPr>
            </w:pPr>
            <w:r>
              <w:rPr>
                <w:rFonts w:ascii="Arial" w:cs="Arial" w:eastAsia="Arial" w:hAnsi="Arial"/>
                <w:sz w:val="17"/>
                <w:szCs w:val="17"/>
                <w:b w:val="1"/>
                <w:bCs w:val="1"/>
                <w:color w:val="00539B"/>
              </w:rPr>
              <w:t>$</w:t>
            </w:r>
          </w:p>
        </w:tc>
        <w:tc>
          <w:tcPr>
            <w:tcW w:w="1380" w:type="dxa"/>
            <w:vAlign w:val="bottom"/>
          </w:tcPr>
          <w:p>
            <w:pPr>
              <w:jc w:val="right"/>
              <w:ind w:right="136"/>
              <w:spacing w:after="0"/>
              <w:rPr>
                <w:sz w:val="20"/>
                <w:szCs w:val="20"/>
                <w:color w:val="auto"/>
              </w:rPr>
            </w:pPr>
            <w:r>
              <w:rPr>
                <w:rFonts w:ascii="Arial" w:cs="Arial" w:eastAsia="Arial" w:hAnsi="Arial"/>
                <w:sz w:val="17"/>
                <w:szCs w:val="17"/>
                <w:b w:val="1"/>
                <w:bCs w:val="1"/>
                <w:color w:val="00539B"/>
              </w:rPr>
              <w:t>1,327</w:t>
            </w:r>
          </w:p>
        </w:tc>
        <w:tc>
          <w:tcPr>
            <w:tcW w:w="320" w:type="dxa"/>
            <w:vAlign w:val="bottom"/>
          </w:tcPr>
          <w:p>
            <w:pPr>
              <w:jc w:val="right"/>
              <w:ind w:right="136"/>
              <w:spacing w:after="0"/>
              <w:rPr>
                <w:sz w:val="20"/>
                <w:szCs w:val="20"/>
                <w:color w:val="auto"/>
              </w:rPr>
            </w:pPr>
            <w:r>
              <w:rPr>
                <w:rFonts w:ascii="Arial" w:cs="Arial" w:eastAsia="Arial" w:hAnsi="Arial"/>
                <w:sz w:val="17"/>
                <w:szCs w:val="17"/>
                <w:color w:val="auto"/>
                <w:w w:val="84"/>
              </w:rPr>
              <w:t>$</w:t>
            </w:r>
          </w:p>
        </w:tc>
        <w:tc>
          <w:tcPr>
            <w:tcW w:w="1420" w:type="dxa"/>
            <w:vAlign w:val="bottom"/>
          </w:tcPr>
          <w:p>
            <w:pPr>
              <w:jc w:val="right"/>
              <w:ind w:right="136"/>
              <w:spacing w:after="0"/>
              <w:rPr>
                <w:sz w:val="20"/>
                <w:szCs w:val="20"/>
                <w:color w:val="auto"/>
              </w:rPr>
            </w:pPr>
            <w:r>
              <w:rPr>
                <w:rFonts w:ascii="Arial" w:cs="Arial" w:eastAsia="Arial" w:hAnsi="Arial"/>
                <w:sz w:val="17"/>
                <w:szCs w:val="17"/>
                <w:color w:val="auto"/>
              </w:rPr>
              <w:t>1,734</w:t>
            </w:r>
          </w:p>
        </w:tc>
        <w:tc>
          <w:tcPr>
            <w:tcW w:w="360" w:type="dxa"/>
            <w:vAlign w:val="bottom"/>
          </w:tcPr>
          <w:p>
            <w:pPr>
              <w:jc w:val="right"/>
              <w:ind w:right="176"/>
              <w:spacing w:after="0"/>
              <w:rPr>
                <w:sz w:val="20"/>
                <w:szCs w:val="20"/>
                <w:color w:val="auto"/>
              </w:rPr>
            </w:pPr>
            <w:r>
              <w:rPr>
                <w:rFonts w:ascii="Arial" w:cs="Arial" w:eastAsia="Arial" w:hAnsi="Arial"/>
                <w:sz w:val="17"/>
                <w:szCs w:val="17"/>
                <w:b w:val="1"/>
                <w:bCs w:val="1"/>
                <w:color w:val="00539B"/>
                <w:w w:val="84"/>
              </w:rPr>
              <w:t>$</w:t>
            </w:r>
          </w:p>
        </w:tc>
        <w:tc>
          <w:tcPr>
            <w:tcW w:w="1380" w:type="dxa"/>
            <w:vAlign w:val="bottom"/>
          </w:tcPr>
          <w:p>
            <w:pPr>
              <w:jc w:val="right"/>
              <w:ind w:right="136"/>
              <w:spacing w:after="0"/>
              <w:rPr>
                <w:sz w:val="20"/>
                <w:szCs w:val="20"/>
                <w:color w:val="auto"/>
              </w:rPr>
            </w:pPr>
            <w:r>
              <w:rPr>
                <w:rFonts w:ascii="Arial" w:cs="Arial" w:eastAsia="Arial" w:hAnsi="Arial"/>
                <w:sz w:val="17"/>
                <w:szCs w:val="17"/>
                <w:b w:val="1"/>
                <w:bCs w:val="1"/>
                <w:color w:val="00539B"/>
              </w:rPr>
              <w:t>3,061</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560" w:type="dxa"/>
            <w:vAlign w:val="bottom"/>
          </w:tcPr>
          <w:p>
            <w:pPr>
              <w:jc w:val="right"/>
              <w:ind w:right="136"/>
              <w:spacing w:after="0"/>
              <w:rPr>
                <w:sz w:val="20"/>
                <w:szCs w:val="20"/>
                <w:color w:val="auto"/>
              </w:rPr>
            </w:pPr>
            <w:r>
              <w:rPr>
                <w:rFonts w:ascii="Arial" w:cs="Arial" w:eastAsia="Arial" w:hAnsi="Arial"/>
                <w:sz w:val="17"/>
                <w:szCs w:val="17"/>
                <w:color w:val="auto"/>
              </w:rPr>
              <w:t>8,069</w:t>
            </w:r>
          </w:p>
        </w:tc>
        <w:tc>
          <w:tcPr>
            <w:tcW w:w="0" w:type="dxa"/>
            <w:vAlign w:val="bottom"/>
          </w:tcPr>
          <w:p>
            <w:pPr>
              <w:spacing w:after="0"/>
              <w:rPr>
                <w:sz w:val="1"/>
                <w:szCs w:val="1"/>
                <w:color w:val="auto"/>
              </w:rPr>
            </w:pPr>
          </w:p>
        </w:tc>
      </w:tr>
      <w:tr>
        <w:trPr>
          <w:trHeight w:val="235"/>
        </w:trPr>
        <w:tc>
          <w:tcPr>
            <w:tcW w:w="4260" w:type="dxa"/>
            <w:vAlign w:val="bottom"/>
          </w:tcPr>
          <w:p>
            <w:pPr>
              <w:ind w:left="20"/>
              <w:spacing w:after="0"/>
              <w:rPr>
                <w:sz w:val="20"/>
                <w:szCs w:val="20"/>
                <w:color w:val="auto"/>
              </w:rPr>
            </w:pPr>
            <w:r>
              <w:rPr>
                <w:rFonts w:ascii="Arial" w:cs="Arial" w:eastAsia="Arial" w:hAnsi="Arial"/>
                <w:sz w:val="17"/>
                <w:szCs w:val="17"/>
                <w:b w:val="1"/>
                <w:bCs w:val="1"/>
                <w:color w:val="auto"/>
              </w:rPr>
              <w:t>Income tax benefit (expense)</w:t>
            </w:r>
          </w:p>
        </w:tc>
        <w:tc>
          <w:tcPr>
            <w:tcW w:w="380" w:type="dxa"/>
            <w:vAlign w:val="bottom"/>
          </w:tcPr>
          <w:p>
            <w:pPr>
              <w:spacing w:after="0"/>
              <w:rPr>
                <w:sz w:val="20"/>
                <w:szCs w:val="20"/>
                <w:color w:val="auto"/>
              </w:rPr>
            </w:pPr>
          </w:p>
        </w:tc>
        <w:tc>
          <w:tcPr>
            <w:tcW w:w="1380" w:type="dxa"/>
            <w:vAlign w:val="bottom"/>
            <w:vMerge w:val="restart"/>
          </w:tcPr>
          <w:p>
            <w:pPr>
              <w:jc w:val="right"/>
              <w:ind w:right="96"/>
              <w:spacing w:after="0"/>
              <w:rPr>
                <w:sz w:val="20"/>
                <w:szCs w:val="20"/>
                <w:color w:val="auto"/>
              </w:rPr>
            </w:pPr>
            <w:r>
              <w:rPr>
                <w:rFonts w:ascii="Arial" w:cs="Arial" w:eastAsia="Arial" w:hAnsi="Arial"/>
                <w:sz w:val="17"/>
                <w:szCs w:val="17"/>
                <w:b w:val="1"/>
                <w:bCs w:val="1"/>
                <w:color w:val="00539B"/>
              </w:rPr>
              <w:t>(203)</w:t>
            </w:r>
          </w:p>
        </w:tc>
        <w:tc>
          <w:tcPr>
            <w:tcW w:w="3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80" w:type="dxa"/>
            <w:vAlign w:val="bottom"/>
            <w:vMerge w:val="restart"/>
          </w:tcPr>
          <w:p>
            <w:pPr>
              <w:jc w:val="right"/>
              <w:ind w:right="96"/>
              <w:spacing w:after="0"/>
              <w:rPr>
                <w:sz w:val="20"/>
                <w:szCs w:val="20"/>
                <w:color w:val="auto"/>
              </w:rPr>
            </w:pPr>
            <w:r>
              <w:rPr>
                <w:rFonts w:ascii="Arial" w:cs="Arial" w:eastAsia="Arial" w:hAnsi="Arial"/>
                <w:sz w:val="17"/>
                <w:szCs w:val="17"/>
                <w:b w:val="1"/>
                <w:bCs w:val="1"/>
                <w:color w:val="00539B"/>
              </w:rPr>
              <w:t>(503)</w:t>
            </w:r>
          </w:p>
        </w:tc>
        <w:tc>
          <w:tcPr>
            <w:tcW w:w="1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4260" w:type="dxa"/>
            <w:vAlign w:val="bottom"/>
          </w:tcPr>
          <w:p>
            <w:pPr>
              <w:ind w:left="220"/>
              <w:spacing w:after="0"/>
              <w:rPr>
                <w:sz w:val="20"/>
                <w:szCs w:val="20"/>
                <w:color w:val="auto"/>
              </w:rPr>
            </w:pPr>
            <w:r>
              <w:rPr>
                <w:rFonts w:ascii="Arial" w:cs="Arial" w:eastAsia="Arial" w:hAnsi="Arial"/>
                <w:sz w:val="17"/>
                <w:szCs w:val="17"/>
                <w:color w:val="auto"/>
              </w:rPr>
              <w:t>Domestic - federal and state</w:t>
            </w:r>
          </w:p>
        </w:tc>
        <w:tc>
          <w:tcPr>
            <w:tcW w:w="380" w:type="dxa"/>
            <w:vAlign w:val="bottom"/>
          </w:tcPr>
          <w:p>
            <w:pPr>
              <w:spacing w:after="0"/>
              <w:rPr>
                <w:sz w:val="17"/>
                <w:szCs w:val="17"/>
                <w:color w:val="auto"/>
              </w:rPr>
            </w:pPr>
          </w:p>
        </w:tc>
        <w:tc>
          <w:tcPr>
            <w:tcW w:w="138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420" w:type="dxa"/>
            <w:vAlign w:val="bottom"/>
          </w:tcPr>
          <w:p>
            <w:pPr>
              <w:jc w:val="right"/>
              <w:ind w:right="96"/>
              <w:spacing w:after="0"/>
              <w:rPr>
                <w:sz w:val="20"/>
                <w:szCs w:val="20"/>
                <w:color w:val="auto"/>
              </w:rPr>
            </w:pPr>
            <w:r>
              <w:rPr>
                <w:rFonts w:ascii="Arial" w:cs="Arial" w:eastAsia="Arial" w:hAnsi="Arial"/>
                <w:sz w:val="17"/>
                <w:szCs w:val="17"/>
                <w:color w:val="auto"/>
              </w:rPr>
              <w:t>(300)</w:t>
            </w:r>
          </w:p>
        </w:tc>
        <w:tc>
          <w:tcPr>
            <w:tcW w:w="360" w:type="dxa"/>
            <w:vAlign w:val="bottom"/>
          </w:tcPr>
          <w:p>
            <w:pPr>
              <w:spacing w:after="0"/>
              <w:rPr>
                <w:sz w:val="17"/>
                <w:szCs w:val="17"/>
                <w:color w:val="auto"/>
              </w:rPr>
            </w:pPr>
          </w:p>
        </w:tc>
        <w:tc>
          <w:tcPr>
            <w:tcW w:w="138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jc w:val="right"/>
              <w:ind w:right="136"/>
              <w:spacing w:after="0"/>
              <w:rPr>
                <w:sz w:val="20"/>
                <w:szCs w:val="20"/>
                <w:color w:val="auto"/>
              </w:rPr>
            </w:pPr>
            <w:r>
              <w:rPr>
                <w:rFonts w:ascii="Arial" w:cs="Arial" w:eastAsia="Arial" w:hAnsi="Arial"/>
                <w:sz w:val="17"/>
                <w:szCs w:val="17"/>
                <w:color w:val="auto"/>
              </w:rPr>
              <w:t>1,121</w:t>
            </w:r>
          </w:p>
        </w:tc>
        <w:tc>
          <w:tcPr>
            <w:tcW w:w="0" w:type="dxa"/>
            <w:vAlign w:val="bottom"/>
          </w:tcPr>
          <w:p>
            <w:pPr>
              <w:spacing w:after="0"/>
              <w:rPr>
                <w:sz w:val="1"/>
                <w:szCs w:val="1"/>
                <w:color w:val="auto"/>
              </w:rPr>
            </w:pPr>
          </w:p>
        </w:tc>
      </w:tr>
      <w:tr>
        <w:trPr>
          <w:trHeight w:val="237"/>
        </w:trPr>
        <w:tc>
          <w:tcPr>
            <w:tcW w:w="426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International</w:t>
            </w:r>
          </w:p>
        </w:tc>
        <w:tc>
          <w:tcPr>
            <w:tcW w:w="3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96"/>
              <w:spacing w:after="0"/>
              <w:rPr>
                <w:sz w:val="20"/>
                <w:szCs w:val="20"/>
                <w:color w:val="auto"/>
              </w:rPr>
            </w:pPr>
            <w:r>
              <w:rPr>
                <w:rFonts w:ascii="Arial" w:cs="Arial" w:eastAsia="Arial" w:hAnsi="Arial"/>
                <w:sz w:val="17"/>
                <w:szCs w:val="17"/>
                <w:b w:val="1"/>
                <w:bCs w:val="1"/>
                <w:color w:val="00539B"/>
              </w:rPr>
              <w:t>(264)</w:t>
            </w:r>
          </w:p>
        </w:tc>
        <w:tc>
          <w:tcPr>
            <w:tcW w:w="3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96"/>
              <w:spacing w:after="0"/>
              <w:rPr>
                <w:sz w:val="20"/>
                <w:szCs w:val="20"/>
                <w:color w:val="auto"/>
              </w:rPr>
            </w:pPr>
            <w:r>
              <w:rPr>
                <w:rFonts w:ascii="Arial" w:cs="Arial" w:eastAsia="Arial" w:hAnsi="Arial"/>
                <w:sz w:val="17"/>
                <w:szCs w:val="17"/>
                <w:color w:val="auto"/>
              </w:rPr>
              <w:t>(171)</w:t>
            </w:r>
          </w:p>
        </w:tc>
        <w:tc>
          <w:tcPr>
            <w:tcW w:w="3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96"/>
              <w:spacing w:after="0"/>
              <w:rPr>
                <w:sz w:val="20"/>
                <w:szCs w:val="20"/>
                <w:color w:val="auto"/>
              </w:rPr>
            </w:pPr>
            <w:r>
              <w:rPr>
                <w:rFonts w:ascii="Arial" w:cs="Arial" w:eastAsia="Arial" w:hAnsi="Arial"/>
                <w:sz w:val="17"/>
                <w:szCs w:val="17"/>
                <w:b w:val="1"/>
                <w:bCs w:val="1"/>
                <w:color w:val="00539B"/>
              </w:rPr>
              <w:t>(435)</w:t>
            </w:r>
          </w:p>
        </w:tc>
        <w:tc>
          <w:tcPr>
            <w:tcW w:w="1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76"/>
              <w:spacing w:after="0"/>
              <w:rPr>
                <w:sz w:val="20"/>
                <w:szCs w:val="20"/>
                <w:color w:val="auto"/>
              </w:rPr>
            </w:pPr>
            <w:r>
              <w:rPr>
                <w:rFonts w:ascii="Arial" w:cs="Arial" w:eastAsia="Arial" w:hAnsi="Arial"/>
                <w:sz w:val="17"/>
                <w:szCs w:val="17"/>
                <w:color w:val="auto"/>
              </w:rPr>
              <w:t>(559)</w:t>
            </w:r>
          </w:p>
        </w:tc>
        <w:tc>
          <w:tcPr>
            <w:tcW w:w="0" w:type="dxa"/>
            <w:vAlign w:val="bottom"/>
          </w:tcPr>
          <w:p>
            <w:pPr>
              <w:spacing w:after="0"/>
              <w:rPr>
                <w:sz w:val="1"/>
                <w:szCs w:val="1"/>
                <w:color w:val="auto"/>
              </w:rPr>
            </w:pPr>
          </w:p>
        </w:tc>
      </w:tr>
      <w:tr>
        <w:trPr>
          <w:trHeight w:val="209"/>
        </w:trPr>
        <w:tc>
          <w:tcPr>
            <w:tcW w:w="4260" w:type="dxa"/>
            <w:vAlign w:val="bottom"/>
            <w:tcBorders>
              <w:bottom w:val="single" w:sz="8" w:color="auto"/>
            </w:tcBorders>
          </w:tcPr>
          <w:p>
            <w:pPr>
              <w:ind w:left="340"/>
              <w:spacing w:after="0"/>
              <w:rPr>
                <w:sz w:val="20"/>
                <w:szCs w:val="20"/>
                <w:color w:val="auto"/>
              </w:rPr>
            </w:pPr>
            <w:r>
              <w:rPr>
                <w:rFonts w:ascii="Arial" w:cs="Arial" w:eastAsia="Arial" w:hAnsi="Arial"/>
                <w:sz w:val="17"/>
                <w:szCs w:val="17"/>
                <w:b w:val="1"/>
                <w:bCs w:val="1"/>
                <w:color w:val="auto"/>
              </w:rPr>
              <w:t>Total income tax benefit (expense)</w:t>
            </w:r>
          </w:p>
        </w:tc>
        <w:tc>
          <w:tcPr>
            <w:tcW w:w="3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96"/>
              <w:spacing w:after="0"/>
              <w:rPr>
                <w:sz w:val="20"/>
                <w:szCs w:val="20"/>
                <w:color w:val="auto"/>
              </w:rPr>
            </w:pPr>
            <w:r>
              <w:rPr>
                <w:rFonts w:ascii="Arial" w:cs="Arial" w:eastAsia="Arial" w:hAnsi="Arial"/>
                <w:sz w:val="17"/>
                <w:szCs w:val="17"/>
                <w:b w:val="1"/>
                <w:bCs w:val="1"/>
                <w:color w:val="00539B"/>
              </w:rPr>
              <w:t>(467)</w:t>
            </w:r>
          </w:p>
        </w:tc>
        <w:tc>
          <w:tcPr>
            <w:tcW w:w="3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96"/>
              <w:spacing w:after="0"/>
              <w:rPr>
                <w:sz w:val="20"/>
                <w:szCs w:val="20"/>
                <w:color w:val="auto"/>
              </w:rPr>
            </w:pPr>
            <w:r>
              <w:rPr>
                <w:rFonts w:ascii="Arial" w:cs="Arial" w:eastAsia="Arial" w:hAnsi="Arial"/>
                <w:sz w:val="17"/>
                <w:szCs w:val="17"/>
                <w:color w:val="auto"/>
              </w:rPr>
              <w:t>(471)</w:t>
            </w:r>
          </w:p>
        </w:tc>
        <w:tc>
          <w:tcPr>
            <w:tcW w:w="3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96"/>
              <w:spacing w:after="0"/>
              <w:rPr>
                <w:sz w:val="20"/>
                <w:szCs w:val="20"/>
                <w:color w:val="auto"/>
              </w:rPr>
            </w:pPr>
            <w:r>
              <w:rPr>
                <w:rFonts w:ascii="Arial" w:cs="Arial" w:eastAsia="Arial" w:hAnsi="Arial"/>
                <w:sz w:val="17"/>
                <w:szCs w:val="17"/>
                <w:b w:val="1"/>
                <w:bCs w:val="1"/>
                <w:color w:val="00539B"/>
              </w:rPr>
              <w:t>(938)</w:t>
            </w: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136"/>
              <w:spacing w:after="0"/>
              <w:rPr>
                <w:sz w:val="20"/>
                <w:szCs w:val="20"/>
                <w:color w:val="auto"/>
              </w:rPr>
            </w:pPr>
            <w:r>
              <w:rPr>
                <w:rFonts w:ascii="Arial" w:cs="Arial" w:eastAsia="Arial" w:hAnsi="Arial"/>
                <w:sz w:val="17"/>
                <w:szCs w:val="17"/>
                <w:color w:val="auto"/>
              </w:rPr>
              <w:t>562</w:t>
            </w:r>
          </w:p>
        </w:tc>
        <w:tc>
          <w:tcPr>
            <w:tcW w:w="0" w:type="dxa"/>
            <w:vAlign w:val="bottom"/>
          </w:tcPr>
          <w:p>
            <w:pPr>
              <w:spacing w:after="0"/>
              <w:rPr>
                <w:sz w:val="1"/>
                <w:szCs w:val="1"/>
                <w:color w:val="auto"/>
              </w:rPr>
            </w:pPr>
          </w:p>
        </w:tc>
      </w:tr>
      <w:tr>
        <w:trPr>
          <w:trHeight w:val="220"/>
        </w:trPr>
        <w:tc>
          <w:tcPr>
            <w:tcW w:w="426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Net income</w:t>
            </w:r>
          </w:p>
        </w:tc>
        <w:tc>
          <w:tcPr>
            <w:tcW w:w="380" w:type="dxa"/>
            <w:vAlign w:val="bottom"/>
            <w:tcBorders>
              <w:bottom w:val="single" w:sz="8" w:color="auto"/>
            </w:tcBorders>
          </w:tcPr>
          <w:p>
            <w:pPr>
              <w:jc w:val="right"/>
              <w:ind w:right="176"/>
              <w:spacing w:after="0"/>
              <w:rPr>
                <w:sz w:val="20"/>
                <w:szCs w:val="20"/>
                <w:color w:val="auto"/>
              </w:rPr>
            </w:pPr>
            <w:r>
              <w:rPr>
                <w:rFonts w:ascii="Arial" w:cs="Arial" w:eastAsia="Arial" w:hAnsi="Arial"/>
                <w:sz w:val="17"/>
                <w:szCs w:val="17"/>
                <w:b w:val="1"/>
                <w:bCs w:val="1"/>
                <w:color w:val="00539B"/>
              </w:rPr>
              <w:t>$</w:t>
            </w:r>
          </w:p>
        </w:tc>
        <w:tc>
          <w:tcPr>
            <w:tcW w:w="1380" w:type="dxa"/>
            <w:vAlign w:val="bottom"/>
            <w:tcBorders>
              <w:bottom w:val="single" w:sz="8" w:color="auto"/>
            </w:tcBorders>
          </w:tcPr>
          <w:p>
            <w:pPr>
              <w:jc w:val="right"/>
              <w:ind w:right="136"/>
              <w:spacing w:after="0"/>
              <w:rPr>
                <w:sz w:val="20"/>
                <w:szCs w:val="20"/>
                <w:color w:val="auto"/>
              </w:rPr>
            </w:pPr>
            <w:r>
              <w:rPr>
                <w:rFonts w:ascii="Arial" w:cs="Arial" w:eastAsia="Arial" w:hAnsi="Arial"/>
                <w:sz w:val="17"/>
                <w:szCs w:val="17"/>
                <w:b w:val="1"/>
                <w:bCs w:val="1"/>
                <w:color w:val="00539B"/>
              </w:rPr>
              <w:t>860</w:t>
            </w:r>
          </w:p>
        </w:tc>
        <w:tc>
          <w:tcPr>
            <w:tcW w:w="320" w:type="dxa"/>
            <w:vAlign w:val="bottom"/>
            <w:tcBorders>
              <w:bottom w:val="single" w:sz="8" w:color="auto"/>
            </w:tcBorders>
          </w:tcPr>
          <w:p>
            <w:pPr>
              <w:jc w:val="right"/>
              <w:ind w:right="136"/>
              <w:spacing w:after="0"/>
              <w:rPr>
                <w:sz w:val="20"/>
                <w:szCs w:val="20"/>
                <w:color w:val="auto"/>
              </w:rPr>
            </w:pPr>
            <w:r>
              <w:rPr>
                <w:rFonts w:ascii="Arial" w:cs="Arial" w:eastAsia="Arial" w:hAnsi="Arial"/>
                <w:sz w:val="17"/>
                <w:szCs w:val="17"/>
                <w:color w:val="auto"/>
                <w:w w:val="84"/>
              </w:rPr>
              <w:t>$</w:t>
            </w:r>
          </w:p>
        </w:tc>
        <w:tc>
          <w:tcPr>
            <w:tcW w:w="1420" w:type="dxa"/>
            <w:vAlign w:val="bottom"/>
            <w:tcBorders>
              <w:bottom w:val="single" w:sz="8" w:color="auto"/>
            </w:tcBorders>
          </w:tcPr>
          <w:p>
            <w:pPr>
              <w:jc w:val="right"/>
              <w:ind w:right="136"/>
              <w:spacing w:after="0"/>
              <w:rPr>
                <w:sz w:val="20"/>
                <w:szCs w:val="20"/>
                <w:color w:val="auto"/>
              </w:rPr>
            </w:pPr>
            <w:r>
              <w:rPr>
                <w:rFonts w:ascii="Arial" w:cs="Arial" w:eastAsia="Arial" w:hAnsi="Arial"/>
                <w:sz w:val="17"/>
                <w:szCs w:val="17"/>
                <w:color w:val="auto"/>
              </w:rPr>
              <w:t>1,263</w:t>
            </w:r>
          </w:p>
        </w:tc>
        <w:tc>
          <w:tcPr>
            <w:tcW w:w="360" w:type="dxa"/>
            <w:vAlign w:val="bottom"/>
            <w:tcBorders>
              <w:bottom w:val="single" w:sz="8" w:color="auto"/>
            </w:tcBorders>
          </w:tcPr>
          <w:p>
            <w:pPr>
              <w:jc w:val="right"/>
              <w:ind w:right="176"/>
              <w:spacing w:after="0"/>
              <w:rPr>
                <w:sz w:val="20"/>
                <w:szCs w:val="20"/>
                <w:color w:val="auto"/>
              </w:rPr>
            </w:pPr>
            <w:r>
              <w:rPr>
                <w:rFonts w:ascii="Arial" w:cs="Arial" w:eastAsia="Arial" w:hAnsi="Arial"/>
                <w:sz w:val="17"/>
                <w:szCs w:val="17"/>
                <w:b w:val="1"/>
                <w:bCs w:val="1"/>
                <w:color w:val="00539B"/>
                <w:w w:val="84"/>
              </w:rPr>
              <w:t>$</w:t>
            </w:r>
          </w:p>
        </w:tc>
        <w:tc>
          <w:tcPr>
            <w:tcW w:w="1380" w:type="dxa"/>
            <w:vAlign w:val="bottom"/>
            <w:tcBorders>
              <w:bottom w:val="single" w:sz="8" w:color="auto"/>
            </w:tcBorders>
          </w:tcPr>
          <w:p>
            <w:pPr>
              <w:jc w:val="right"/>
              <w:ind w:right="136"/>
              <w:spacing w:after="0"/>
              <w:rPr>
                <w:sz w:val="20"/>
                <w:szCs w:val="20"/>
                <w:color w:val="auto"/>
              </w:rPr>
            </w:pPr>
            <w:r>
              <w:rPr>
                <w:rFonts w:ascii="Arial" w:cs="Arial" w:eastAsia="Arial" w:hAnsi="Arial"/>
                <w:sz w:val="17"/>
                <w:szCs w:val="17"/>
                <w:b w:val="1"/>
                <w:bCs w:val="1"/>
                <w:color w:val="00539B"/>
              </w:rPr>
              <w:t>2,123</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560" w:type="dxa"/>
            <w:vAlign w:val="bottom"/>
            <w:tcBorders>
              <w:bottom w:val="single" w:sz="8" w:color="auto"/>
            </w:tcBorders>
          </w:tcPr>
          <w:p>
            <w:pPr>
              <w:jc w:val="right"/>
              <w:ind w:right="136"/>
              <w:spacing w:after="0"/>
              <w:rPr>
                <w:sz w:val="20"/>
                <w:szCs w:val="20"/>
                <w:color w:val="auto"/>
              </w:rPr>
            </w:pPr>
            <w:r>
              <w:rPr>
                <w:rFonts w:ascii="Arial" w:cs="Arial" w:eastAsia="Arial" w:hAnsi="Arial"/>
                <w:sz w:val="17"/>
                <w:szCs w:val="17"/>
                <w:color w:val="auto"/>
              </w:rPr>
              <w:t>8,631</w:t>
            </w:r>
          </w:p>
        </w:tc>
        <w:tc>
          <w:tcPr>
            <w:tcW w:w="0" w:type="dxa"/>
            <w:vAlign w:val="bottom"/>
          </w:tcPr>
          <w:p>
            <w:pPr>
              <w:spacing w:after="0"/>
              <w:rPr>
                <w:sz w:val="1"/>
                <w:szCs w:val="1"/>
                <w:color w:val="auto"/>
              </w:rPr>
            </w:pPr>
          </w:p>
        </w:tc>
      </w:tr>
      <w:tr>
        <w:trPr>
          <w:trHeight w:val="220"/>
        </w:trPr>
        <w:tc>
          <w:tcPr>
            <w:tcW w:w="426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Worldwide effective tax rate</w:t>
            </w:r>
          </w:p>
        </w:tc>
        <w:tc>
          <w:tcPr>
            <w:tcW w:w="3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35 %</w:t>
            </w:r>
          </w:p>
        </w:tc>
        <w:tc>
          <w:tcPr>
            <w:tcW w:w="3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27 %</w:t>
            </w:r>
          </w:p>
        </w:tc>
        <w:tc>
          <w:tcPr>
            <w:tcW w:w="3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00539B"/>
              </w:rPr>
              <w:t>31 %</w:t>
            </w:r>
          </w:p>
        </w:tc>
        <w:tc>
          <w:tcPr>
            <w:tcW w:w="1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bl>
    <w:p>
      <w:pPr>
        <w:spacing w:after="0" w:line="302" w:lineRule="exact"/>
        <w:rPr>
          <w:sz w:val="20"/>
          <w:szCs w:val="20"/>
          <w:color w:val="auto"/>
        </w:rPr>
      </w:pPr>
    </w:p>
    <w:p>
      <w:pPr>
        <w:jc w:val="both"/>
        <w:ind w:firstLine="240"/>
        <w:spacing w:after="0" w:line="251" w:lineRule="auto"/>
        <w:rPr>
          <w:sz w:val="20"/>
          <w:szCs w:val="20"/>
          <w:color w:val="auto"/>
        </w:rPr>
      </w:pPr>
      <w:r>
        <w:rPr>
          <w:rFonts w:ascii="Arial" w:cs="Arial" w:eastAsia="Arial" w:hAnsi="Arial"/>
          <w:sz w:val="17"/>
          <w:szCs w:val="17"/>
          <w:color w:val="auto"/>
        </w:rPr>
        <w:t>Occidental estimates its annual effective income tax rate in recording its quarterly provision for income taxes in the various jurisdictions in which Occidental operates, adjusted for certain discrete items. Each quarter, Occidental updates these rates and records a cumulative adjustment to its income taxes by applying the rates to the pre-tax income excluding certain discrete items. Occidental’s quarterly estimate of its effective tax rates can vary significantly based on various forecasted items, including future commodity prices, capital expenditures, expenses for which tax benefits are not recognized and the geographic mix of pre-tax income and losses.</w:t>
      </w:r>
    </w:p>
    <w:p>
      <w:pPr>
        <w:spacing w:after="0" w:line="4" w:lineRule="exact"/>
        <w:rPr>
          <w:sz w:val="20"/>
          <w:szCs w:val="20"/>
          <w:color w:val="auto"/>
        </w:rPr>
      </w:pPr>
    </w:p>
    <w:p>
      <w:pPr>
        <w:jc w:val="both"/>
        <w:ind w:firstLine="240"/>
        <w:spacing w:after="0" w:line="249" w:lineRule="auto"/>
        <w:rPr>
          <w:sz w:val="20"/>
          <w:szCs w:val="20"/>
          <w:color w:val="auto"/>
        </w:rPr>
      </w:pPr>
      <w:r>
        <w:rPr>
          <w:rFonts w:ascii="Arial" w:cs="Arial" w:eastAsia="Arial" w:hAnsi="Arial"/>
          <w:sz w:val="17"/>
          <w:szCs w:val="17"/>
          <w:color w:val="auto"/>
        </w:rPr>
        <w:t>The 35%, 27%, and 31% worldwide effective tax rates for the three months ended June 30, 2023, three months ended March 31, 2023, and six months ended June 30, 2023, respectively, are primarily driven by Occidental's jurisdictional mix of income. U.S. income is taxed at a U.S. federal statutory rate of 21%, while international income is subject to tax at statutory rates as high as 55%. These effective rates differ from the negative 7% tax rate for income from continuing operations for the six months ended June 30, 2022, which was impacted by a tax benefit associated with Occidental's legal entity reorganization as described above.</w:t>
      </w:r>
    </w:p>
    <w:p>
      <w:pPr>
        <w:jc w:val="both"/>
        <w:ind w:firstLine="240"/>
        <w:spacing w:after="0" w:line="271" w:lineRule="auto"/>
        <w:rPr>
          <w:sz w:val="20"/>
          <w:szCs w:val="20"/>
          <w:color w:val="auto"/>
        </w:rPr>
      </w:pPr>
      <w:r>
        <w:rPr>
          <w:rFonts w:ascii="Arial" w:cs="Arial" w:eastAsia="Arial" w:hAnsi="Arial"/>
          <w:sz w:val="17"/>
          <w:szCs w:val="17"/>
          <w:color w:val="auto"/>
        </w:rPr>
        <w:t xml:space="preserve">See </w:t>
      </w:r>
      <w:r>
        <w:rPr>
          <w:rFonts w:ascii="Arial" w:cs="Arial" w:eastAsia="Arial" w:hAnsi="Arial"/>
          <w:sz w:val="17"/>
          <w:szCs w:val="17"/>
          <w:u w:val="single" w:color="auto"/>
          <w:color w:val="auto"/>
        </w:rPr>
        <w:t>Note 6 - Income Taxes</w:t>
      </w:r>
      <w:r>
        <w:rPr>
          <w:rFonts w:ascii="Arial" w:cs="Arial" w:eastAsia="Arial" w:hAnsi="Arial"/>
          <w:sz w:val="17"/>
          <w:szCs w:val="17"/>
          <w:color w:val="auto"/>
        </w:rPr>
        <w:t xml:space="preserve"> in the notes to the Consolidated Condensed Financial Statements in Part I, Item 1 of this Form 10-Q for additional information regarding Occidental’s income taxes and legal entity reorganization in 2022.</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715962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sectPr>
      </w:pPr>
    </w:p>
    <w:bookmarkStart w:id="36" w:name="page37"/>
    <w:bookmarkEnd w:id="36"/>
    <w:p>
      <w:pPr>
        <w:ind w:left="20"/>
        <w:spacing w:after="0"/>
        <w:rPr>
          <w:sz w:val="20"/>
          <w:szCs w:val="20"/>
          <w:color w:val="auto"/>
        </w:rPr>
      </w:pPr>
      <w:r>
        <w:rPr>
          <w:rFonts w:ascii="Arial" w:cs="Arial" w:eastAsia="Arial" w:hAnsi="Arial"/>
          <w:sz w:val="25"/>
          <w:szCs w:val="25"/>
          <w:b w:val="1"/>
          <w:bCs w:val="1"/>
          <w:color w:val="00539B"/>
        </w:rPr>
        <w:t>LIQUIDITY AND CAPITAL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-180975</wp:posOffset>
            </wp:positionV>
            <wp:extent cx="713422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4225" cy="17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30480</wp:posOffset>
            </wp:positionV>
            <wp:extent cx="713422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pacing w:after="0" w:line="357" w:lineRule="exact"/>
        <w:rPr>
          <w:sz w:val="20"/>
          <w:szCs w:val="20"/>
          <w:color w:val="auto"/>
        </w:rPr>
      </w:pPr>
    </w:p>
    <w:p>
      <w:pPr>
        <w:jc w:val="both"/>
        <w:ind w:firstLine="240"/>
        <w:spacing w:after="0" w:line="261" w:lineRule="auto"/>
        <w:rPr>
          <w:sz w:val="20"/>
          <w:szCs w:val="20"/>
          <w:color w:val="auto"/>
        </w:rPr>
      </w:pPr>
      <w:r>
        <w:rPr>
          <w:rFonts w:ascii="Arial" w:cs="Arial" w:eastAsia="Arial" w:hAnsi="Arial"/>
          <w:sz w:val="17"/>
          <w:szCs w:val="17"/>
          <w:color w:val="auto"/>
        </w:rPr>
        <w:t>As of June 30, 2023, Occidental had approximately $0.5 billion of cash and cash equivalents on hand. Through the date of this filing, Occidental has drawn no amounts under its RCF, which has $4.0 billion of borrowing capacity and matures in June 2025.</w:t>
      </w:r>
    </w:p>
    <w:p>
      <w:pPr>
        <w:jc w:val="both"/>
        <w:ind w:firstLine="240"/>
        <w:spacing w:after="0" w:line="261" w:lineRule="auto"/>
        <w:rPr>
          <w:sz w:val="20"/>
          <w:szCs w:val="20"/>
          <w:color w:val="auto"/>
        </w:rPr>
      </w:pPr>
      <w:r>
        <w:rPr>
          <w:rFonts w:ascii="Arial" w:cs="Arial" w:eastAsia="Arial" w:hAnsi="Arial"/>
          <w:sz w:val="16"/>
          <w:szCs w:val="16"/>
          <w:color w:val="auto"/>
        </w:rPr>
        <w:t>Operating cash flow was $5.9 billion for the six months ended June 30, 2023, compared to $8.6 billion for the six months ended June 30, 2022. The decrease in operating cash flow from continuing operations was primarily due to lower commodity prices as compared to the same period in 2022.</w:t>
      </w:r>
    </w:p>
    <w:p>
      <w:pPr>
        <w:jc w:val="both"/>
        <w:ind w:firstLine="240"/>
        <w:spacing w:after="0" w:line="246" w:lineRule="auto"/>
        <w:rPr>
          <w:sz w:val="20"/>
          <w:szCs w:val="20"/>
          <w:color w:val="auto"/>
        </w:rPr>
      </w:pPr>
      <w:r>
        <w:rPr>
          <w:rFonts w:ascii="Arial" w:cs="Arial" w:eastAsia="Arial" w:hAnsi="Arial"/>
          <w:sz w:val="17"/>
          <w:szCs w:val="17"/>
          <w:color w:val="auto"/>
        </w:rPr>
        <w:t>Occidental’s net cash used by investing activities was $3.5 billion for the six months ended June 30, 2023, compared to $2.0 billion for the six months ended June 30, 2022. Capital expenditures, of which the majority were for the oil and gas segment, were approximately $3.1 billion for the six months ended June 30, 2023, compared to $1.8 billion for the six months ended June 30, 2022.</w:t>
      </w:r>
    </w:p>
    <w:p>
      <w:pPr>
        <w:spacing w:after="0" w:line="2" w:lineRule="exact"/>
        <w:rPr>
          <w:sz w:val="20"/>
          <w:szCs w:val="20"/>
          <w:color w:val="auto"/>
        </w:rPr>
      </w:pPr>
    </w:p>
    <w:p>
      <w:pPr>
        <w:jc w:val="both"/>
        <w:ind w:firstLine="240"/>
        <w:spacing w:after="0" w:line="249" w:lineRule="auto"/>
        <w:rPr>
          <w:sz w:val="20"/>
          <w:szCs w:val="20"/>
          <w:color w:val="auto"/>
        </w:rPr>
      </w:pPr>
      <w:r>
        <w:rPr>
          <w:rFonts w:ascii="Arial" w:cs="Arial" w:eastAsia="Arial" w:hAnsi="Arial"/>
          <w:sz w:val="17"/>
          <w:szCs w:val="17"/>
          <w:color w:val="auto"/>
        </w:rPr>
        <w:t>Occidental’s net cash used by financing activities was $2.9 billion for the six months ended June 30, 2023, compared to $8.0 billion for the six months ended June 30, 2022. Cash used by financing activities for the six months ended June 30, 2023 reflected treasury share repurchases of $1.2 billion, preferred stock redemptions of $982 million and dividend payments of $688 million on preferred and common stock. Cash used by financing activities for the six months ended June 30, 2022 reflected repayments of debt of $7.1 billion, dividend payments of $539 million on preferred and common stock, and treasury share repurchases of $568 million. As of June 30, 2023, Occidental had $1.8 billion remaining of the $3.0 billion share repurchase program that was announced in February 2023. The program does not obligate Occidental to acquire any specific number of shares and may be discontinued at any time.</w:t>
      </w:r>
    </w:p>
    <w:p>
      <w:pPr>
        <w:spacing w:after="0" w:line="5" w:lineRule="exact"/>
        <w:rPr>
          <w:sz w:val="20"/>
          <w:szCs w:val="20"/>
          <w:color w:val="auto"/>
        </w:rPr>
      </w:pPr>
    </w:p>
    <w:p>
      <w:pPr>
        <w:jc w:val="both"/>
        <w:ind w:firstLine="240"/>
        <w:spacing w:after="0" w:line="249" w:lineRule="auto"/>
        <w:rPr>
          <w:sz w:val="20"/>
          <w:szCs w:val="20"/>
          <w:color w:val="auto"/>
        </w:rPr>
      </w:pPr>
      <w:r>
        <w:rPr>
          <w:rFonts w:ascii="Arial" w:cs="Arial" w:eastAsia="Arial" w:hAnsi="Arial"/>
          <w:sz w:val="17"/>
          <w:szCs w:val="17"/>
          <w:color w:val="auto"/>
        </w:rPr>
        <w:t>Occidental’s Zero Coupons can be put to Occidental in October of each year, in whole or in part, for the then accreted value of the outstanding Zero Coupons. The Zero Coupons can next be put to Occidental in October 2023, which, if put in whole, would require a payment of approximately $344 million at such date. Occidental currently has the ability to meet this obligation and may use available capacity under the RCF and other committed facilities to satisfy the put should it be exercised.</w:t>
      </w:r>
    </w:p>
    <w:p>
      <w:pPr>
        <w:spacing w:after="0" w:line="3" w:lineRule="exact"/>
        <w:rPr>
          <w:sz w:val="20"/>
          <w:szCs w:val="20"/>
          <w:color w:val="auto"/>
        </w:rPr>
      </w:pPr>
    </w:p>
    <w:p>
      <w:pPr>
        <w:jc w:val="both"/>
        <w:ind w:firstLine="240"/>
        <w:spacing w:after="0" w:line="261" w:lineRule="auto"/>
        <w:rPr>
          <w:sz w:val="20"/>
          <w:szCs w:val="20"/>
          <w:color w:val="auto"/>
        </w:rPr>
      </w:pPr>
      <w:r>
        <w:rPr>
          <w:rFonts w:ascii="Arial" w:cs="Arial" w:eastAsia="Arial" w:hAnsi="Arial"/>
          <w:sz w:val="16"/>
          <w:szCs w:val="16"/>
          <w:color w:val="auto"/>
        </w:rPr>
        <w:t>As of June 30, 2023, and through the date of this filing, Occidental was in compliance with all covenants in its financing agreements. Occidental has no remaining debt maturities in 2023, $1.1 billion in 2024, $1.2 billion in 2025, $1.4 billion in 2026 and $14.2 billion thereafter. Occidental currently expects its cash on hand and funds available from the RCF and other committed facilities to be sufficient to meet its near-term debt maturities, operating expenditures, capital expenditures, preferred stock redemptions and other obligations for the next 12 months from the date of this filing.</w:t>
      </w:r>
    </w:p>
    <w:p>
      <w:pPr>
        <w:jc w:val="both"/>
        <w:ind w:firstLine="240"/>
        <w:spacing w:after="0" w:line="258" w:lineRule="auto"/>
        <w:rPr>
          <w:sz w:val="20"/>
          <w:szCs w:val="20"/>
          <w:color w:val="auto"/>
        </w:rPr>
      </w:pPr>
      <w:r>
        <w:rPr>
          <w:rFonts w:ascii="Arial" w:cs="Arial" w:eastAsia="Arial" w:hAnsi="Arial"/>
          <w:sz w:val="17"/>
          <w:szCs w:val="17"/>
          <w:color w:val="auto"/>
        </w:rPr>
        <w:t>Occidental or its subsidiaries have provided financial assurances through a combination of cash, letters of credit and surety bonds. As of June 30, 2023, Occidental had not issued any letters of credit under the RCF or other committed facilities. For additional information, see Risk Factors in Part I, Item 1A of Occidental’s 2022 Form 10-K.</w:t>
      </w:r>
    </w:p>
    <w:p>
      <w:pPr>
        <w:spacing w:after="0" w:line="255"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00539B"/>
        </w:rPr>
        <w:t>ENVIRONMENTAL LIABILITIES AND EXPENDITURES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-180975</wp:posOffset>
            </wp:positionV>
            <wp:extent cx="713422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4225" cy="17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30480</wp:posOffset>
            </wp:positionV>
            <wp:extent cx="713422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pacing w:after="0" w:line="357" w:lineRule="exact"/>
        <w:rPr>
          <w:sz w:val="20"/>
          <w:szCs w:val="20"/>
          <w:color w:val="auto"/>
        </w:rPr>
      </w:pPr>
    </w:p>
    <w:p>
      <w:pPr>
        <w:jc w:val="both"/>
        <w:ind w:firstLine="240"/>
        <w:spacing w:after="0" w:line="256" w:lineRule="auto"/>
        <w:rPr>
          <w:sz w:val="20"/>
          <w:szCs w:val="20"/>
          <w:color w:val="auto"/>
        </w:rPr>
      </w:pPr>
      <w:r>
        <w:rPr>
          <w:rFonts w:ascii="Arial" w:cs="Arial" w:eastAsia="Arial" w:hAnsi="Arial"/>
          <w:sz w:val="17"/>
          <w:szCs w:val="17"/>
          <w:color w:val="auto"/>
        </w:rPr>
        <w:t>Occidental’s operations are subject to stringent federal, regional, state, provincial, tribal, local and international laws and regulations related to improving or maintaining environmental quality. Occidental’s environmental compliance costs have generally increased over time and are expected to rise in the future. Occidental factors environmental expenditures for its operations as an integral part of its business planning process.</w:t>
      </w:r>
    </w:p>
    <w:p>
      <w:pPr>
        <w:jc w:val="both"/>
        <w:ind w:firstLine="240"/>
        <w:spacing w:after="0" w:line="247" w:lineRule="auto"/>
        <w:rPr>
          <w:sz w:val="20"/>
          <w:szCs w:val="20"/>
          <w:color w:val="auto"/>
        </w:rPr>
      </w:pPr>
      <w:r>
        <w:rPr>
          <w:rFonts w:ascii="Arial" w:cs="Arial" w:eastAsia="Arial" w:hAnsi="Arial"/>
          <w:sz w:val="17"/>
          <w:szCs w:val="17"/>
          <w:color w:val="auto"/>
        </w:rPr>
        <w:t>The laws that require or address environmental remediation, including CERCLA and similar federal, regional, state, provincial, tribal, local and international laws, may apply retroactively and regardless of fault, the legality of the original activities or the current ownership or control of sites. Occidental or certain of its subsidiaries participate in or actively monitor a range of remedial activities and government or private proceedings under these laws with respect to alleged past practices at Third-Party, Currently Operated, and Closed or Non-Operated Sites. Remedial activities may include one or more of the following: investigation involving sampling, modeling, risk assessment or monitoring; cleanup measures including removal, treatment or disposal; or operation and maintenance of remedial systems. The environmental proceedings seek funding or performance of remediation and, in some cases, compensation for alleged property damage, natural resource damages, punitive damages, civil penalties, injunctive relief and government oversight costs.</w:t>
      </w:r>
    </w:p>
    <w:p>
      <w:pPr>
        <w:spacing w:after="0" w:line="5" w:lineRule="exact"/>
        <w:rPr>
          <w:sz w:val="20"/>
          <w:szCs w:val="20"/>
          <w:color w:val="auto"/>
        </w:rPr>
      </w:pPr>
    </w:p>
    <w:p>
      <w:pPr>
        <w:jc w:val="both"/>
        <w:ind w:firstLine="240"/>
        <w:spacing w:after="0" w:line="258" w:lineRule="auto"/>
        <w:rPr>
          <w:sz w:val="20"/>
          <w:szCs w:val="20"/>
          <w:color w:val="auto"/>
        </w:rPr>
      </w:pPr>
      <w:r>
        <w:rPr>
          <w:rFonts w:ascii="Arial" w:cs="Arial" w:eastAsia="Arial" w:hAnsi="Arial"/>
          <w:sz w:val="17"/>
          <w:szCs w:val="17"/>
          <w:color w:val="auto"/>
        </w:rPr>
        <w:t xml:space="preserve">See </w:t>
      </w:r>
      <w:r>
        <w:rPr>
          <w:rFonts w:ascii="Arial" w:cs="Arial" w:eastAsia="Arial" w:hAnsi="Arial"/>
          <w:sz w:val="17"/>
          <w:szCs w:val="17"/>
          <w:u w:val="single" w:color="auto"/>
          <w:color w:val="auto"/>
        </w:rPr>
        <w:t>Note 7 - Environmental Liabilities and Expenditures</w:t>
      </w:r>
      <w:r>
        <w:rPr>
          <w:rFonts w:ascii="Arial" w:cs="Arial" w:eastAsia="Arial" w:hAnsi="Arial"/>
          <w:sz w:val="17"/>
          <w:szCs w:val="17"/>
          <w:color w:val="auto"/>
        </w:rPr>
        <w:t xml:space="preserve"> in the notes to the Consolidated Condensed Financial Statements in Part I, Item 1 of this Form 10-Q and the Environmental Liabilities and Expenditures section of Management’s Discussion and Analysis of Financial Condition and Results of Operations in the 2022 Form 10-K for additional information regarding Occidental’s environmental liabilities and expenditures.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715962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25" w:right="339" w:bottom="1440" w:gutter="0" w:footer="0" w:header="0"/>
        </w:sectPr>
      </w:pPr>
    </w:p>
    <w:bookmarkStart w:id="37" w:name="page38"/>
    <w:bookmarkEnd w:id="37"/>
    <w:p>
      <w:pPr>
        <w:ind w:left="20"/>
        <w:spacing w:after="0"/>
        <w:rPr>
          <w:sz w:val="20"/>
          <w:szCs w:val="20"/>
          <w:color w:val="auto"/>
        </w:rPr>
      </w:pPr>
      <w:r>
        <w:rPr>
          <w:rFonts w:ascii="Arial" w:cs="Arial" w:eastAsia="Arial" w:hAnsi="Arial"/>
          <w:sz w:val="24"/>
          <w:szCs w:val="24"/>
          <w:b w:val="1"/>
          <w:bCs w:val="1"/>
          <w:color w:val="00539B"/>
        </w:rPr>
        <w:t>LAWSUITS, CLAIMS, COMMITMENTS AND CONTINGENCIES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-173355</wp:posOffset>
            </wp:positionV>
            <wp:extent cx="713422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4225" cy="17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37465</wp:posOffset>
            </wp:positionV>
            <wp:extent cx="713422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925" w:right="339" w:bottom="1440" w:gutter="0" w:footer="0" w:header="0"/>
        </w:sectPr>
      </w:pPr>
    </w:p>
    <w:p>
      <w:pPr>
        <w:spacing w:after="0" w:line="388" w:lineRule="exact"/>
        <w:rPr>
          <w:sz w:val="20"/>
          <w:szCs w:val="20"/>
          <w:color w:val="auto"/>
        </w:rPr>
      </w:pPr>
    </w:p>
    <w:p>
      <w:pPr>
        <w:jc w:val="both"/>
        <w:ind w:firstLine="240"/>
        <w:spacing w:after="0" w:line="255" w:lineRule="auto"/>
        <w:rPr>
          <w:sz w:val="20"/>
          <w:szCs w:val="20"/>
          <w:color w:val="auto"/>
        </w:rPr>
      </w:pPr>
      <w:r>
        <w:rPr>
          <w:rFonts w:ascii="Arial" w:cs="Arial" w:eastAsia="Arial" w:hAnsi="Arial"/>
          <w:sz w:val="17"/>
          <w:szCs w:val="17"/>
          <w:color w:val="auto"/>
        </w:rPr>
        <w:t xml:space="preserve">Occidental accrues reserves for outstanding lawsuits, claims and proceedings when it is probable that a liability has been incurred and the liability can be reasonably estimated. Occidental has disclosed its reserve balances for environmental remediation matters and its estimated range of reasonably possible additional losses for such matters. See </w:t>
      </w:r>
      <w:r>
        <w:rPr>
          <w:rFonts w:ascii="Arial" w:cs="Arial" w:eastAsia="Arial" w:hAnsi="Arial"/>
          <w:sz w:val="17"/>
          <w:szCs w:val="17"/>
          <w:u w:val="single" w:color="auto"/>
          <w:color w:val="auto"/>
        </w:rPr>
        <w:t>Note 7 - Environmental Liabilities and Expenditures</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Note 8 - Lawsuits, Claims,</w:t>
      </w:r>
      <w:r>
        <w:rPr>
          <w:rFonts w:ascii="Arial" w:cs="Arial" w:eastAsia="Arial" w:hAnsi="Arial"/>
          <w:sz w:val="17"/>
          <w:szCs w:val="17"/>
          <w:color w:val="auto"/>
        </w:rPr>
        <w:t xml:space="preserve"> </w:t>
      </w:r>
      <w:r>
        <w:rPr>
          <w:rFonts w:ascii="Arial" w:cs="Arial" w:eastAsia="Arial" w:hAnsi="Arial"/>
          <w:sz w:val="17"/>
          <w:szCs w:val="17"/>
          <w:u w:val="single" w:color="auto"/>
          <w:color w:val="auto"/>
        </w:rPr>
        <w:t>Commitments and Contingencies</w:t>
      </w:r>
      <w:r>
        <w:rPr>
          <w:rFonts w:ascii="Arial" w:cs="Arial" w:eastAsia="Arial" w:hAnsi="Arial"/>
          <w:sz w:val="17"/>
          <w:szCs w:val="17"/>
          <w:color w:val="auto"/>
        </w:rPr>
        <w:t xml:space="preserve"> in the notes to the Consolidated Condensed Financial Statements in Part I, Item 1 of this Form 10-Q for further information.</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00539B"/>
        </w:rPr>
        <w:t>Item 3. Quantitative and Qualitative Disclosures About Market Risk</w:t>
      </w:r>
    </w:p>
    <w:p>
      <w:pPr>
        <w:spacing w:after="0" w:line="270" w:lineRule="exact"/>
        <w:rPr>
          <w:sz w:val="20"/>
          <w:szCs w:val="20"/>
          <w:color w:val="auto"/>
        </w:rPr>
      </w:pPr>
    </w:p>
    <w:p>
      <w:pPr>
        <w:jc w:val="both"/>
        <w:ind w:firstLine="240"/>
        <w:spacing w:after="0" w:line="269" w:lineRule="auto"/>
        <w:rPr>
          <w:sz w:val="20"/>
          <w:szCs w:val="20"/>
          <w:color w:val="auto"/>
        </w:rPr>
      </w:pPr>
      <w:r>
        <w:rPr>
          <w:rFonts w:ascii="Arial" w:cs="Arial" w:eastAsia="Arial" w:hAnsi="Arial"/>
          <w:sz w:val="17"/>
          <w:szCs w:val="17"/>
          <w:color w:val="auto"/>
        </w:rPr>
        <w:t>For the three months ended June 30, 2023, there were no material changes in the information required to be provided under Item 305 of Regulation S-K included under Item 7A, Quantitative and Qualitative Disclosures About Market Risk in the 2022 Form 10-K.</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color w:val="00539B"/>
        </w:rPr>
        <w:t>Item 4. Controls and Procedures</w:t>
      </w:r>
    </w:p>
    <w:p>
      <w:pPr>
        <w:spacing w:after="0" w:line="257" w:lineRule="exact"/>
        <w:rPr>
          <w:sz w:val="20"/>
          <w:szCs w:val="20"/>
          <w:color w:val="auto"/>
        </w:rPr>
      </w:pPr>
    </w:p>
    <w:p>
      <w:pPr>
        <w:jc w:val="both"/>
        <w:ind w:firstLine="280"/>
        <w:spacing w:after="0" w:line="251" w:lineRule="auto"/>
        <w:rPr>
          <w:sz w:val="20"/>
          <w:szCs w:val="20"/>
          <w:color w:val="auto"/>
        </w:rPr>
      </w:pPr>
      <w:r>
        <w:rPr>
          <w:rFonts w:ascii="Arial" w:cs="Arial" w:eastAsia="Arial" w:hAnsi="Arial"/>
          <w:sz w:val="17"/>
          <w:szCs w:val="17"/>
          <w:color w:val="auto"/>
        </w:rPr>
        <w:t>Occidental's President and Chief Executive Officer and its Senior Vice President and Chief Financial Officer supervised and participated in Occidental's evaluation of the effectiveness of its disclosure controls and procedures (as defined in Rules 13a-15(e) and 15d-15(e) under the Securities Exchange Act of 1934) as of the end of the period covered by this report. Based upon that evaluation, Occidental's President and Chief Executive Officer and Senior Vice President and Chief Financial Officer concluded that Occidental's disclosure controls and procedures were effective as of June 30, 2023.</w:t>
      </w:r>
    </w:p>
    <w:p>
      <w:pPr>
        <w:spacing w:after="0" w:line="4" w:lineRule="exact"/>
        <w:rPr>
          <w:sz w:val="20"/>
          <w:szCs w:val="20"/>
          <w:color w:val="auto"/>
        </w:rPr>
      </w:pPr>
    </w:p>
    <w:p>
      <w:pPr>
        <w:jc w:val="both"/>
        <w:ind w:firstLine="280"/>
        <w:spacing w:after="0" w:line="258" w:lineRule="auto"/>
        <w:rPr>
          <w:sz w:val="20"/>
          <w:szCs w:val="20"/>
          <w:color w:val="auto"/>
        </w:rPr>
      </w:pPr>
      <w:r>
        <w:rPr>
          <w:rFonts w:ascii="Arial" w:cs="Arial" w:eastAsia="Arial" w:hAnsi="Arial"/>
          <w:sz w:val="17"/>
          <w:szCs w:val="17"/>
          <w:color w:val="auto"/>
        </w:rPr>
        <w:t>There has been no change in Occidental’s internal control over financial reporting (as defined in Rules 13a-15(f) and 15d-15(f) under the Exchange Act) during the three months ended June 30, 2023 that has materially affected, or is reasonably likely to materially affect, Occidental’s internal control over financial reporting.</w:t>
      </w:r>
    </w:p>
    <w:p>
      <w:pPr>
        <w:spacing w:after="0" w:line="211" w:lineRule="exact"/>
        <w:rPr>
          <w:sz w:val="20"/>
          <w:szCs w:val="20"/>
          <w:color w:val="auto"/>
        </w:rPr>
      </w:pPr>
    </w:p>
    <w:p>
      <w:pPr>
        <w:spacing w:after="0"/>
        <w:rPr>
          <w:sz w:val="20"/>
          <w:szCs w:val="20"/>
          <w:color w:val="auto"/>
        </w:rPr>
      </w:pPr>
      <w:r>
        <w:rPr>
          <w:rFonts w:ascii="Arial" w:cs="Arial" w:eastAsia="Arial" w:hAnsi="Arial"/>
          <w:sz w:val="21"/>
          <w:szCs w:val="21"/>
          <w:b w:val="1"/>
          <w:bCs w:val="1"/>
          <w:color w:val="00539B"/>
        </w:rPr>
        <w:t>Part II Other Information</w:t>
      </w:r>
    </w:p>
    <w:p>
      <w:pPr>
        <w:spacing w:after="0" w:line="247" w:lineRule="exact"/>
        <w:rPr>
          <w:sz w:val="20"/>
          <w:szCs w:val="20"/>
          <w:color w:val="auto"/>
        </w:rPr>
      </w:pPr>
    </w:p>
    <w:p>
      <w:pPr>
        <w:spacing w:after="0"/>
        <w:rPr>
          <w:sz w:val="20"/>
          <w:szCs w:val="20"/>
          <w:color w:val="auto"/>
        </w:rPr>
      </w:pPr>
      <w:r>
        <w:rPr>
          <w:rFonts w:ascii="Arial" w:cs="Arial" w:eastAsia="Arial" w:hAnsi="Arial"/>
          <w:sz w:val="20"/>
          <w:szCs w:val="20"/>
          <w:b w:val="1"/>
          <w:bCs w:val="1"/>
          <w:color w:val="00539B"/>
        </w:rPr>
        <w:t>Item 1. Legal Proceedings</w:t>
      </w:r>
    </w:p>
    <w:p>
      <w:pPr>
        <w:spacing w:after="0" w:line="257" w:lineRule="exact"/>
        <w:rPr>
          <w:sz w:val="20"/>
          <w:szCs w:val="20"/>
          <w:color w:val="auto"/>
        </w:rPr>
      </w:pPr>
    </w:p>
    <w:p>
      <w:pPr>
        <w:jc w:val="both"/>
        <w:ind w:firstLine="240"/>
        <w:spacing w:after="0" w:line="253" w:lineRule="auto"/>
        <w:rPr>
          <w:sz w:val="20"/>
          <w:szCs w:val="20"/>
          <w:color w:val="auto"/>
        </w:rPr>
      </w:pPr>
      <w:r>
        <w:rPr>
          <w:rFonts w:ascii="Arial" w:cs="Arial" w:eastAsia="Arial" w:hAnsi="Arial"/>
          <w:sz w:val="17"/>
          <w:szCs w:val="17"/>
          <w:color w:val="auto"/>
        </w:rPr>
        <w:t xml:space="preserve">Occidental has elected to use a $1 million threshold for disclosing certain proceedings arising under federal, state or local environmental laws when a governmental authority is a party and potential monetary sanctions are involved. There are no new material legal proceedings or material developments with respect to matters previously disclosed in Part I, Item 3 of Occidental’s 2022 Form 10-K for the year ended December 31, 2022 and in Part II, Item 1 of Occidental’s Form 10-Q for the quarterly period ended March 31, 2023. For information regarding legal proceedings, see </w:t>
      </w:r>
      <w:r>
        <w:rPr>
          <w:rFonts w:ascii="Arial" w:cs="Arial" w:eastAsia="Arial" w:hAnsi="Arial"/>
          <w:sz w:val="17"/>
          <w:szCs w:val="17"/>
          <w:u w:val="single" w:color="auto"/>
          <w:color w:val="auto"/>
        </w:rPr>
        <w:t>Note</w:t>
      </w:r>
      <w:r>
        <w:rPr>
          <w:rFonts w:ascii="Arial" w:cs="Arial" w:eastAsia="Arial" w:hAnsi="Arial"/>
          <w:sz w:val="17"/>
          <w:szCs w:val="17"/>
          <w:color w:val="auto"/>
        </w:rPr>
        <w:t xml:space="preserve"> </w:t>
      </w:r>
      <w:r>
        <w:rPr>
          <w:rFonts w:ascii="Arial" w:cs="Arial" w:eastAsia="Arial" w:hAnsi="Arial"/>
          <w:sz w:val="17"/>
          <w:szCs w:val="17"/>
          <w:u w:val="single" w:color="auto"/>
          <w:color w:val="auto"/>
        </w:rPr>
        <w:t>8</w:t>
      </w:r>
      <w:r>
        <w:rPr>
          <w:rFonts w:ascii="Arial" w:cs="Arial" w:eastAsia="Arial" w:hAnsi="Arial"/>
          <w:sz w:val="17"/>
          <w:szCs w:val="17"/>
          <w:color w:val="auto"/>
        </w:rPr>
        <w:t xml:space="preserve"> </w:t>
      </w:r>
      <w:r>
        <w:rPr>
          <w:rFonts w:ascii="Arial" w:cs="Arial" w:eastAsia="Arial" w:hAnsi="Arial"/>
          <w:sz w:val="17"/>
          <w:szCs w:val="17"/>
          <w:u w:val="single" w:color="auto"/>
          <w:color w:val="0000FF"/>
        </w:rPr>
        <w:t>-</w:t>
      </w:r>
      <w:r>
        <w:rPr>
          <w:rFonts w:ascii="Arial" w:cs="Arial" w:eastAsia="Arial" w:hAnsi="Arial"/>
          <w:sz w:val="17"/>
          <w:szCs w:val="17"/>
          <w:color w:val="auto"/>
        </w:rPr>
        <w:t xml:space="preserve"> </w:t>
      </w:r>
      <w:r>
        <w:rPr>
          <w:rFonts w:ascii="Arial" w:cs="Arial" w:eastAsia="Arial" w:hAnsi="Arial"/>
          <w:sz w:val="17"/>
          <w:szCs w:val="17"/>
          <w:u w:val="single" w:color="auto"/>
          <w:color w:val="auto"/>
        </w:rPr>
        <w:t>Lawsuits, Claims, Commitments and Contingencies</w:t>
      </w:r>
      <w:r>
        <w:rPr>
          <w:rFonts w:ascii="Arial" w:cs="Arial" w:eastAsia="Arial" w:hAnsi="Arial"/>
          <w:sz w:val="17"/>
          <w:szCs w:val="17"/>
          <w:color w:val="auto"/>
        </w:rPr>
        <w:t xml:space="preserve"> in the notes to the Consolidated Condensed Financial Statements in Part I, Item 1 of this Form 10-Q.</w:t>
      </w:r>
    </w:p>
    <w:p>
      <w:pPr>
        <w:spacing w:after="0" w:line="225" w:lineRule="exact"/>
        <w:rPr>
          <w:sz w:val="20"/>
          <w:szCs w:val="20"/>
          <w:color w:val="auto"/>
        </w:rPr>
      </w:pPr>
    </w:p>
    <w:p>
      <w:pPr>
        <w:spacing w:after="0"/>
        <w:rPr>
          <w:sz w:val="20"/>
          <w:szCs w:val="20"/>
          <w:color w:val="auto"/>
        </w:rPr>
      </w:pPr>
      <w:r>
        <w:rPr>
          <w:rFonts w:ascii="Arial" w:cs="Arial" w:eastAsia="Arial" w:hAnsi="Arial"/>
          <w:sz w:val="20"/>
          <w:szCs w:val="20"/>
          <w:b w:val="1"/>
          <w:bCs w:val="1"/>
          <w:color w:val="00539B"/>
        </w:rPr>
        <w:t>Item 1A. Risk Factors</w:t>
      </w:r>
    </w:p>
    <w:p>
      <w:pPr>
        <w:spacing w:after="0" w:line="257" w:lineRule="exact"/>
        <w:rPr>
          <w:sz w:val="20"/>
          <w:szCs w:val="20"/>
          <w:color w:val="auto"/>
        </w:rPr>
      </w:pPr>
    </w:p>
    <w:p>
      <w:pPr>
        <w:jc w:val="both"/>
        <w:ind w:firstLine="240"/>
        <w:spacing w:after="0" w:line="269" w:lineRule="auto"/>
        <w:rPr>
          <w:sz w:val="20"/>
          <w:szCs w:val="20"/>
          <w:color w:val="auto"/>
        </w:rPr>
      </w:pPr>
      <w:r>
        <w:rPr>
          <w:rFonts w:ascii="Arial" w:cs="Arial" w:eastAsia="Arial" w:hAnsi="Arial"/>
          <w:sz w:val="17"/>
          <w:szCs w:val="17"/>
          <w:color w:val="auto"/>
        </w:rPr>
        <w:t>There have been no material changes from the risk factors included under Part I, Item 1A of Occidental’s 2022 Form 10-K for the year ended December 31, 2022.</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715962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25" w:right="339" w:bottom="1440" w:gutter="0" w:footer="0" w:header="0"/>
          <w:type w:val="continuous"/>
        </w:sectPr>
      </w:pPr>
    </w:p>
    <w:bookmarkStart w:id="38" w:name="page39"/>
    <w:bookmarkEnd w:id="38"/>
    <w:p>
      <w:pPr>
        <w:spacing w:after="0"/>
        <w:rPr>
          <w:sz w:val="20"/>
          <w:szCs w:val="20"/>
          <w:color w:val="auto"/>
        </w:rPr>
      </w:pPr>
      <w:r>
        <w:rPr>
          <w:rFonts w:ascii="Arial" w:cs="Arial" w:eastAsia="Arial" w:hAnsi="Arial"/>
          <w:sz w:val="20"/>
          <w:szCs w:val="20"/>
          <w:b w:val="1"/>
          <w:bCs w:val="1"/>
          <w:color w:val="00539B"/>
        </w:rPr>
        <w:t>Item 2. Unregistered Sales of Equity Securities and Use of Proceeds</w:t>
      </w:r>
    </w:p>
    <w:p>
      <w:pPr>
        <w:spacing w:after="0" w:line="257" w:lineRule="exact"/>
        <w:rPr>
          <w:sz w:val="20"/>
          <w:szCs w:val="20"/>
          <w:color w:val="auto"/>
        </w:rPr>
      </w:pPr>
    </w:p>
    <w:p>
      <w:pPr>
        <w:ind w:left="240"/>
        <w:spacing w:after="0"/>
        <w:rPr>
          <w:sz w:val="20"/>
          <w:szCs w:val="20"/>
          <w:color w:val="auto"/>
        </w:rPr>
      </w:pPr>
      <w:r>
        <w:rPr>
          <w:rFonts w:ascii="Arial" w:cs="Arial" w:eastAsia="Arial" w:hAnsi="Arial"/>
          <w:sz w:val="16"/>
          <w:szCs w:val="16"/>
          <w:color w:val="auto"/>
        </w:rPr>
        <w:t>Occidental’s share repurchase activities for the six months ended June 30, 2023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199390</wp:posOffset>
            </wp:positionV>
            <wp:extent cx="713422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76" w:right="339" w:bottom="1440" w:gutter="0" w:footer="0" w:header="0"/>
        </w:sectPr>
      </w:pPr>
    </w:p>
    <w:p>
      <w:pPr>
        <w:spacing w:after="0" w:line="200" w:lineRule="exact"/>
        <w:rPr>
          <w:sz w:val="20"/>
          <w:szCs w:val="20"/>
          <w:color w:val="auto"/>
        </w:rPr>
      </w:pPr>
    </w:p>
    <w:p>
      <w:pPr>
        <w:spacing w:after="0" w:line="206" w:lineRule="exact"/>
        <w:rPr>
          <w:sz w:val="20"/>
          <w:szCs w:val="20"/>
          <w:color w:val="auto"/>
        </w:rPr>
      </w:pPr>
    </w:p>
    <w:p>
      <w:pPr>
        <w:ind w:left="5340"/>
        <w:spacing w:after="0"/>
        <w:rPr>
          <w:sz w:val="20"/>
          <w:szCs w:val="20"/>
          <w:color w:val="auto"/>
        </w:rPr>
      </w:pPr>
      <w:r>
        <w:rPr>
          <w:rFonts w:ascii="Arial" w:cs="Arial" w:eastAsia="Arial" w:hAnsi="Arial"/>
          <w:sz w:val="17"/>
          <w:szCs w:val="17"/>
          <w:b w:val="1"/>
          <w:bCs w:val="1"/>
          <w:color w:val="auto"/>
        </w:rPr>
        <w:t>Total</w:t>
      </w:r>
    </w:p>
    <w:p>
      <w:pPr>
        <w:jc w:val="right"/>
        <w:spacing w:after="0" w:line="212" w:lineRule="auto"/>
        <w:rPr>
          <w:sz w:val="20"/>
          <w:szCs w:val="20"/>
          <w:color w:val="auto"/>
        </w:rPr>
      </w:pPr>
      <w:r>
        <w:rPr>
          <w:rFonts w:ascii="Arial" w:cs="Arial" w:eastAsia="Arial" w:hAnsi="Arial"/>
          <w:sz w:val="17"/>
          <w:szCs w:val="17"/>
          <w:b w:val="1"/>
          <w:bCs w:val="1"/>
          <w:color w:val="auto"/>
        </w:rPr>
        <w:t>Number Average Price</w:t>
      </w:r>
    </w:p>
    <w:tbl>
      <w:tblPr>
        <w:tblLayout w:type="fixed"/>
        <w:tblInd w:w="20" w:type="dxa"/>
        <w:tblCellMar>
          <w:top w:w="0" w:type="dxa"/>
          <w:left w:w="0" w:type="dxa"/>
          <w:bottom w:w="0" w:type="dxa"/>
          <w:right w:w="0" w:type="dxa"/>
        </w:tblCellMar>
      </w:tblPr>
      <w:tr>
        <w:trPr>
          <w:trHeight w:val="154"/>
        </w:trPr>
        <w:tc>
          <w:tcPr>
            <w:tcW w:w="2600" w:type="dxa"/>
            <w:vAlign w:val="bottom"/>
            <w:vMerge w:val="restart"/>
          </w:tcPr>
          <w:p>
            <w:pPr>
              <w:spacing w:after="0"/>
              <w:rPr>
                <w:sz w:val="20"/>
                <w:szCs w:val="20"/>
                <w:color w:val="auto"/>
              </w:rPr>
            </w:pPr>
            <w:r>
              <w:rPr>
                <w:rFonts w:ascii="Arial" w:cs="Arial" w:eastAsia="Arial" w:hAnsi="Arial"/>
                <w:sz w:val="17"/>
                <w:szCs w:val="17"/>
                <w:b w:val="1"/>
                <w:bCs w:val="1"/>
                <w:color w:val="auto"/>
              </w:rPr>
              <w:t>Period</w:t>
            </w:r>
          </w:p>
        </w:tc>
        <w:tc>
          <w:tcPr>
            <w:tcW w:w="3360" w:type="dxa"/>
            <w:vAlign w:val="bottom"/>
          </w:tcPr>
          <w:p>
            <w:pPr>
              <w:jc w:val="right"/>
              <w:ind w:right="176"/>
              <w:spacing w:after="0" w:line="154" w:lineRule="exact"/>
              <w:rPr>
                <w:sz w:val="20"/>
                <w:szCs w:val="20"/>
                <w:color w:val="auto"/>
              </w:rPr>
            </w:pPr>
            <w:r>
              <w:rPr>
                <w:rFonts w:ascii="Arial" w:cs="Arial" w:eastAsia="Arial" w:hAnsi="Arial"/>
                <w:sz w:val="17"/>
                <w:szCs w:val="17"/>
                <w:b w:val="1"/>
                <w:bCs w:val="1"/>
                <w:color w:val="auto"/>
              </w:rPr>
              <w:t>of Shares</w:t>
            </w:r>
          </w:p>
        </w:tc>
        <w:tc>
          <w:tcPr>
            <w:tcW w:w="920" w:type="dxa"/>
            <w:vAlign w:val="bottom"/>
          </w:tcPr>
          <w:p>
            <w:pPr>
              <w:jc w:val="right"/>
              <w:spacing w:after="0" w:line="154" w:lineRule="exact"/>
              <w:rPr>
                <w:sz w:val="20"/>
                <w:szCs w:val="20"/>
                <w:color w:val="auto"/>
              </w:rPr>
            </w:pPr>
            <w:r>
              <w:rPr>
                <w:rFonts w:ascii="Arial" w:cs="Arial" w:eastAsia="Arial" w:hAnsi="Arial"/>
                <w:sz w:val="17"/>
                <w:szCs w:val="17"/>
                <w:b w:val="1"/>
                <w:bCs w:val="1"/>
                <w:color w:val="auto"/>
              </w:rPr>
              <w:t>Paid per</w:t>
            </w:r>
          </w:p>
        </w:tc>
        <w:tc>
          <w:tcPr>
            <w:tcW w:w="0" w:type="dxa"/>
            <w:vAlign w:val="bottom"/>
          </w:tcPr>
          <w:p>
            <w:pPr>
              <w:spacing w:after="0"/>
              <w:rPr>
                <w:sz w:val="1"/>
                <w:szCs w:val="1"/>
                <w:color w:val="auto"/>
              </w:rPr>
            </w:pPr>
          </w:p>
        </w:tc>
      </w:tr>
      <w:tr>
        <w:trPr>
          <w:trHeight w:val="227"/>
        </w:trPr>
        <w:tc>
          <w:tcPr>
            <w:tcW w:w="2600" w:type="dxa"/>
            <w:vAlign w:val="bottom"/>
            <w:vMerge w:val="continue"/>
          </w:tcPr>
          <w:p>
            <w:pPr>
              <w:spacing w:after="0"/>
              <w:rPr>
                <w:sz w:val="19"/>
                <w:szCs w:val="19"/>
                <w:color w:val="auto"/>
              </w:rPr>
            </w:pPr>
          </w:p>
        </w:tc>
        <w:tc>
          <w:tcPr>
            <w:tcW w:w="3360" w:type="dxa"/>
            <w:vAlign w:val="bottom"/>
          </w:tcPr>
          <w:p>
            <w:pPr>
              <w:jc w:val="right"/>
              <w:ind w:right="176"/>
              <w:spacing w:after="0" w:line="227" w:lineRule="exact"/>
              <w:rPr>
                <w:sz w:val="20"/>
                <w:szCs w:val="20"/>
                <w:color w:val="auto"/>
              </w:rPr>
            </w:pPr>
            <w:r>
              <w:rPr>
                <w:rFonts w:ascii="Arial" w:cs="Arial" w:eastAsia="Arial" w:hAnsi="Arial"/>
                <w:sz w:val="17"/>
                <w:szCs w:val="17"/>
                <w:b w:val="1"/>
                <w:bCs w:val="1"/>
                <w:color w:val="auto"/>
              </w:rPr>
              <w:t xml:space="preserve">Purchased </w:t>
            </w:r>
            <w:r>
              <w:rPr>
                <w:rFonts w:ascii="Arial" w:cs="Arial" w:eastAsia="Arial" w:hAnsi="Arial"/>
                <w:sz w:val="21"/>
                <w:szCs w:val="21"/>
                <w:b w:val="1"/>
                <w:bCs w:val="1"/>
                <w:color w:val="auto"/>
                <w:vertAlign w:val="superscript"/>
              </w:rPr>
              <w:t>(a)</w:t>
            </w:r>
          </w:p>
        </w:tc>
        <w:tc>
          <w:tcPr>
            <w:tcW w:w="920" w:type="dxa"/>
            <w:vAlign w:val="bottom"/>
          </w:tcPr>
          <w:p>
            <w:pPr>
              <w:jc w:val="right"/>
              <w:spacing w:after="0"/>
              <w:rPr>
                <w:sz w:val="20"/>
                <w:szCs w:val="20"/>
                <w:color w:val="auto"/>
              </w:rPr>
            </w:pPr>
            <w:r>
              <w:rPr>
                <w:rFonts w:ascii="Arial" w:cs="Arial" w:eastAsia="Arial" w:hAnsi="Arial"/>
                <w:sz w:val="17"/>
                <w:szCs w:val="17"/>
                <w:b w:val="1"/>
                <w:bCs w:val="1"/>
                <w:color w:val="auto"/>
              </w:rPr>
              <w:t>Share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7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1940" w:type="dxa"/>
            <w:vAlign w:val="bottom"/>
            <w:vMerge w:val="restart"/>
          </w:tcPr>
          <w:p>
            <w:pPr>
              <w:jc w:val="right"/>
              <w:spacing w:after="0"/>
              <w:rPr>
                <w:sz w:val="20"/>
                <w:szCs w:val="20"/>
                <w:color w:val="auto"/>
              </w:rPr>
            </w:pPr>
            <w:r>
              <w:rPr>
                <w:rFonts w:ascii="Arial" w:cs="Arial" w:eastAsia="Arial" w:hAnsi="Arial"/>
                <w:sz w:val="17"/>
                <w:szCs w:val="17"/>
                <w:b w:val="1"/>
                <w:bCs w:val="1"/>
                <w:color w:val="auto"/>
                <w:w w:val="98"/>
              </w:rPr>
              <w:t>Total Number of Shares</w:t>
            </w:r>
          </w:p>
        </w:tc>
        <w:tc>
          <w:tcPr>
            <w:tcW w:w="2340" w:type="dxa"/>
            <w:vAlign w:val="bottom"/>
          </w:tcPr>
          <w:p>
            <w:pPr>
              <w:jc w:val="right"/>
              <w:spacing w:after="0"/>
              <w:rPr>
                <w:sz w:val="20"/>
                <w:szCs w:val="20"/>
                <w:color w:val="auto"/>
              </w:rPr>
            </w:pPr>
            <w:r>
              <w:rPr>
                <w:rFonts w:ascii="Arial" w:cs="Arial" w:eastAsia="Arial" w:hAnsi="Arial"/>
                <w:sz w:val="17"/>
                <w:szCs w:val="17"/>
                <w:b w:val="1"/>
                <w:bCs w:val="1"/>
                <w:color w:val="auto"/>
              </w:rPr>
              <w:t>Maximum Value of Shares</w:t>
            </w:r>
          </w:p>
        </w:tc>
        <w:tc>
          <w:tcPr>
            <w:tcW w:w="0" w:type="dxa"/>
            <w:vAlign w:val="bottom"/>
          </w:tcPr>
          <w:p>
            <w:pPr>
              <w:spacing w:after="0"/>
              <w:rPr>
                <w:sz w:val="1"/>
                <w:szCs w:val="1"/>
                <w:color w:val="auto"/>
              </w:rPr>
            </w:pPr>
          </w:p>
        </w:tc>
      </w:tr>
      <w:tr>
        <w:trPr>
          <w:trHeight w:val="160"/>
        </w:trPr>
        <w:tc>
          <w:tcPr>
            <w:tcW w:w="1940" w:type="dxa"/>
            <w:vAlign w:val="bottom"/>
            <w:vMerge w:val="continue"/>
          </w:tcPr>
          <w:p>
            <w:pPr>
              <w:spacing w:after="0"/>
              <w:rPr>
                <w:sz w:val="13"/>
                <w:szCs w:val="13"/>
                <w:color w:val="auto"/>
              </w:rPr>
            </w:pPr>
          </w:p>
        </w:tc>
        <w:tc>
          <w:tcPr>
            <w:tcW w:w="2340" w:type="dxa"/>
            <w:vAlign w:val="bottom"/>
          </w:tcPr>
          <w:p>
            <w:pPr>
              <w:jc w:val="right"/>
              <w:spacing w:after="0" w:line="160" w:lineRule="exact"/>
              <w:rPr>
                <w:sz w:val="20"/>
                <w:szCs w:val="20"/>
                <w:color w:val="auto"/>
              </w:rPr>
            </w:pPr>
            <w:r>
              <w:rPr>
                <w:rFonts w:ascii="Arial" w:cs="Arial" w:eastAsia="Arial" w:hAnsi="Arial"/>
                <w:sz w:val="17"/>
                <w:szCs w:val="17"/>
                <w:b w:val="1"/>
                <w:bCs w:val="1"/>
                <w:color w:val="auto"/>
              </w:rPr>
              <w:t>that May Yet Be Purchased</w:t>
            </w:r>
          </w:p>
        </w:tc>
        <w:tc>
          <w:tcPr>
            <w:tcW w:w="0" w:type="dxa"/>
            <w:vAlign w:val="bottom"/>
          </w:tcPr>
          <w:p>
            <w:pPr>
              <w:spacing w:after="0"/>
              <w:rPr>
                <w:sz w:val="1"/>
                <w:szCs w:val="1"/>
                <w:color w:val="auto"/>
              </w:rPr>
            </w:pPr>
          </w:p>
        </w:tc>
      </w:tr>
      <w:tr>
        <w:trPr>
          <w:trHeight w:val="107"/>
        </w:trPr>
        <w:tc>
          <w:tcPr>
            <w:tcW w:w="1940" w:type="dxa"/>
            <w:vAlign w:val="bottom"/>
          </w:tcPr>
          <w:p>
            <w:pPr>
              <w:jc w:val="right"/>
              <w:spacing w:after="0" w:line="107" w:lineRule="exact"/>
              <w:rPr>
                <w:sz w:val="20"/>
                <w:szCs w:val="20"/>
                <w:color w:val="auto"/>
              </w:rPr>
            </w:pPr>
            <w:r>
              <w:rPr>
                <w:rFonts w:ascii="Arial" w:cs="Arial" w:eastAsia="Arial" w:hAnsi="Arial"/>
                <w:sz w:val="12"/>
                <w:szCs w:val="12"/>
                <w:b w:val="1"/>
                <w:bCs w:val="1"/>
                <w:color w:val="auto"/>
              </w:rPr>
              <w:t>Purchased as Part of</w:t>
            </w:r>
          </w:p>
        </w:tc>
        <w:tc>
          <w:tcPr>
            <w:tcW w:w="2340" w:type="dxa"/>
            <w:vAlign w:val="bottom"/>
            <w:vMerge w:val="restart"/>
          </w:tcPr>
          <w:p>
            <w:pPr>
              <w:jc w:val="right"/>
              <w:spacing w:after="0" w:line="174" w:lineRule="exact"/>
              <w:rPr>
                <w:sz w:val="20"/>
                <w:szCs w:val="20"/>
                <w:color w:val="auto"/>
              </w:rPr>
            </w:pPr>
            <w:r>
              <w:rPr>
                <w:rFonts w:ascii="Arial" w:cs="Arial" w:eastAsia="Arial" w:hAnsi="Arial"/>
                <w:sz w:val="17"/>
                <w:szCs w:val="17"/>
                <w:b w:val="1"/>
                <w:bCs w:val="1"/>
                <w:color w:val="auto"/>
              </w:rPr>
              <w:t>Under the</w:t>
            </w:r>
          </w:p>
        </w:tc>
        <w:tc>
          <w:tcPr>
            <w:tcW w:w="0" w:type="dxa"/>
            <w:vAlign w:val="bottom"/>
          </w:tcPr>
          <w:p>
            <w:pPr>
              <w:spacing w:after="0"/>
              <w:rPr>
                <w:sz w:val="1"/>
                <w:szCs w:val="1"/>
                <w:color w:val="auto"/>
              </w:rPr>
            </w:pPr>
          </w:p>
        </w:tc>
      </w:tr>
      <w:tr>
        <w:trPr>
          <w:trHeight w:val="67"/>
        </w:trPr>
        <w:tc>
          <w:tcPr>
            <w:tcW w:w="194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Publicly Announced</w:t>
            </w:r>
          </w:p>
        </w:tc>
        <w:tc>
          <w:tcPr>
            <w:tcW w:w="23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3"/>
        </w:trPr>
        <w:tc>
          <w:tcPr>
            <w:tcW w:w="1940" w:type="dxa"/>
            <w:vAlign w:val="bottom"/>
            <w:vMerge w:val="continue"/>
          </w:tcPr>
          <w:p>
            <w:pPr>
              <w:spacing w:after="0"/>
              <w:rPr>
                <w:sz w:val="15"/>
                <w:szCs w:val="15"/>
                <w:color w:val="auto"/>
              </w:rPr>
            </w:pPr>
          </w:p>
        </w:tc>
        <w:tc>
          <w:tcPr>
            <w:tcW w:w="2340" w:type="dxa"/>
            <w:vAlign w:val="bottom"/>
          </w:tcPr>
          <w:p>
            <w:pPr>
              <w:jc w:val="right"/>
              <w:spacing w:after="0" w:line="173" w:lineRule="exact"/>
              <w:rPr>
                <w:sz w:val="20"/>
                <w:szCs w:val="20"/>
                <w:color w:val="auto"/>
              </w:rPr>
            </w:pPr>
            <w:r>
              <w:rPr>
                <w:rFonts w:ascii="Arial" w:cs="Arial" w:eastAsia="Arial" w:hAnsi="Arial"/>
                <w:sz w:val="17"/>
                <w:szCs w:val="17"/>
                <w:b w:val="1"/>
                <w:bCs w:val="1"/>
                <w:color w:val="auto"/>
              </w:rPr>
              <w:t>Plans or Programs (millions)</w:t>
            </w:r>
          </w:p>
        </w:tc>
        <w:tc>
          <w:tcPr>
            <w:tcW w:w="0" w:type="dxa"/>
            <w:vAlign w:val="bottom"/>
          </w:tcPr>
          <w:p>
            <w:pPr>
              <w:spacing w:after="0"/>
              <w:rPr>
                <w:sz w:val="1"/>
                <w:szCs w:val="1"/>
                <w:color w:val="auto"/>
              </w:rPr>
            </w:pPr>
          </w:p>
        </w:tc>
      </w:tr>
      <w:tr>
        <w:trPr>
          <w:trHeight w:val="160"/>
        </w:trPr>
        <w:tc>
          <w:tcPr>
            <w:tcW w:w="1940" w:type="dxa"/>
            <w:vAlign w:val="bottom"/>
          </w:tcPr>
          <w:p>
            <w:pPr>
              <w:jc w:val="right"/>
              <w:spacing w:after="0" w:line="160" w:lineRule="exact"/>
              <w:rPr>
                <w:sz w:val="20"/>
                <w:szCs w:val="20"/>
                <w:color w:val="auto"/>
              </w:rPr>
            </w:pPr>
            <w:r>
              <w:rPr>
                <w:rFonts w:ascii="Arial" w:cs="Arial" w:eastAsia="Arial" w:hAnsi="Arial"/>
                <w:sz w:val="17"/>
                <w:szCs w:val="17"/>
                <w:b w:val="1"/>
                <w:bCs w:val="1"/>
                <w:color w:val="auto"/>
              </w:rPr>
              <w:t>Plans or Programs</w:t>
            </w:r>
          </w:p>
        </w:tc>
        <w:tc>
          <w:tcPr>
            <w:tcW w:w="2340" w:type="dxa"/>
            <w:vAlign w:val="bottom"/>
          </w:tcPr>
          <w:p>
            <w:pPr>
              <w:jc w:val="right"/>
              <w:spacing w:after="0"/>
              <w:rPr>
                <w:sz w:val="20"/>
                <w:szCs w:val="20"/>
                <w:color w:val="auto"/>
              </w:rPr>
            </w:pPr>
            <w:r>
              <w:rPr>
                <w:rFonts w:ascii="Arial" w:cs="Arial" w:eastAsia="Arial" w:hAnsi="Arial"/>
                <w:sz w:val="11"/>
                <w:szCs w:val="11"/>
                <w:b w:val="1"/>
                <w:bCs w:val="1"/>
                <w:color w:val="auto"/>
              </w:rPr>
              <w:t>(b)</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6900" w:space="40"/>
            <w:col w:w="4300"/>
          </w:cols>
          <w:pgMar w:left="320" w:top="876" w:right="339" w:bottom="1440" w:gutter="0" w:footer="0" w:header="0"/>
          <w:type w:val="continuous"/>
        </w:sectPr>
      </w:pPr>
    </w:p>
    <w:tbl>
      <w:tblPr>
        <w:tblLayout w:type="fixed"/>
        <w:tblInd w:w="0" w:type="dxa"/>
        <w:tblCellMar>
          <w:top w:w="0" w:type="dxa"/>
          <w:left w:w="0" w:type="dxa"/>
          <w:bottom w:w="0" w:type="dxa"/>
          <w:right w:w="0" w:type="dxa"/>
        </w:tblCellMar>
      </w:tblPr>
      <w:tr>
        <w:trPr>
          <w:trHeight w:val="215"/>
        </w:trPr>
        <w:tc>
          <w:tcPr>
            <w:tcW w:w="3340" w:type="dxa"/>
            <w:vAlign w:val="bottom"/>
            <w:tcBorders>
              <w:top w:val="single" w:sz="8" w:color="auto"/>
            </w:tcBorders>
          </w:tcPr>
          <w:p>
            <w:pPr>
              <w:ind w:left="240"/>
              <w:spacing w:after="0"/>
              <w:rPr>
                <w:sz w:val="20"/>
                <w:szCs w:val="20"/>
                <w:color w:val="auto"/>
              </w:rPr>
            </w:pPr>
            <w:r>
              <w:rPr>
                <w:rFonts w:ascii="Arial" w:cs="Arial" w:eastAsia="Arial" w:hAnsi="Arial"/>
                <w:sz w:val="17"/>
                <w:szCs w:val="17"/>
                <w:color w:val="auto"/>
              </w:rPr>
              <w:t>First Quarter 2023</w:t>
            </w:r>
          </w:p>
        </w:tc>
        <w:tc>
          <w:tcPr>
            <w:tcW w:w="24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12,511,237</w:t>
            </w:r>
          </w:p>
        </w:tc>
        <w:tc>
          <w:tcPr>
            <w:tcW w:w="400" w:type="dxa"/>
            <w:vAlign w:val="bottom"/>
            <w:tcBorders>
              <w:top w:val="single" w:sz="8" w:color="auto"/>
            </w:tcBorders>
          </w:tcPr>
          <w:p>
            <w:pPr>
              <w:jc w:val="right"/>
              <w:ind w:right="196"/>
              <w:spacing w:after="0"/>
              <w:rPr>
                <w:sz w:val="20"/>
                <w:szCs w:val="20"/>
                <w:color w:val="auto"/>
              </w:rPr>
            </w:pPr>
            <w:r>
              <w:rPr>
                <w:rFonts w:ascii="Arial" w:cs="Arial" w:eastAsia="Arial" w:hAnsi="Arial"/>
                <w:sz w:val="17"/>
                <w:szCs w:val="17"/>
                <w:color w:val="auto"/>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60.09</w:t>
            </w:r>
          </w:p>
        </w:tc>
        <w:tc>
          <w:tcPr>
            <w:tcW w:w="19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12,511,237</w:t>
            </w:r>
          </w:p>
        </w:tc>
        <w:tc>
          <w:tcPr>
            <w:tcW w:w="100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r>
      <w:tr>
        <w:trPr>
          <w:trHeight w:val="215"/>
        </w:trPr>
        <w:tc>
          <w:tcPr>
            <w:tcW w:w="3340" w:type="dxa"/>
            <w:vAlign w:val="bottom"/>
          </w:tcPr>
          <w:p>
            <w:pPr>
              <w:ind w:left="240"/>
              <w:spacing w:after="0"/>
              <w:rPr>
                <w:sz w:val="20"/>
                <w:szCs w:val="20"/>
                <w:color w:val="auto"/>
              </w:rPr>
            </w:pPr>
            <w:r>
              <w:rPr>
                <w:rFonts w:ascii="Arial" w:cs="Arial" w:eastAsia="Arial" w:hAnsi="Arial"/>
                <w:sz w:val="17"/>
                <w:szCs w:val="17"/>
                <w:color w:val="auto"/>
              </w:rPr>
              <w:t>April 1-30, 2023</w:t>
            </w:r>
          </w:p>
        </w:tc>
        <w:tc>
          <w:tcPr>
            <w:tcW w:w="2400" w:type="dxa"/>
            <w:vAlign w:val="bottom"/>
          </w:tcPr>
          <w:p>
            <w:pPr>
              <w:jc w:val="right"/>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7"/>
                <w:szCs w:val="17"/>
                <w:color w:val="auto"/>
              </w:rPr>
              <w:t>—</w:t>
            </w:r>
          </w:p>
        </w:tc>
        <w:tc>
          <w:tcPr>
            <w:tcW w:w="100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25"/>
        </w:trPr>
        <w:tc>
          <w:tcPr>
            <w:tcW w:w="3340" w:type="dxa"/>
            <w:vAlign w:val="bottom"/>
          </w:tcPr>
          <w:p>
            <w:pPr>
              <w:ind w:left="240"/>
              <w:spacing w:after="0"/>
              <w:rPr>
                <w:sz w:val="20"/>
                <w:szCs w:val="20"/>
                <w:color w:val="auto"/>
              </w:rPr>
            </w:pPr>
            <w:r>
              <w:rPr>
                <w:rFonts w:ascii="Arial" w:cs="Arial" w:eastAsia="Arial" w:hAnsi="Arial"/>
                <w:sz w:val="17"/>
                <w:szCs w:val="17"/>
                <w:color w:val="auto"/>
              </w:rPr>
              <w:t>May 1-31, 2023</w:t>
            </w:r>
          </w:p>
        </w:tc>
        <w:tc>
          <w:tcPr>
            <w:tcW w:w="2400" w:type="dxa"/>
            <w:vAlign w:val="bottom"/>
          </w:tcPr>
          <w:p>
            <w:pPr>
              <w:jc w:val="right"/>
              <w:spacing w:after="0"/>
              <w:rPr>
                <w:sz w:val="20"/>
                <w:szCs w:val="20"/>
                <w:color w:val="auto"/>
              </w:rPr>
            </w:pPr>
            <w:r>
              <w:rPr>
                <w:rFonts w:ascii="Arial" w:cs="Arial" w:eastAsia="Arial" w:hAnsi="Arial"/>
                <w:sz w:val="17"/>
                <w:szCs w:val="17"/>
                <w:color w:val="auto"/>
              </w:rPr>
              <w:t>5,967,740</w:t>
            </w:r>
          </w:p>
        </w:tc>
        <w:tc>
          <w:tcPr>
            <w:tcW w:w="400" w:type="dxa"/>
            <w:vAlign w:val="bottom"/>
          </w:tcPr>
          <w:p>
            <w:pPr>
              <w:jc w:val="right"/>
              <w:ind w:right="196"/>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58.66</w:t>
            </w:r>
          </w:p>
        </w:tc>
        <w:tc>
          <w:tcPr>
            <w:tcW w:w="1940" w:type="dxa"/>
            <w:vAlign w:val="bottom"/>
          </w:tcPr>
          <w:p>
            <w:pPr>
              <w:jc w:val="right"/>
              <w:spacing w:after="0"/>
              <w:rPr>
                <w:sz w:val="20"/>
                <w:szCs w:val="20"/>
                <w:color w:val="auto"/>
              </w:rPr>
            </w:pPr>
            <w:r>
              <w:rPr>
                <w:rFonts w:ascii="Arial" w:cs="Arial" w:eastAsia="Arial" w:hAnsi="Arial"/>
                <w:sz w:val="17"/>
                <w:szCs w:val="17"/>
                <w:color w:val="auto"/>
              </w:rPr>
              <w:t>5,967,740</w:t>
            </w:r>
          </w:p>
        </w:tc>
        <w:tc>
          <w:tcPr>
            <w:tcW w:w="100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30"/>
        </w:trPr>
        <w:tc>
          <w:tcPr>
            <w:tcW w:w="3340" w:type="dxa"/>
            <w:vAlign w:val="bottom"/>
            <w:tcBorders>
              <w:bottom w:val="single" w:sz="8" w:color="auto"/>
            </w:tcBorders>
          </w:tcPr>
          <w:p>
            <w:pPr>
              <w:ind w:left="240"/>
              <w:spacing w:after="0"/>
              <w:rPr>
                <w:sz w:val="20"/>
                <w:szCs w:val="20"/>
                <w:color w:val="auto"/>
              </w:rPr>
            </w:pPr>
            <w:r>
              <w:rPr>
                <w:rFonts w:ascii="Arial" w:cs="Arial" w:eastAsia="Arial" w:hAnsi="Arial"/>
                <w:sz w:val="17"/>
                <w:szCs w:val="17"/>
                <w:color w:val="auto"/>
              </w:rPr>
              <w:t>June 1-30, 2023</w:t>
            </w:r>
          </w:p>
        </w:tc>
        <w:tc>
          <w:tcPr>
            <w:tcW w:w="2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1,265,720</w:t>
            </w:r>
          </w:p>
        </w:tc>
        <w:tc>
          <w:tcPr>
            <w:tcW w:w="400" w:type="dxa"/>
            <w:vAlign w:val="bottom"/>
          </w:tcPr>
          <w:p>
            <w:pPr>
              <w:jc w:val="right"/>
              <w:ind w:right="196"/>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59.27</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1,265,720</w:t>
            </w:r>
          </w:p>
        </w:tc>
        <w:tc>
          <w:tcPr>
            <w:tcW w:w="100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18"/>
        </w:trPr>
        <w:tc>
          <w:tcPr>
            <w:tcW w:w="3340" w:type="dxa"/>
            <w:vAlign w:val="bottom"/>
            <w:tcBorders>
              <w:bottom w:val="single" w:sz="8" w:color="auto"/>
            </w:tcBorders>
          </w:tcPr>
          <w:p>
            <w:pPr>
              <w:ind w:left="240"/>
              <w:spacing w:after="0"/>
              <w:rPr>
                <w:sz w:val="20"/>
                <w:szCs w:val="20"/>
                <w:color w:val="auto"/>
              </w:rPr>
            </w:pPr>
            <w:r>
              <w:rPr>
                <w:rFonts w:ascii="Arial" w:cs="Arial" w:eastAsia="Arial" w:hAnsi="Arial"/>
                <w:sz w:val="17"/>
                <w:szCs w:val="17"/>
                <w:color w:val="auto"/>
              </w:rPr>
              <w:t>Second Quarter 2023</w:t>
            </w:r>
          </w:p>
        </w:tc>
        <w:tc>
          <w:tcPr>
            <w:tcW w:w="2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7,233,460</w:t>
            </w:r>
          </w:p>
        </w:tc>
        <w:tc>
          <w:tcPr>
            <w:tcW w:w="400" w:type="dxa"/>
            <w:vAlign w:val="bottom"/>
          </w:tcPr>
          <w:p>
            <w:pPr>
              <w:jc w:val="right"/>
              <w:ind w:right="196"/>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58.77</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7,233,460</w:t>
            </w:r>
          </w:p>
        </w:tc>
        <w:tc>
          <w:tcPr>
            <w:tcW w:w="100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0"/>
        </w:trPr>
        <w:tc>
          <w:tcPr>
            <w:tcW w:w="33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Total 2023</w:t>
            </w:r>
          </w:p>
        </w:tc>
        <w:tc>
          <w:tcPr>
            <w:tcW w:w="2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19,744,697</w:t>
            </w:r>
          </w:p>
        </w:tc>
        <w:tc>
          <w:tcPr>
            <w:tcW w:w="400" w:type="dxa"/>
            <w:vAlign w:val="bottom"/>
            <w:tcBorders>
              <w:bottom w:val="single" w:sz="8" w:color="auto"/>
            </w:tcBorders>
          </w:tcPr>
          <w:p>
            <w:pPr>
              <w:jc w:val="right"/>
              <w:ind w:right="196"/>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59.61</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19,744,697</w:t>
            </w:r>
          </w:p>
        </w:tc>
        <w:tc>
          <w:tcPr>
            <w:tcW w:w="1000" w:type="dxa"/>
            <w:vAlign w:val="bottom"/>
            <w:tcBorders>
              <w:bottom w:val="single" w:sz="8" w:color="auto"/>
            </w:tcBorders>
          </w:tcPr>
          <w:p>
            <w:pPr>
              <w:jc w:val="right"/>
              <w:ind w:right="796"/>
              <w:spacing w:after="0"/>
              <w:rPr>
                <w:sz w:val="20"/>
                <w:szCs w:val="20"/>
                <w:color w:val="auto"/>
              </w:rPr>
            </w:pPr>
            <w:r>
              <w:rPr>
                <w:rFonts w:ascii="Arial" w:cs="Arial" w:eastAsia="Arial" w:hAnsi="Arial"/>
                <w:sz w:val="17"/>
                <w:szCs w:val="17"/>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1,823</w:t>
            </w:r>
          </w:p>
        </w:tc>
      </w:tr>
    </w:tbl>
    <w:p>
      <w:pPr>
        <w:spacing w:after="0" w:line="41" w:lineRule="exact"/>
        <w:rPr>
          <w:sz w:val="20"/>
          <w:szCs w:val="20"/>
          <w:color w:val="auto"/>
        </w:rPr>
      </w:pPr>
    </w:p>
    <w:p>
      <w:pPr>
        <w:ind w:left="240" w:hanging="233"/>
        <w:spacing w:after="0"/>
        <w:tabs>
          <w:tab w:leader="none" w:pos="240" w:val="left"/>
        </w:tabs>
        <w:numPr>
          <w:ilvl w:val="0"/>
          <w:numId w:val="20"/>
        </w:numPr>
        <w:rPr>
          <w:rFonts w:ascii="Arial" w:cs="Arial" w:eastAsia="Arial" w:hAnsi="Arial"/>
          <w:sz w:val="21"/>
          <w:szCs w:val="21"/>
          <w:color w:val="auto"/>
          <w:vertAlign w:val="superscript"/>
        </w:rPr>
      </w:pPr>
      <w:r>
        <w:rPr>
          <w:rFonts w:ascii="Arial" w:cs="Arial" w:eastAsia="Arial" w:hAnsi="Arial"/>
          <w:sz w:val="16"/>
          <w:szCs w:val="16"/>
          <w:color w:val="auto"/>
        </w:rPr>
        <w:t>Includes purchases from the trustee of Occidental's defined contribution savings plan that are not part of publicly announced plans or programs.</w:t>
      </w:r>
    </w:p>
    <w:p>
      <w:pPr>
        <w:ind w:left="260" w:hanging="253"/>
        <w:spacing w:after="0" w:line="191" w:lineRule="auto"/>
        <w:tabs>
          <w:tab w:leader="none" w:pos="260" w:val="left"/>
        </w:tabs>
        <w:numPr>
          <w:ilvl w:val="0"/>
          <w:numId w:val="20"/>
        </w:numPr>
        <w:rPr>
          <w:rFonts w:ascii="Arial" w:cs="Arial" w:eastAsia="Arial" w:hAnsi="Arial"/>
          <w:sz w:val="21"/>
          <w:szCs w:val="21"/>
          <w:color w:val="auto"/>
          <w:vertAlign w:val="superscript"/>
        </w:rPr>
      </w:pPr>
      <w:r>
        <w:rPr>
          <w:rFonts w:ascii="Arial" w:cs="Arial" w:eastAsia="Arial" w:hAnsi="Arial"/>
          <w:sz w:val="16"/>
          <w:szCs w:val="16"/>
          <w:color w:val="auto"/>
        </w:rPr>
        <w:t>Represents the value of shares remaining in Occidental's share repurchase plan. In February 2023, Occidental announced an authorization to repurchase</w:t>
      </w:r>
    </w:p>
    <w:p>
      <w:pPr>
        <w:spacing w:after="0" w:line="8" w:lineRule="exact"/>
        <w:rPr>
          <w:sz w:val="20"/>
          <w:szCs w:val="20"/>
          <w:color w:val="auto"/>
        </w:rPr>
      </w:pPr>
    </w:p>
    <w:p>
      <w:pPr>
        <w:ind w:left="320"/>
        <w:spacing w:after="0" w:line="255" w:lineRule="auto"/>
        <w:rPr>
          <w:sz w:val="20"/>
          <w:szCs w:val="20"/>
          <w:color w:val="auto"/>
        </w:rPr>
      </w:pPr>
      <w:r>
        <w:rPr>
          <w:rFonts w:ascii="Arial" w:cs="Arial" w:eastAsia="Arial" w:hAnsi="Arial"/>
          <w:sz w:val="16"/>
          <w:szCs w:val="16"/>
          <w:color w:val="auto"/>
        </w:rPr>
        <w:t>up to $3.0 billion of Occidental's shares of common stock. The plan does not obligate Occidental to acquire any specific number of shares and may be discontinued at any time.</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00539B"/>
        </w:rPr>
        <w:t>Item 5. Other Information</w:t>
      </w:r>
    </w:p>
    <w:p>
      <w:pPr>
        <w:spacing w:after="0" w:line="243" w:lineRule="exact"/>
        <w:rPr>
          <w:sz w:val="20"/>
          <w:szCs w:val="20"/>
          <w:color w:val="auto"/>
        </w:rPr>
      </w:pPr>
    </w:p>
    <w:p>
      <w:pPr>
        <w:jc w:val="both"/>
        <w:ind w:firstLine="240"/>
        <w:spacing w:after="0" w:line="250" w:lineRule="auto"/>
        <w:rPr>
          <w:sz w:val="20"/>
          <w:szCs w:val="20"/>
          <w:color w:val="auto"/>
        </w:rPr>
      </w:pPr>
      <w:r>
        <w:rPr>
          <w:rFonts w:ascii="Arial" w:cs="Arial" w:eastAsia="Arial" w:hAnsi="Arial"/>
          <w:sz w:val="17"/>
          <w:szCs w:val="17"/>
          <w:color w:val="auto"/>
        </w:rPr>
        <w:t>At Occidental’s 2023 Annual Meeting of Shareholders held on May 5, 2023, Occidental’s shareholders voted on, among other matters, a proposal regarding the frequency of future advisory votes on named executive officer compensation. As previously reported, Occidental’s Board of Directors views an annual advisory vote on named executive officer compensation as the most appropriate option for Occidental and its shareholders, and 98.26% of the votes cast on the frequency proposal supported the Board of Directors’ recommendation. Accordingly, Occidental will hold future advisory votes on named executive officer compensation every year until the next advisory vote on the frequency of such votes, which, per applicable law, will occur no later than Occidental’s Annual Meeting of Shareholders in 2029.</w:t>
      </w:r>
    </w:p>
    <w:p>
      <w:pPr>
        <w:spacing w:after="0" w:line="4" w:lineRule="exact"/>
        <w:rPr>
          <w:sz w:val="20"/>
          <w:szCs w:val="20"/>
          <w:color w:val="auto"/>
        </w:rPr>
      </w:pPr>
    </w:p>
    <w:p>
      <w:pPr>
        <w:ind w:right="520" w:firstLine="240"/>
        <w:spacing w:after="0" w:line="239" w:lineRule="auto"/>
        <w:rPr>
          <w:sz w:val="20"/>
          <w:szCs w:val="20"/>
          <w:color w:val="auto"/>
        </w:rPr>
      </w:pPr>
      <w:r>
        <w:rPr>
          <w:rFonts w:ascii="Arial" w:cs="Arial" w:eastAsia="Arial" w:hAnsi="Arial"/>
          <w:sz w:val="17"/>
          <w:szCs w:val="17"/>
          <w:color w:val="auto"/>
        </w:rPr>
        <w:t>During the three months ended June 30, 2023, no director or Section 16 officer of Occidental adopted or terminated any Rule 10b5-1 trading arrangements or non-Rule 10b5-1 trading arrangements (in each case, as defined in Item 408(a) of Regulation S-K).</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b w:val="1"/>
          <w:bCs w:val="1"/>
          <w:color w:val="00539B"/>
        </w:rPr>
        <w:t>Item 6. Exhibits</w:t>
      </w:r>
    </w:p>
    <w:p>
      <w:pPr>
        <w:spacing w:after="0" w:line="177" w:lineRule="exact"/>
        <w:rPr>
          <w:sz w:val="20"/>
          <w:szCs w:val="20"/>
          <w:color w:val="auto"/>
        </w:rPr>
      </w:pPr>
    </w:p>
    <w:p>
      <w:pPr>
        <w:ind w:left="20"/>
        <w:spacing w:after="0"/>
        <w:tabs>
          <w:tab w:leader="none" w:pos="1100" w:val="left"/>
        </w:tabs>
        <w:rPr>
          <w:sz w:val="20"/>
          <w:szCs w:val="20"/>
          <w:color w:val="auto"/>
        </w:rPr>
      </w:pPr>
      <w:r>
        <w:rPr>
          <w:rFonts w:ascii="Arial" w:cs="Arial" w:eastAsia="Arial" w:hAnsi="Arial"/>
          <w:sz w:val="17"/>
          <w:szCs w:val="17"/>
          <w:color w:val="auto"/>
        </w:rPr>
        <w:t>31.1*</w:t>
      </w:r>
      <w:r>
        <w:rPr>
          <w:sz w:val="20"/>
          <w:szCs w:val="20"/>
          <w:color w:val="auto"/>
        </w:rPr>
        <w:tab/>
      </w:r>
      <w:r>
        <w:rPr>
          <w:rFonts w:ascii="Arial" w:cs="Arial" w:eastAsia="Arial" w:hAnsi="Arial"/>
          <w:sz w:val="16"/>
          <w:szCs w:val="16"/>
          <w:color w:val="auto"/>
        </w:rPr>
        <w:t>Certification of CEO Pursuant to Section 302 of the Sarbanes-Oxley Act of 2002.</w:t>
      </w:r>
    </w:p>
    <w:p>
      <w:pPr>
        <w:spacing w:after="0" w:line="71" w:lineRule="exact"/>
        <w:rPr>
          <w:sz w:val="20"/>
          <w:szCs w:val="20"/>
          <w:color w:val="auto"/>
        </w:rPr>
      </w:pPr>
    </w:p>
    <w:p>
      <w:pPr>
        <w:ind w:left="20"/>
        <w:spacing w:after="0"/>
        <w:tabs>
          <w:tab w:leader="none" w:pos="1100" w:val="left"/>
        </w:tabs>
        <w:rPr>
          <w:sz w:val="20"/>
          <w:szCs w:val="20"/>
          <w:color w:val="auto"/>
        </w:rPr>
      </w:pPr>
      <w:r>
        <w:rPr>
          <w:rFonts w:ascii="Arial" w:cs="Arial" w:eastAsia="Arial" w:hAnsi="Arial"/>
          <w:sz w:val="17"/>
          <w:szCs w:val="17"/>
          <w:color w:val="auto"/>
        </w:rPr>
        <w:t>31.2*</w:t>
      </w:r>
      <w:r>
        <w:rPr>
          <w:sz w:val="20"/>
          <w:szCs w:val="20"/>
          <w:color w:val="auto"/>
        </w:rPr>
        <w:tab/>
      </w:r>
      <w:r>
        <w:rPr>
          <w:rFonts w:ascii="Arial" w:cs="Arial" w:eastAsia="Arial" w:hAnsi="Arial"/>
          <w:sz w:val="16"/>
          <w:szCs w:val="16"/>
          <w:color w:val="auto"/>
        </w:rPr>
        <w:t>Certification of CFO Pursuant to Section 302 of the Sarbanes-Oxley Act of 2002.</w:t>
      </w:r>
    </w:p>
    <w:p>
      <w:pPr>
        <w:spacing w:after="0" w:line="85" w:lineRule="exact"/>
        <w:rPr>
          <w:sz w:val="20"/>
          <w:szCs w:val="20"/>
          <w:color w:val="auto"/>
        </w:rPr>
      </w:pPr>
    </w:p>
    <w:p>
      <w:pPr>
        <w:ind w:left="20"/>
        <w:spacing w:after="0"/>
        <w:tabs>
          <w:tab w:leader="none" w:pos="1100" w:val="left"/>
        </w:tabs>
        <w:rPr>
          <w:sz w:val="20"/>
          <w:szCs w:val="20"/>
          <w:color w:val="auto"/>
        </w:rPr>
      </w:pPr>
      <w:r>
        <w:rPr>
          <w:rFonts w:ascii="Arial" w:cs="Arial" w:eastAsia="Arial" w:hAnsi="Arial"/>
          <w:sz w:val="17"/>
          <w:szCs w:val="17"/>
          <w:color w:val="auto"/>
        </w:rPr>
        <w:t>32.1**</w:t>
      </w:r>
      <w:r>
        <w:rPr>
          <w:sz w:val="20"/>
          <w:szCs w:val="20"/>
          <w:color w:val="auto"/>
        </w:rPr>
        <w:tab/>
      </w:r>
      <w:r>
        <w:rPr>
          <w:rFonts w:ascii="Arial" w:cs="Arial" w:eastAsia="Arial" w:hAnsi="Arial"/>
          <w:sz w:val="16"/>
          <w:szCs w:val="16"/>
          <w:color w:val="auto"/>
        </w:rPr>
        <w:t>Certifications of CEO and CFO Pursuant to Section 906 of the Sarbanes-Oxley Act of 2002.</w:t>
      </w:r>
    </w:p>
    <w:p>
      <w:pPr>
        <w:spacing w:after="0" w:line="85" w:lineRule="exact"/>
        <w:rPr>
          <w:sz w:val="20"/>
          <w:szCs w:val="20"/>
          <w:color w:val="auto"/>
        </w:rPr>
      </w:pPr>
    </w:p>
    <w:p>
      <w:pPr>
        <w:ind w:left="20"/>
        <w:spacing w:after="0"/>
        <w:tabs>
          <w:tab w:leader="none" w:pos="1100" w:val="left"/>
        </w:tabs>
        <w:rPr>
          <w:sz w:val="20"/>
          <w:szCs w:val="20"/>
          <w:color w:val="auto"/>
        </w:rPr>
      </w:pPr>
      <w:r>
        <w:rPr>
          <w:rFonts w:ascii="Arial" w:cs="Arial" w:eastAsia="Arial" w:hAnsi="Arial"/>
          <w:sz w:val="17"/>
          <w:szCs w:val="17"/>
          <w:color w:val="auto"/>
        </w:rPr>
        <w:t>101.INS*</w:t>
      </w:r>
      <w:r>
        <w:rPr>
          <w:sz w:val="20"/>
          <w:szCs w:val="20"/>
          <w:color w:val="auto"/>
        </w:rPr>
        <w:tab/>
      </w:r>
      <w:r>
        <w:rPr>
          <w:rFonts w:ascii="Arial" w:cs="Arial" w:eastAsia="Arial" w:hAnsi="Arial"/>
          <w:sz w:val="16"/>
          <w:szCs w:val="16"/>
          <w:color w:val="auto"/>
        </w:rPr>
        <w:t>Inline XBRL Instance Document.</w:t>
      </w:r>
    </w:p>
    <w:p>
      <w:pPr>
        <w:spacing w:after="0" w:line="71" w:lineRule="exact"/>
        <w:rPr>
          <w:sz w:val="20"/>
          <w:szCs w:val="20"/>
          <w:color w:val="auto"/>
        </w:rPr>
      </w:pPr>
    </w:p>
    <w:p>
      <w:pPr>
        <w:ind w:left="20"/>
        <w:spacing w:after="0"/>
        <w:tabs>
          <w:tab w:leader="none" w:pos="1100" w:val="left"/>
        </w:tabs>
        <w:rPr>
          <w:sz w:val="20"/>
          <w:szCs w:val="20"/>
          <w:color w:val="auto"/>
        </w:rPr>
      </w:pPr>
      <w:r>
        <w:rPr>
          <w:rFonts w:ascii="Arial" w:cs="Arial" w:eastAsia="Arial" w:hAnsi="Arial"/>
          <w:sz w:val="17"/>
          <w:szCs w:val="17"/>
          <w:color w:val="auto"/>
        </w:rPr>
        <w:t>101.SCH*</w:t>
      </w:r>
      <w:r>
        <w:rPr>
          <w:sz w:val="20"/>
          <w:szCs w:val="20"/>
          <w:color w:val="auto"/>
        </w:rPr>
        <w:tab/>
      </w:r>
      <w:r>
        <w:rPr>
          <w:rFonts w:ascii="Arial" w:cs="Arial" w:eastAsia="Arial" w:hAnsi="Arial"/>
          <w:sz w:val="16"/>
          <w:szCs w:val="16"/>
          <w:color w:val="auto"/>
        </w:rPr>
        <w:t>Inline XBRL Taxonomy Extension Schema Document.</w:t>
      </w:r>
    </w:p>
    <w:p>
      <w:pPr>
        <w:spacing w:after="0" w:line="85" w:lineRule="exact"/>
        <w:rPr>
          <w:sz w:val="20"/>
          <w:szCs w:val="20"/>
          <w:color w:val="auto"/>
        </w:rPr>
      </w:pPr>
    </w:p>
    <w:p>
      <w:pPr>
        <w:ind w:left="20"/>
        <w:spacing w:after="0"/>
        <w:tabs>
          <w:tab w:leader="none" w:pos="1100" w:val="left"/>
        </w:tabs>
        <w:rPr>
          <w:sz w:val="20"/>
          <w:szCs w:val="20"/>
          <w:color w:val="auto"/>
        </w:rPr>
      </w:pPr>
      <w:r>
        <w:rPr>
          <w:rFonts w:ascii="Arial" w:cs="Arial" w:eastAsia="Arial" w:hAnsi="Arial"/>
          <w:sz w:val="17"/>
          <w:szCs w:val="17"/>
          <w:color w:val="auto"/>
        </w:rPr>
        <w:t>101.CAL*</w:t>
      </w:r>
      <w:r>
        <w:rPr>
          <w:sz w:val="20"/>
          <w:szCs w:val="20"/>
          <w:color w:val="auto"/>
        </w:rPr>
        <w:tab/>
      </w:r>
      <w:r>
        <w:rPr>
          <w:rFonts w:ascii="Arial" w:cs="Arial" w:eastAsia="Arial" w:hAnsi="Arial"/>
          <w:sz w:val="16"/>
          <w:szCs w:val="16"/>
          <w:color w:val="auto"/>
        </w:rPr>
        <w:t>Inline XBRL Taxonomy Extension Calculation Linkbase Document.</w:t>
      </w:r>
    </w:p>
    <w:p>
      <w:pPr>
        <w:spacing w:after="0" w:line="85" w:lineRule="exact"/>
        <w:rPr>
          <w:sz w:val="20"/>
          <w:szCs w:val="20"/>
          <w:color w:val="auto"/>
        </w:rPr>
      </w:pPr>
    </w:p>
    <w:p>
      <w:pPr>
        <w:ind w:left="20"/>
        <w:spacing w:after="0"/>
        <w:tabs>
          <w:tab w:leader="none" w:pos="1100" w:val="left"/>
        </w:tabs>
        <w:rPr>
          <w:sz w:val="20"/>
          <w:szCs w:val="20"/>
          <w:color w:val="auto"/>
        </w:rPr>
      </w:pPr>
      <w:r>
        <w:rPr>
          <w:rFonts w:ascii="Arial" w:cs="Arial" w:eastAsia="Arial" w:hAnsi="Arial"/>
          <w:sz w:val="17"/>
          <w:szCs w:val="17"/>
          <w:color w:val="auto"/>
        </w:rPr>
        <w:t>101.LAB*</w:t>
      </w:r>
      <w:r>
        <w:rPr>
          <w:sz w:val="20"/>
          <w:szCs w:val="20"/>
          <w:color w:val="auto"/>
        </w:rPr>
        <w:tab/>
      </w:r>
      <w:r>
        <w:rPr>
          <w:rFonts w:ascii="Arial" w:cs="Arial" w:eastAsia="Arial" w:hAnsi="Arial"/>
          <w:sz w:val="16"/>
          <w:szCs w:val="16"/>
          <w:color w:val="auto"/>
        </w:rPr>
        <w:t>Inline XBRL Taxonomy Extension Label Linkbase Document.</w:t>
      </w:r>
    </w:p>
    <w:p>
      <w:pPr>
        <w:spacing w:after="0" w:line="71" w:lineRule="exact"/>
        <w:rPr>
          <w:sz w:val="20"/>
          <w:szCs w:val="20"/>
          <w:color w:val="auto"/>
        </w:rPr>
      </w:pPr>
    </w:p>
    <w:p>
      <w:pPr>
        <w:ind w:left="20"/>
        <w:spacing w:after="0"/>
        <w:tabs>
          <w:tab w:leader="none" w:pos="1100" w:val="left"/>
        </w:tabs>
        <w:rPr>
          <w:sz w:val="20"/>
          <w:szCs w:val="20"/>
          <w:color w:val="auto"/>
        </w:rPr>
      </w:pPr>
      <w:r>
        <w:rPr>
          <w:rFonts w:ascii="Arial" w:cs="Arial" w:eastAsia="Arial" w:hAnsi="Arial"/>
          <w:sz w:val="17"/>
          <w:szCs w:val="17"/>
          <w:color w:val="auto"/>
        </w:rPr>
        <w:t>101.PRE*</w:t>
      </w:r>
      <w:r>
        <w:rPr>
          <w:sz w:val="20"/>
          <w:szCs w:val="20"/>
          <w:color w:val="auto"/>
        </w:rPr>
        <w:tab/>
      </w:r>
      <w:r>
        <w:rPr>
          <w:rFonts w:ascii="Arial" w:cs="Arial" w:eastAsia="Arial" w:hAnsi="Arial"/>
          <w:sz w:val="16"/>
          <w:szCs w:val="16"/>
          <w:color w:val="auto"/>
        </w:rPr>
        <w:t>Inline XBRL Taxonomy Extension Presentation Linkbase Document.</w:t>
      </w:r>
    </w:p>
    <w:p>
      <w:pPr>
        <w:spacing w:after="0" w:line="85" w:lineRule="exact"/>
        <w:rPr>
          <w:sz w:val="20"/>
          <w:szCs w:val="20"/>
          <w:color w:val="auto"/>
        </w:rPr>
      </w:pPr>
    </w:p>
    <w:p>
      <w:pPr>
        <w:ind w:left="20"/>
        <w:spacing w:after="0"/>
        <w:tabs>
          <w:tab w:leader="none" w:pos="1100" w:val="left"/>
        </w:tabs>
        <w:rPr>
          <w:sz w:val="20"/>
          <w:szCs w:val="20"/>
          <w:color w:val="auto"/>
        </w:rPr>
      </w:pPr>
      <w:r>
        <w:rPr>
          <w:rFonts w:ascii="Arial" w:cs="Arial" w:eastAsia="Arial" w:hAnsi="Arial"/>
          <w:sz w:val="17"/>
          <w:szCs w:val="17"/>
          <w:color w:val="auto"/>
        </w:rPr>
        <w:t>101.DEF*</w:t>
      </w:r>
      <w:r>
        <w:rPr>
          <w:sz w:val="20"/>
          <w:szCs w:val="20"/>
          <w:color w:val="auto"/>
        </w:rPr>
        <w:tab/>
      </w:r>
      <w:r>
        <w:rPr>
          <w:rFonts w:ascii="Arial" w:cs="Arial" w:eastAsia="Arial" w:hAnsi="Arial"/>
          <w:sz w:val="16"/>
          <w:szCs w:val="16"/>
          <w:color w:val="auto"/>
        </w:rPr>
        <w:t>Inline XBRL Taxonomy Extension Definition Linkbase Document.</w:t>
      </w:r>
    </w:p>
    <w:p>
      <w:pPr>
        <w:spacing w:after="0" w:line="85" w:lineRule="exact"/>
        <w:rPr>
          <w:sz w:val="20"/>
          <w:szCs w:val="20"/>
          <w:color w:val="auto"/>
        </w:rPr>
      </w:pPr>
    </w:p>
    <w:p>
      <w:pPr>
        <w:ind w:left="20"/>
        <w:spacing w:after="0"/>
        <w:tabs>
          <w:tab w:leader="none" w:pos="1100" w:val="left"/>
        </w:tabs>
        <w:rPr>
          <w:sz w:val="20"/>
          <w:szCs w:val="20"/>
          <w:color w:val="auto"/>
        </w:rPr>
      </w:pPr>
      <w:r>
        <w:rPr>
          <w:rFonts w:ascii="Arial" w:cs="Arial" w:eastAsia="Arial" w:hAnsi="Arial"/>
          <w:sz w:val="17"/>
          <w:szCs w:val="17"/>
          <w:color w:val="auto"/>
        </w:rPr>
        <w:t>104*</w:t>
      </w:r>
      <w:r>
        <w:rPr>
          <w:sz w:val="20"/>
          <w:szCs w:val="20"/>
          <w:color w:val="auto"/>
        </w:rPr>
        <w:tab/>
      </w:r>
      <w:r>
        <w:rPr>
          <w:rFonts w:ascii="Arial" w:cs="Arial" w:eastAsia="Arial" w:hAnsi="Arial"/>
          <w:sz w:val="17"/>
          <w:szCs w:val="17"/>
          <w:color w:val="auto"/>
        </w:rPr>
        <w:t>Cover Page Interactive Data File (formatted as Inline XBRL and contained in Exhibit 101).</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color w:val="auto"/>
        </w:rPr>
        <w:t>* Filed herewith.</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 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715962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76" w:right="339" w:bottom="1440" w:gutter="0" w:footer="0" w:header="0"/>
          <w:type w:val="continuous"/>
        </w:sectPr>
      </w:pPr>
    </w:p>
    <w:bookmarkStart w:id="39" w:name="page40"/>
    <w:bookmarkEnd w:id="39"/>
    <w:p>
      <w:pPr>
        <w:ind w:left="20"/>
        <w:spacing w:after="0"/>
        <w:rPr>
          <w:sz w:val="20"/>
          <w:szCs w:val="20"/>
          <w:color w:val="auto"/>
        </w:rPr>
      </w:pPr>
      <w:r>
        <w:rPr>
          <w:rFonts w:ascii="Arial" w:cs="Arial" w:eastAsia="Arial" w:hAnsi="Arial"/>
          <w:sz w:val="24"/>
          <w:szCs w:val="24"/>
          <w:b w:val="1"/>
          <w:bCs w:val="1"/>
          <w:color w:val="00539B"/>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-173355</wp:posOffset>
            </wp:positionV>
            <wp:extent cx="713422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4225" cy="17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37465</wp:posOffset>
            </wp:positionV>
            <wp:extent cx="713422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925" w:right="339" w:bottom="1440" w:gutter="0" w:footer="0" w:header="0"/>
        </w:sectPr>
      </w:pPr>
    </w:p>
    <w:p>
      <w:pPr>
        <w:spacing w:after="0" w:line="388" w:lineRule="exact"/>
        <w:rPr>
          <w:sz w:val="20"/>
          <w:szCs w:val="20"/>
          <w:color w:val="auto"/>
        </w:rPr>
      </w:pPr>
    </w:p>
    <w:p>
      <w:pPr>
        <w:spacing w:after="0" w:line="285"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230" w:lineRule="exact"/>
        <w:rPr>
          <w:sz w:val="20"/>
          <w:szCs w:val="20"/>
          <w:color w:val="auto"/>
        </w:rPr>
      </w:pPr>
    </w:p>
    <w:p>
      <w:pPr>
        <w:jc w:val="center"/>
        <w:ind w:left="340"/>
        <w:spacing w:after="0"/>
        <w:rPr>
          <w:sz w:val="20"/>
          <w:szCs w:val="20"/>
          <w:color w:val="auto"/>
        </w:rPr>
      </w:pPr>
      <w:r>
        <w:rPr>
          <w:rFonts w:ascii="Arial" w:cs="Arial" w:eastAsia="Arial" w:hAnsi="Arial"/>
          <w:sz w:val="17"/>
          <w:szCs w:val="17"/>
          <w:color w:val="auto"/>
        </w:rPr>
        <w:t>OCCIDENTAL PETROLEUM CORPORATION</w:t>
      </w:r>
    </w:p>
    <w:p>
      <w:pPr>
        <w:spacing w:after="0" w:line="384" w:lineRule="exact"/>
        <w:rPr>
          <w:sz w:val="20"/>
          <w:szCs w:val="20"/>
          <w:color w:val="auto"/>
        </w:rPr>
      </w:pPr>
    </w:p>
    <w:p>
      <w:pPr>
        <w:ind w:left="20"/>
        <w:spacing w:after="0"/>
        <w:tabs>
          <w:tab w:leader="none" w:pos="3980" w:val="left"/>
        </w:tabs>
        <w:rPr>
          <w:sz w:val="20"/>
          <w:szCs w:val="20"/>
          <w:color w:val="auto"/>
        </w:rPr>
      </w:pPr>
      <w:r>
        <w:rPr>
          <w:rFonts w:ascii="Arial" w:cs="Arial" w:eastAsia="Arial" w:hAnsi="Arial"/>
          <w:sz w:val="17"/>
          <w:szCs w:val="17"/>
          <w:color w:val="auto"/>
        </w:rPr>
        <w:t>August 2, 2023</w:t>
      </w:r>
      <w:r>
        <w:rPr>
          <w:sz w:val="20"/>
          <w:szCs w:val="20"/>
          <w:color w:val="auto"/>
        </w:rPr>
        <w:tab/>
      </w:r>
      <w:r>
        <w:rPr>
          <w:rFonts w:ascii="Arial" w:cs="Arial" w:eastAsia="Arial" w:hAnsi="Arial"/>
          <w:sz w:val="17"/>
          <w:szCs w:val="17"/>
          <w:color w:val="auto"/>
        </w:rPr>
        <w:t>/s/ Christopher O. Champion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2537460</wp:posOffset>
            </wp:positionH>
            <wp:positionV relativeFrom="paragraph">
              <wp:posOffset>19685</wp:posOffset>
            </wp:positionV>
            <wp:extent cx="321945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219450" cy="8255"/>
                    </a:xfrm>
                    <a:prstGeom prst="rect">
                      <a:avLst/>
                    </a:prstGeom>
                    <a:noFill/>
                  </pic:spPr>
                </pic:pic>
              </a:graphicData>
            </a:graphic>
          </wp:anchor>
        </w:drawing>
      </w:r>
    </w:p>
    <w:p>
      <w:pPr>
        <w:spacing w:after="0" w:line="19" w:lineRule="exact"/>
        <w:rPr>
          <w:sz w:val="20"/>
          <w:szCs w:val="20"/>
          <w:color w:val="auto"/>
        </w:rPr>
      </w:pPr>
    </w:p>
    <w:p>
      <w:pPr>
        <w:ind w:left="4000"/>
        <w:spacing w:after="0"/>
        <w:rPr>
          <w:sz w:val="20"/>
          <w:szCs w:val="20"/>
          <w:color w:val="auto"/>
        </w:rPr>
      </w:pPr>
      <w:r>
        <w:rPr>
          <w:rFonts w:ascii="Arial" w:cs="Arial" w:eastAsia="Arial" w:hAnsi="Arial"/>
          <w:sz w:val="17"/>
          <w:szCs w:val="17"/>
          <w:color w:val="auto"/>
        </w:rPr>
        <w:t>Christopher O. Champion</w:t>
      </w:r>
    </w:p>
    <w:p>
      <w:pPr>
        <w:spacing w:after="0" w:line="31" w:lineRule="exact"/>
        <w:rPr>
          <w:sz w:val="20"/>
          <w:szCs w:val="20"/>
          <w:color w:val="auto"/>
        </w:rPr>
      </w:pPr>
    </w:p>
    <w:p>
      <w:pPr>
        <w:ind w:left="4000"/>
        <w:spacing w:after="0"/>
        <w:rPr>
          <w:sz w:val="20"/>
          <w:szCs w:val="20"/>
          <w:color w:val="auto"/>
        </w:rPr>
      </w:pPr>
      <w:r>
        <w:rPr>
          <w:rFonts w:ascii="Arial" w:cs="Arial" w:eastAsia="Arial" w:hAnsi="Arial"/>
          <w:sz w:val="17"/>
          <w:szCs w:val="17"/>
          <w:color w:val="auto"/>
        </w:rPr>
        <w:t>Vice President, Chief Accounting Officer and Controller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40"/>
          </w:cols>
          <w:pgMar w:left="320" w:top="925" w:right="339" w:bottom="1440" w:gutter="0" w:footer="0" w:header="0"/>
          <w:type w:val="continuous"/>
        </w:sectPr>
      </w:pPr>
    </w:p>
    <w:bookmarkStart w:id="40" w:name="page41"/>
    <w:bookmarkEnd w:id="40"/>
    <w:p>
      <w:pPr>
        <w:ind w:left="10140"/>
        <w:spacing w:after="0"/>
        <w:rPr>
          <w:sz w:val="20"/>
          <w:szCs w:val="20"/>
          <w:color w:val="auto"/>
        </w:rPr>
      </w:pPr>
      <w:r>
        <w:rPr>
          <w:rFonts w:ascii="Arial" w:cs="Arial" w:eastAsia="Arial" w:hAnsi="Arial"/>
          <w:sz w:val="17"/>
          <w:szCs w:val="17"/>
          <w:b w:val="1"/>
          <w:bCs w:val="1"/>
          <w:color w:val="auto"/>
        </w:rPr>
        <w:t>EXHIBIT 31.1</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 – 14(a) / 15d – 14(a)</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§302 OF THE SARBANES-OXLEY ACT OF 2002</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I, Vicki Hollub, certify that:</w:t>
      </w:r>
    </w:p>
    <w:p>
      <w:pPr>
        <w:spacing w:after="0" w:line="247" w:lineRule="exact"/>
        <w:rPr>
          <w:sz w:val="20"/>
          <w:szCs w:val="20"/>
          <w:color w:val="auto"/>
        </w:rPr>
      </w:pPr>
    </w:p>
    <w:p>
      <w:pPr>
        <w:ind w:left="640" w:hanging="633"/>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Occidental Petroleum Corporation;</w:t>
      </w:r>
    </w:p>
    <w:p>
      <w:pPr>
        <w:spacing w:after="0" w:line="219" w:lineRule="exact"/>
        <w:rPr>
          <w:rFonts w:ascii="Arial" w:cs="Arial" w:eastAsia="Arial" w:hAnsi="Arial"/>
          <w:sz w:val="18"/>
          <w:szCs w:val="18"/>
          <w:color w:val="auto"/>
        </w:rPr>
      </w:pPr>
    </w:p>
    <w:p>
      <w:pPr>
        <w:jc w:val="both"/>
        <w:ind w:left="640" w:hanging="633"/>
        <w:spacing w:after="0" w:line="257" w:lineRule="auto"/>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8" w:lineRule="exact"/>
        <w:rPr>
          <w:rFonts w:ascii="Arial" w:cs="Arial" w:eastAsia="Arial" w:hAnsi="Arial"/>
          <w:sz w:val="18"/>
          <w:szCs w:val="18"/>
          <w:color w:val="auto"/>
        </w:rPr>
      </w:pPr>
    </w:p>
    <w:p>
      <w:pPr>
        <w:jc w:val="both"/>
        <w:ind w:left="640" w:hanging="633"/>
        <w:spacing w:after="0" w:line="257" w:lineRule="auto"/>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Arial" w:cs="Arial" w:eastAsia="Arial" w:hAnsi="Arial"/>
          <w:sz w:val="18"/>
          <w:szCs w:val="18"/>
          <w:color w:val="auto"/>
        </w:rPr>
      </w:pPr>
    </w:p>
    <w:p>
      <w:pPr>
        <w:jc w:val="both"/>
        <w:ind w:left="640" w:hanging="633"/>
        <w:spacing w:after="0" w:line="257" w:lineRule="auto"/>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8" w:lineRule="exact"/>
        <w:rPr>
          <w:rFonts w:ascii="Arial" w:cs="Arial" w:eastAsia="Arial" w:hAnsi="Arial"/>
          <w:sz w:val="18"/>
          <w:szCs w:val="18"/>
          <w:color w:val="auto"/>
        </w:rPr>
      </w:pPr>
    </w:p>
    <w:p>
      <w:pPr>
        <w:jc w:val="both"/>
        <w:ind w:left="1280" w:hanging="633"/>
        <w:spacing w:after="0" w:line="257" w:lineRule="auto"/>
        <w:tabs>
          <w:tab w:leader="none" w:pos="12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8" w:lineRule="exact"/>
        <w:rPr>
          <w:rFonts w:ascii="Arial" w:cs="Arial" w:eastAsia="Arial" w:hAnsi="Arial"/>
          <w:sz w:val="18"/>
          <w:szCs w:val="18"/>
          <w:color w:val="auto"/>
        </w:rPr>
      </w:pPr>
    </w:p>
    <w:p>
      <w:pPr>
        <w:jc w:val="both"/>
        <w:ind w:left="1280" w:hanging="633"/>
        <w:spacing w:after="0" w:line="257" w:lineRule="auto"/>
        <w:tabs>
          <w:tab w:leader="none" w:pos="12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8" w:lineRule="exact"/>
        <w:rPr>
          <w:rFonts w:ascii="Arial" w:cs="Arial" w:eastAsia="Arial" w:hAnsi="Arial"/>
          <w:sz w:val="18"/>
          <w:szCs w:val="18"/>
          <w:color w:val="auto"/>
        </w:rPr>
      </w:pPr>
    </w:p>
    <w:p>
      <w:pPr>
        <w:jc w:val="both"/>
        <w:ind w:left="1280" w:hanging="633"/>
        <w:spacing w:after="0" w:line="257" w:lineRule="auto"/>
        <w:tabs>
          <w:tab w:leader="none" w:pos="12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Arial" w:cs="Arial" w:eastAsia="Arial" w:hAnsi="Arial"/>
          <w:sz w:val="18"/>
          <w:szCs w:val="18"/>
          <w:color w:val="auto"/>
        </w:rPr>
      </w:pPr>
    </w:p>
    <w:p>
      <w:pPr>
        <w:jc w:val="both"/>
        <w:ind w:left="1280" w:hanging="633"/>
        <w:spacing w:after="0" w:line="257" w:lineRule="auto"/>
        <w:tabs>
          <w:tab w:leader="none" w:pos="12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8" w:lineRule="exact"/>
        <w:rPr>
          <w:rFonts w:ascii="Arial" w:cs="Arial" w:eastAsia="Arial" w:hAnsi="Arial"/>
          <w:sz w:val="18"/>
          <w:szCs w:val="18"/>
          <w:color w:val="auto"/>
        </w:rPr>
      </w:pPr>
    </w:p>
    <w:p>
      <w:pPr>
        <w:jc w:val="both"/>
        <w:ind w:left="640" w:hanging="633"/>
        <w:spacing w:after="0" w:line="257" w:lineRule="auto"/>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Arial" w:cs="Arial" w:eastAsia="Arial" w:hAnsi="Arial"/>
          <w:sz w:val="18"/>
          <w:szCs w:val="18"/>
          <w:color w:val="auto"/>
        </w:rPr>
      </w:pPr>
    </w:p>
    <w:p>
      <w:pPr>
        <w:jc w:val="both"/>
        <w:ind w:left="1280" w:hanging="633"/>
        <w:spacing w:after="0" w:line="257" w:lineRule="auto"/>
        <w:tabs>
          <w:tab w:leader="none" w:pos="12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Arial" w:cs="Arial" w:eastAsia="Arial" w:hAnsi="Arial"/>
          <w:sz w:val="18"/>
          <w:szCs w:val="18"/>
          <w:color w:val="auto"/>
        </w:rPr>
      </w:pPr>
    </w:p>
    <w:p>
      <w:pPr>
        <w:ind w:left="1280" w:hanging="633"/>
        <w:spacing w:after="0" w:line="268" w:lineRule="auto"/>
        <w:tabs>
          <w:tab w:leader="none" w:pos="12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Date: August 2, 2023</w:t>
      </w:r>
    </w:p>
    <w:p>
      <w:pPr>
        <w:spacing w:after="0" w:line="47"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/s/ Vicki Hollub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3223895</wp:posOffset>
            </wp:positionH>
            <wp:positionV relativeFrom="paragraph">
              <wp:posOffset>12065</wp:posOffset>
            </wp:positionV>
            <wp:extent cx="321119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211195" cy="8255"/>
                    </a:xfrm>
                    <a:prstGeom prst="rect">
                      <a:avLst/>
                    </a:prstGeom>
                    <a:noFill/>
                  </pic:spPr>
                </pic:pic>
              </a:graphicData>
            </a:graphic>
          </wp:anchor>
        </w:drawing>
      </w:r>
    </w:p>
    <w:p>
      <w:pPr>
        <w:spacing w:after="0" w:line="13"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Vicki Hollub</w:t>
      </w:r>
    </w:p>
    <w:p>
      <w:pPr>
        <w:spacing w:after="0" w:line="33"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40"/>
          </w:cols>
          <w:pgMar w:left="320" w:top="877" w:right="339" w:bottom="1440" w:gutter="0" w:footer="0" w:header="0"/>
        </w:sectPr>
      </w:pPr>
    </w:p>
    <w:bookmarkStart w:id="41" w:name="page42"/>
    <w:bookmarkEnd w:id="41"/>
    <w:p>
      <w:pPr>
        <w:ind w:left="10140"/>
        <w:spacing w:after="0"/>
        <w:rPr>
          <w:sz w:val="20"/>
          <w:szCs w:val="20"/>
          <w:color w:val="auto"/>
        </w:rPr>
      </w:pPr>
      <w:r>
        <w:rPr>
          <w:rFonts w:ascii="Arial" w:cs="Arial" w:eastAsia="Arial" w:hAnsi="Arial"/>
          <w:sz w:val="17"/>
          <w:szCs w:val="17"/>
          <w:b w:val="1"/>
          <w:bCs w:val="1"/>
          <w:color w:val="auto"/>
        </w:rPr>
        <w:t>EXHIBIT 31.2</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 – 14(a) / 15d – 14(a)</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§302 OF THE SARBANES-OXLEY ACT OF 2002</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I, Robert Peterson, certify that:</w:t>
      </w:r>
    </w:p>
    <w:p>
      <w:pPr>
        <w:spacing w:after="0" w:line="247" w:lineRule="exact"/>
        <w:rPr>
          <w:sz w:val="20"/>
          <w:szCs w:val="20"/>
          <w:color w:val="auto"/>
        </w:rPr>
      </w:pPr>
    </w:p>
    <w:p>
      <w:pPr>
        <w:ind w:left="640" w:hanging="633"/>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Occidental Petroleum Corporation;</w:t>
      </w:r>
    </w:p>
    <w:p>
      <w:pPr>
        <w:spacing w:after="0" w:line="219" w:lineRule="exact"/>
        <w:rPr>
          <w:rFonts w:ascii="Arial" w:cs="Arial" w:eastAsia="Arial" w:hAnsi="Arial"/>
          <w:sz w:val="18"/>
          <w:szCs w:val="18"/>
          <w:color w:val="auto"/>
        </w:rPr>
      </w:pPr>
    </w:p>
    <w:p>
      <w:pPr>
        <w:jc w:val="both"/>
        <w:ind w:left="640" w:hanging="633"/>
        <w:spacing w:after="0" w:line="257" w:lineRule="auto"/>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8" w:lineRule="exact"/>
        <w:rPr>
          <w:rFonts w:ascii="Arial" w:cs="Arial" w:eastAsia="Arial" w:hAnsi="Arial"/>
          <w:sz w:val="18"/>
          <w:szCs w:val="18"/>
          <w:color w:val="auto"/>
        </w:rPr>
      </w:pPr>
    </w:p>
    <w:p>
      <w:pPr>
        <w:jc w:val="both"/>
        <w:ind w:left="640" w:hanging="633"/>
        <w:spacing w:after="0" w:line="257" w:lineRule="auto"/>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Arial" w:cs="Arial" w:eastAsia="Arial" w:hAnsi="Arial"/>
          <w:sz w:val="18"/>
          <w:szCs w:val="18"/>
          <w:color w:val="auto"/>
        </w:rPr>
      </w:pPr>
    </w:p>
    <w:p>
      <w:pPr>
        <w:jc w:val="both"/>
        <w:ind w:left="640" w:hanging="633"/>
        <w:spacing w:after="0" w:line="257" w:lineRule="auto"/>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8" w:lineRule="exact"/>
        <w:rPr>
          <w:rFonts w:ascii="Arial" w:cs="Arial" w:eastAsia="Arial" w:hAnsi="Arial"/>
          <w:sz w:val="18"/>
          <w:szCs w:val="18"/>
          <w:color w:val="auto"/>
        </w:rPr>
      </w:pPr>
    </w:p>
    <w:p>
      <w:pPr>
        <w:jc w:val="both"/>
        <w:ind w:left="1280" w:hanging="633"/>
        <w:spacing w:after="0" w:line="257" w:lineRule="auto"/>
        <w:tabs>
          <w:tab w:leader="none" w:pos="12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8" w:lineRule="exact"/>
        <w:rPr>
          <w:rFonts w:ascii="Arial" w:cs="Arial" w:eastAsia="Arial" w:hAnsi="Arial"/>
          <w:sz w:val="18"/>
          <w:szCs w:val="18"/>
          <w:color w:val="auto"/>
        </w:rPr>
      </w:pPr>
    </w:p>
    <w:p>
      <w:pPr>
        <w:jc w:val="both"/>
        <w:ind w:left="1280" w:hanging="633"/>
        <w:spacing w:after="0" w:line="257" w:lineRule="auto"/>
        <w:tabs>
          <w:tab w:leader="none" w:pos="12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8" w:lineRule="exact"/>
        <w:rPr>
          <w:rFonts w:ascii="Arial" w:cs="Arial" w:eastAsia="Arial" w:hAnsi="Arial"/>
          <w:sz w:val="18"/>
          <w:szCs w:val="18"/>
          <w:color w:val="auto"/>
        </w:rPr>
      </w:pPr>
    </w:p>
    <w:p>
      <w:pPr>
        <w:jc w:val="both"/>
        <w:ind w:left="1280" w:hanging="633"/>
        <w:spacing w:after="0" w:line="257" w:lineRule="auto"/>
        <w:tabs>
          <w:tab w:leader="none" w:pos="12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Arial" w:cs="Arial" w:eastAsia="Arial" w:hAnsi="Arial"/>
          <w:sz w:val="18"/>
          <w:szCs w:val="18"/>
          <w:color w:val="auto"/>
        </w:rPr>
      </w:pPr>
    </w:p>
    <w:p>
      <w:pPr>
        <w:jc w:val="both"/>
        <w:ind w:left="1280" w:hanging="633"/>
        <w:spacing w:after="0" w:line="257" w:lineRule="auto"/>
        <w:tabs>
          <w:tab w:leader="none" w:pos="12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8" w:lineRule="exact"/>
        <w:rPr>
          <w:rFonts w:ascii="Arial" w:cs="Arial" w:eastAsia="Arial" w:hAnsi="Arial"/>
          <w:sz w:val="18"/>
          <w:szCs w:val="18"/>
          <w:color w:val="auto"/>
        </w:rPr>
      </w:pPr>
    </w:p>
    <w:p>
      <w:pPr>
        <w:jc w:val="both"/>
        <w:ind w:left="640" w:hanging="633"/>
        <w:spacing w:after="0" w:line="257" w:lineRule="auto"/>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Arial" w:cs="Arial" w:eastAsia="Arial" w:hAnsi="Arial"/>
          <w:sz w:val="18"/>
          <w:szCs w:val="18"/>
          <w:color w:val="auto"/>
        </w:rPr>
      </w:pPr>
    </w:p>
    <w:p>
      <w:pPr>
        <w:jc w:val="both"/>
        <w:ind w:left="1280" w:hanging="633"/>
        <w:spacing w:after="0" w:line="257" w:lineRule="auto"/>
        <w:tabs>
          <w:tab w:leader="none" w:pos="12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Arial" w:cs="Arial" w:eastAsia="Arial" w:hAnsi="Arial"/>
          <w:sz w:val="18"/>
          <w:szCs w:val="18"/>
          <w:color w:val="auto"/>
        </w:rPr>
      </w:pPr>
    </w:p>
    <w:p>
      <w:pPr>
        <w:ind w:left="1280" w:hanging="633"/>
        <w:spacing w:after="0" w:line="268" w:lineRule="auto"/>
        <w:tabs>
          <w:tab w:leader="none" w:pos="12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Date: August 2, 2023</w:t>
      </w:r>
    </w:p>
    <w:p>
      <w:pPr>
        <w:spacing w:after="0" w:line="47"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/s/ Robert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3223895</wp:posOffset>
            </wp:positionH>
            <wp:positionV relativeFrom="paragraph">
              <wp:posOffset>12065</wp:posOffset>
            </wp:positionV>
            <wp:extent cx="321945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219450" cy="8255"/>
                    </a:xfrm>
                    <a:prstGeom prst="rect">
                      <a:avLst/>
                    </a:prstGeom>
                    <a:noFill/>
                  </pic:spPr>
                </pic:pic>
              </a:graphicData>
            </a:graphic>
          </wp:anchor>
        </w:drawing>
      </w:r>
    </w:p>
    <w:p>
      <w:pPr>
        <w:spacing w:after="0" w:line="13"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Robert Peterson</w:t>
      </w:r>
    </w:p>
    <w:p>
      <w:pPr>
        <w:spacing w:after="0" w:line="33"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Senior Vice President and Chief Financial Officer</w:t>
      </w:r>
    </w:p>
    <w:p>
      <w:pPr>
        <w:sectPr>
          <w:pgSz w:w="11900" w:h="16838" w:orient="portrait"/>
          <w:cols w:equalWidth="0" w:num="1">
            <w:col w:w="11240"/>
          </w:cols>
          <w:pgMar w:left="320" w:top="877" w:right="339" w:bottom="1440" w:gutter="0" w:footer="0" w:header="0"/>
        </w:sectPr>
      </w:pPr>
    </w:p>
    <w:bookmarkStart w:id="42" w:name="page43"/>
    <w:bookmarkEnd w:id="42"/>
    <w:p>
      <w:pPr>
        <w:ind w:left="10140"/>
        <w:spacing w:after="0"/>
        <w:rPr>
          <w:sz w:val="20"/>
          <w:szCs w:val="20"/>
          <w:color w:val="auto"/>
        </w:rPr>
      </w:pPr>
      <w:r>
        <w:rPr>
          <w:rFonts w:ascii="Arial" w:cs="Arial" w:eastAsia="Arial" w:hAnsi="Arial"/>
          <w:sz w:val="17"/>
          <w:szCs w:val="17"/>
          <w:b w:val="1"/>
          <w:bCs w:val="1"/>
          <w:color w:val="auto"/>
        </w:rPr>
        <w:t>EXHIBIT 32.1</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18 U.S.C. </w:t>
      </w:r>
      <w:r>
        <w:rPr>
          <w:rFonts w:ascii="Arial" w:cs="Arial" w:eastAsia="Arial" w:hAnsi="Arial"/>
          <w:sz w:val="18"/>
          <w:szCs w:val="18"/>
          <w:color w:val="auto"/>
        </w:rPr>
        <w:t>§</w:t>
      </w:r>
      <w:r>
        <w:rPr>
          <w:rFonts w:ascii="Arial" w:cs="Arial" w:eastAsia="Arial" w:hAnsi="Arial"/>
          <w:sz w:val="18"/>
          <w:szCs w:val="18"/>
          <w:b w:val="1"/>
          <w:bCs w:val="1"/>
          <w:color w:val="auto"/>
        </w:rPr>
        <w:t xml:space="preserve"> 1350,</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6" w:lineRule="exact"/>
        <w:rPr>
          <w:sz w:val="20"/>
          <w:szCs w:val="20"/>
          <w:color w:val="auto"/>
        </w:rPr>
      </w:pPr>
    </w:p>
    <w:p>
      <w:pPr>
        <w:ind w:left="3780" w:hanging="157"/>
        <w:spacing w:after="0"/>
        <w:tabs>
          <w:tab w:leader="none" w:pos="3780" w:val="left"/>
        </w:tabs>
        <w:numPr>
          <w:ilvl w:val="0"/>
          <w:numId w:val="23"/>
        </w:numPr>
        <w:rPr>
          <w:rFonts w:ascii="Arial" w:cs="Arial" w:eastAsia="Arial" w:hAnsi="Arial"/>
          <w:sz w:val="18"/>
          <w:szCs w:val="18"/>
          <w:color w:val="auto"/>
        </w:rPr>
      </w:pPr>
      <w:r>
        <w:rPr>
          <w:rFonts w:ascii="Arial" w:cs="Arial" w:eastAsia="Arial" w:hAnsi="Arial"/>
          <w:sz w:val="18"/>
          <w:szCs w:val="18"/>
          <w:b w:val="1"/>
          <w:bCs w:val="1"/>
          <w:color w:val="auto"/>
        </w:rPr>
        <w:t>906 OF THE SARBANES-OXLEY ACT OF 2002</w:t>
      </w:r>
    </w:p>
    <w:p>
      <w:pPr>
        <w:spacing w:after="0" w:line="23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connection with the Quarterly Report on Form 10-Q of Occidental Petroleum Corporation (the “Company”) for the fiscal period ended June 30, 2023, as filed with the Securities and Exchange Commission on August 2, 2023 (the “Report”), Vicki Hollub, as Chief Executive Officer of the Company, and Robert Peterson, as Chief Financial Officer of the Company, each hereby certifies, pursuant to 18 U.S.C. § 1350, as adopted pursuant to § 906 of the Sarbanes-Oxley Act of 2002, that, to the best of her or his knowledge:</w:t>
      </w:r>
    </w:p>
    <w:p>
      <w:pPr>
        <w:spacing w:after="0" w:line="218" w:lineRule="exact"/>
        <w:rPr>
          <w:sz w:val="20"/>
          <w:szCs w:val="20"/>
          <w:color w:val="auto"/>
        </w:rPr>
      </w:pPr>
    </w:p>
    <w:p>
      <w:pPr>
        <w:ind w:left="1200" w:hanging="633"/>
        <w:spacing w:after="0"/>
        <w:tabs>
          <w:tab w:leader="none" w:pos="12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46" w:lineRule="exact"/>
        <w:rPr>
          <w:rFonts w:ascii="Arial" w:cs="Arial" w:eastAsia="Arial" w:hAnsi="Arial"/>
          <w:sz w:val="18"/>
          <w:szCs w:val="18"/>
          <w:color w:val="auto"/>
        </w:rPr>
      </w:pPr>
    </w:p>
    <w:p>
      <w:pPr>
        <w:ind w:left="1200" w:hanging="633"/>
        <w:spacing w:after="0" w:line="268" w:lineRule="auto"/>
        <w:tabs>
          <w:tab w:leader="none" w:pos="12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820" w:type="dxa"/>
            <w:vAlign w:val="bottom"/>
            <w:tcBorders>
              <w:bottom w:val="single" w:sz="8" w:color="auto"/>
            </w:tcBorders>
          </w:tcPr>
          <w:p>
            <w:pPr>
              <w:spacing w:after="0"/>
              <w:rPr>
                <w:sz w:val="19"/>
                <w:szCs w:val="19"/>
                <w:color w:val="auto"/>
              </w:rPr>
            </w:pPr>
          </w:p>
        </w:tc>
        <w:tc>
          <w:tcPr>
            <w:tcW w:w="446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/s/ Vicki Hollub</w:t>
            </w:r>
          </w:p>
        </w:tc>
      </w:tr>
      <w:tr>
        <w:trPr>
          <w:trHeight w:val="219"/>
        </w:trPr>
        <w:tc>
          <w:tcPr>
            <w:tcW w:w="820" w:type="dxa"/>
            <w:vAlign w:val="bottom"/>
          </w:tcPr>
          <w:p>
            <w:pPr>
              <w:ind w:left="20"/>
              <w:spacing w:after="0"/>
              <w:rPr>
                <w:sz w:val="20"/>
                <w:szCs w:val="20"/>
                <w:color w:val="auto"/>
              </w:rPr>
            </w:pPr>
            <w:r>
              <w:rPr>
                <w:rFonts w:ascii="Arial" w:cs="Arial" w:eastAsia="Arial" w:hAnsi="Arial"/>
                <w:sz w:val="18"/>
                <w:szCs w:val="18"/>
                <w:color w:val="auto"/>
              </w:rPr>
              <w:t>Name:</w:t>
            </w:r>
          </w:p>
        </w:tc>
        <w:tc>
          <w:tcPr>
            <w:tcW w:w="4460" w:type="dxa"/>
            <w:vAlign w:val="bottom"/>
          </w:tcPr>
          <w:p>
            <w:pPr>
              <w:ind w:left="260"/>
              <w:spacing w:after="0"/>
              <w:rPr>
                <w:sz w:val="20"/>
                <w:szCs w:val="20"/>
                <w:color w:val="auto"/>
              </w:rPr>
            </w:pPr>
            <w:r>
              <w:rPr>
                <w:rFonts w:ascii="Arial" w:cs="Arial" w:eastAsia="Arial" w:hAnsi="Arial"/>
                <w:sz w:val="18"/>
                <w:szCs w:val="18"/>
                <w:color w:val="auto"/>
              </w:rPr>
              <w:t>Vicki Hollub</w:t>
            </w:r>
          </w:p>
        </w:tc>
      </w:tr>
      <w:tr>
        <w:trPr>
          <w:trHeight w:val="240"/>
        </w:trPr>
        <w:tc>
          <w:tcPr>
            <w:tcW w:w="820" w:type="dxa"/>
            <w:vAlign w:val="bottom"/>
          </w:tcPr>
          <w:p>
            <w:pPr>
              <w:ind w:left="20"/>
              <w:spacing w:after="0"/>
              <w:rPr>
                <w:sz w:val="20"/>
                <w:szCs w:val="20"/>
                <w:color w:val="auto"/>
              </w:rPr>
            </w:pPr>
            <w:r>
              <w:rPr>
                <w:rFonts w:ascii="Arial" w:cs="Arial" w:eastAsia="Arial" w:hAnsi="Arial"/>
                <w:sz w:val="18"/>
                <w:szCs w:val="18"/>
                <w:color w:val="auto"/>
              </w:rPr>
              <w:t>Title:</w:t>
            </w:r>
          </w:p>
        </w:tc>
        <w:tc>
          <w:tcPr>
            <w:tcW w:w="4460" w:type="dxa"/>
            <w:vAlign w:val="bottom"/>
          </w:tcPr>
          <w:p>
            <w:pPr>
              <w:ind w:left="260"/>
              <w:spacing w:after="0"/>
              <w:rPr>
                <w:sz w:val="20"/>
                <w:szCs w:val="20"/>
                <w:color w:val="auto"/>
              </w:rPr>
            </w:pPr>
            <w:r>
              <w:rPr>
                <w:rFonts w:ascii="Arial" w:cs="Arial" w:eastAsia="Arial" w:hAnsi="Arial"/>
                <w:sz w:val="18"/>
                <w:szCs w:val="18"/>
                <w:color w:val="auto"/>
              </w:rPr>
              <w:t>President and Chief Executive Officer</w:t>
            </w:r>
          </w:p>
        </w:tc>
      </w:tr>
      <w:tr>
        <w:trPr>
          <w:trHeight w:val="227"/>
        </w:trPr>
        <w:tc>
          <w:tcPr>
            <w:tcW w:w="820" w:type="dxa"/>
            <w:vAlign w:val="bottom"/>
          </w:tcPr>
          <w:p>
            <w:pPr>
              <w:ind w:left="20"/>
              <w:spacing w:after="0"/>
              <w:rPr>
                <w:sz w:val="20"/>
                <w:szCs w:val="20"/>
                <w:color w:val="auto"/>
              </w:rPr>
            </w:pPr>
            <w:r>
              <w:rPr>
                <w:rFonts w:ascii="Arial" w:cs="Arial" w:eastAsia="Arial" w:hAnsi="Arial"/>
                <w:sz w:val="18"/>
                <w:szCs w:val="18"/>
                <w:color w:val="auto"/>
              </w:rPr>
              <w:t>Date:</w:t>
            </w:r>
          </w:p>
        </w:tc>
        <w:tc>
          <w:tcPr>
            <w:tcW w:w="4460" w:type="dxa"/>
            <w:vAlign w:val="bottom"/>
          </w:tcPr>
          <w:p>
            <w:pPr>
              <w:ind w:left="260"/>
              <w:spacing w:after="0"/>
              <w:rPr>
                <w:sz w:val="20"/>
                <w:szCs w:val="20"/>
                <w:color w:val="auto"/>
              </w:rPr>
            </w:pPr>
            <w:r>
              <w:rPr>
                <w:rFonts w:ascii="Arial" w:cs="Arial" w:eastAsia="Arial" w:hAnsi="Arial"/>
                <w:sz w:val="18"/>
                <w:szCs w:val="18"/>
                <w:color w:val="auto"/>
              </w:rPr>
              <w:t>August 2, 2023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820" w:type="dxa"/>
            <w:vAlign w:val="bottom"/>
            <w:tcBorders>
              <w:bottom w:val="single" w:sz="8" w:color="auto"/>
            </w:tcBorders>
          </w:tcPr>
          <w:p>
            <w:pPr>
              <w:spacing w:after="0"/>
              <w:rPr>
                <w:sz w:val="19"/>
                <w:szCs w:val="19"/>
                <w:color w:val="auto"/>
              </w:rPr>
            </w:pPr>
          </w:p>
        </w:tc>
        <w:tc>
          <w:tcPr>
            <w:tcW w:w="446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/s/ Robert Peterson</w:t>
            </w:r>
          </w:p>
        </w:tc>
      </w:tr>
      <w:tr>
        <w:trPr>
          <w:trHeight w:val="219"/>
        </w:trPr>
        <w:tc>
          <w:tcPr>
            <w:tcW w:w="820" w:type="dxa"/>
            <w:vAlign w:val="bottom"/>
          </w:tcPr>
          <w:p>
            <w:pPr>
              <w:ind w:left="20"/>
              <w:spacing w:after="0"/>
              <w:rPr>
                <w:sz w:val="20"/>
                <w:szCs w:val="20"/>
                <w:color w:val="auto"/>
              </w:rPr>
            </w:pPr>
            <w:r>
              <w:rPr>
                <w:rFonts w:ascii="Arial" w:cs="Arial" w:eastAsia="Arial" w:hAnsi="Arial"/>
                <w:sz w:val="18"/>
                <w:szCs w:val="18"/>
                <w:color w:val="auto"/>
              </w:rPr>
              <w:t>Name:</w:t>
            </w:r>
          </w:p>
        </w:tc>
        <w:tc>
          <w:tcPr>
            <w:tcW w:w="4460" w:type="dxa"/>
            <w:vAlign w:val="bottom"/>
          </w:tcPr>
          <w:p>
            <w:pPr>
              <w:ind w:left="260"/>
              <w:spacing w:after="0"/>
              <w:rPr>
                <w:sz w:val="20"/>
                <w:szCs w:val="20"/>
                <w:color w:val="auto"/>
              </w:rPr>
            </w:pPr>
            <w:r>
              <w:rPr>
                <w:rFonts w:ascii="Arial" w:cs="Arial" w:eastAsia="Arial" w:hAnsi="Arial"/>
                <w:sz w:val="18"/>
                <w:szCs w:val="18"/>
                <w:color w:val="auto"/>
              </w:rPr>
              <w:t>Robert Peterson</w:t>
            </w:r>
          </w:p>
        </w:tc>
      </w:tr>
      <w:tr>
        <w:trPr>
          <w:trHeight w:val="240"/>
        </w:trPr>
        <w:tc>
          <w:tcPr>
            <w:tcW w:w="820" w:type="dxa"/>
            <w:vAlign w:val="bottom"/>
          </w:tcPr>
          <w:p>
            <w:pPr>
              <w:ind w:left="20"/>
              <w:spacing w:after="0"/>
              <w:rPr>
                <w:sz w:val="20"/>
                <w:szCs w:val="20"/>
                <w:color w:val="auto"/>
              </w:rPr>
            </w:pPr>
            <w:r>
              <w:rPr>
                <w:rFonts w:ascii="Arial" w:cs="Arial" w:eastAsia="Arial" w:hAnsi="Arial"/>
                <w:sz w:val="18"/>
                <w:szCs w:val="18"/>
                <w:color w:val="auto"/>
              </w:rPr>
              <w:t>Title:</w:t>
            </w:r>
          </w:p>
        </w:tc>
        <w:tc>
          <w:tcPr>
            <w:tcW w:w="4460" w:type="dxa"/>
            <w:vAlign w:val="bottom"/>
          </w:tcPr>
          <w:p>
            <w:pPr>
              <w:ind w:left="260"/>
              <w:spacing w:after="0"/>
              <w:rPr>
                <w:sz w:val="20"/>
                <w:szCs w:val="20"/>
                <w:color w:val="auto"/>
              </w:rPr>
            </w:pPr>
            <w:r>
              <w:rPr>
                <w:rFonts w:ascii="Arial" w:cs="Arial" w:eastAsia="Arial" w:hAnsi="Arial"/>
                <w:sz w:val="18"/>
                <w:szCs w:val="18"/>
                <w:color w:val="auto"/>
              </w:rPr>
              <w:t>Senior Vice President and Chief Financial Officer</w:t>
            </w:r>
          </w:p>
        </w:tc>
      </w:tr>
      <w:tr>
        <w:trPr>
          <w:trHeight w:val="227"/>
        </w:trPr>
        <w:tc>
          <w:tcPr>
            <w:tcW w:w="820" w:type="dxa"/>
            <w:vAlign w:val="bottom"/>
          </w:tcPr>
          <w:p>
            <w:pPr>
              <w:ind w:left="20"/>
              <w:spacing w:after="0"/>
              <w:rPr>
                <w:sz w:val="20"/>
                <w:szCs w:val="20"/>
                <w:color w:val="auto"/>
              </w:rPr>
            </w:pPr>
            <w:r>
              <w:rPr>
                <w:rFonts w:ascii="Arial" w:cs="Arial" w:eastAsia="Arial" w:hAnsi="Arial"/>
                <w:sz w:val="18"/>
                <w:szCs w:val="18"/>
                <w:color w:val="auto"/>
              </w:rPr>
              <w:t>Date:</w:t>
            </w:r>
          </w:p>
        </w:tc>
        <w:tc>
          <w:tcPr>
            <w:tcW w:w="4460" w:type="dxa"/>
            <w:vAlign w:val="bottom"/>
          </w:tcPr>
          <w:p>
            <w:pPr>
              <w:ind w:left="260"/>
              <w:spacing w:after="0"/>
              <w:rPr>
                <w:sz w:val="20"/>
                <w:szCs w:val="20"/>
                <w:color w:val="auto"/>
              </w:rPr>
            </w:pPr>
            <w:r>
              <w:rPr>
                <w:rFonts w:ascii="Arial" w:cs="Arial" w:eastAsia="Arial" w:hAnsi="Arial"/>
                <w:sz w:val="18"/>
                <w:szCs w:val="18"/>
                <w:color w:val="auto"/>
              </w:rPr>
              <w:t>August 2, 2023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 signed original of this written statement required by Section 906 has been provided to Occidental Petroleum Corporation and will be retained by Occidental Petroleum Corporation and furnished to the Securities and Exchange Commission or its staff upon request.</w:t>
      </w:r>
    </w:p>
    <w:p>
      <w:pPr>
        <w:spacing w:after="0" w:line="20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certification accompanies the Report pursuant to Section 906 of the Sarbanes-Oxley Act of 2002 and shall not, except to the extent required by the Sarbanes-Oxley Act of 2002, be deemed filed by the Company for purposes of Section 18 of the Securities Exchange Act of 1934, as amended.</w:t>
      </w:r>
    </w:p>
    <w:sectPr>
      <w:pgSz w:w="11900" w:h="16838" w:orient="portrait"/>
      <w:cols w:equalWidth="0" w:num="1">
        <w:col w:w="11240"/>
      </w:cols>
      <w:pgMar w:left="320" w:top="87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
      <w:numFmt w:val="bullet"/>
      <w:start w:val="1"/>
    </w:lvl>
  </w:abstractNum>
  <w:abstractNum w:abstractNumId="3">
    <w:nsid w:val="DED7263"/>
    <w:multiLevelType w:val="hybridMultilevel"/>
    <w:lvl w:ilvl="0">
      <w:lvlJc w:val="left"/>
      <w:lvlText w:val="☑"/>
      <w:numFmt w:val="bullet"/>
      <w:start w:val="1"/>
    </w:lvl>
  </w:abstractNum>
  <w:abstractNum w:abstractNumId="4">
    <w:nsid w:val="7FDCC233"/>
    <w:multiLevelType w:val="hybridMultilevel"/>
    <w:lvl w:ilvl="0">
      <w:lvlJc w:val="left"/>
      <w:lvlText w:val="☐"/>
      <w:numFmt w:val="bullet"/>
      <w:start w:val="1"/>
    </w:lvl>
  </w:abstractNum>
  <w:abstractNum w:abstractNumId="5">
    <w:nsid w:val="1BEFD79F"/>
    <w:multiLevelType w:val="hybridMultilevel"/>
    <w:lvl w:ilvl="0">
      <w:lvlJc w:val="left"/>
      <w:lvlText w:val="(%1)"/>
      <w:numFmt w:val="lowerLetter"/>
      <w:start w:val="1"/>
    </w:lvl>
  </w:abstractNum>
  <w:abstractNum w:abstractNumId="6">
    <w:nsid w:val="41A7C4C9"/>
    <w:multiLevelType w:val="hybridMultilevel"/>
    <w:lvl w:ilvl="0">
      <w:lvlJc w:val="left"/>
      <w:lvlText w:val="(%1)"/>
      <w:numFmt w:val="lowerLetter"/>
      <w:start w:val="1"/>
    </w:lvl>
  </w:abstractNum>
  <w:abstractNum w:abstractNumId="7">
    <w:nsid w:val="6B68079A"/>
    <w:multiLevelType w:val="hybridMultilevel"/>
    <w:lvl w:ilvl="0">
      <w:lvlJc w:val="left"/>
      <w:lvlText w:val="(%1)"/>
      <w:numFmt w:val="lowerLetter"/>
      <w:start w:val="1"/>
    </w:lvl>
  </w:abstractNum>
  <w:abstractNum w:abstractNumId="8">
    <w:nsid w:val="4E6AFB66"/>
    <w:multiLevelType w:val="hybridMultilevel"/>
    <w:lvl w:ilvl="0">
      <w:lvlJc w:val="left"/>
      <w:lvlText w:val="(%1)"/>
      <w:numFmt w:val="lowerLetter"/>
      <w:start w:val="1"/>
    </w:lvl>
  </w:abstractNum>
  <w:abstractNum w:abstractNumId="9">
    <w:nsid w:val="25E45D32"/>
    <w:multiLevelType w:val="hybridMultilevel"/>
    <w:lvl w:ilvl="0">
      <w:lvlJc w:val="left"/>
      <w:lvlText w:val="(%1)"/>
      <w:numFmt w:val="lowerLetter"/>
      <w:start w:val="1"/>
    </w:lvl>
  </w:abstractNum>
  <w:abstractNum w:abstractNumId="10">
    <w:nsid w:val="519B500D"/>
    <w:multiLevelType w:val="hybridMultilevel"/>
    <w:lvl w:ilvl="0">
      <w:lvlJc w:val="left"/>
      <w:lvlText w:val="(%1)"/>
      <w:numFmt w:val="lowerLetter"/>
      <w:start w:val="1"/>
    </w:lvl>
  </w:abstractNum>
  <w:abstractNum w:abstractNumId="11">
    <w:nsid w:val="431BD7B7"/>
    <w:multiLevelType w:val="hybridMultilevel"/>
    <w:lvl w:ilvl="0">
      <w:lvlJc w:val="left"/>
      <w:lvlText w:val="(%1)"/>
      <w:numFmt w:val="lowerLetter"/>
      <w:start w:val="1"/>
    </w:lvl>
  </w:abstractNum>
  <w:abstractNum w:abstractNumId="12">
    <w:nsid w:val="3F2DBA31"/>
    <w:multiLevelType w:val="hybridMultilevel"/>
    <w:lvl w:ilvl="0">
      <w:lvlJc w:val="left"/>
      <w:lvlText w:val="(%1)"/>
      <w:numFmt w:val="lowerLetter"/>
      <w:start w:val="1"/>
    </w:lvl>
  </w:abstractNum>
  <w:abstractNum w:abstractNumId="13">
    <w:nsid w:val="7C83E458"/>
    <w:multiLevelType w:val="hybridMultilevel"/>
    <w:lvl w:ilvl="0">
      <w:lvlJc w:val="left"/>
      <w:lvlText w:val="■"/>
      <w:numFmt w:val="bullet"/>
      <w:start w:val="1"/>
    </w:lvl>
  </w:abstractNum>
  <w:abstractNum w:abstractNumId="14">
    <w:nsid w:val="257130A3"/>
    <w:multiLevelType w:val="hybridMultilevel"/>
    <w:lvl w:ilvl="0">
      <w:lvlJc w:val="left"/>
      <w:lvlText w:val="(%1)"/>
      <w:numFmt w:val="lowerLetter"/>
      <w:start w:val="1"/>
    </w:lvl>
  </w:abstractNum>
  <w:abstractNum w:abstractNumId="15">
    <w:nsid w:val="62BBD95A"/>
    <w:multiLevelType w:val="hybridMultilevel"/>
    <w:lvl w:ilvl="0">
      <w:lvlJc w:val="left"/>
      <w:lvlText w:val="(%1)"/>
      <w:numFmt w:val="lowerLetter"/>
      <w:start w:val="1"/>
    </w:lvl>
  </w:abstractNum>
  <w:abstractNum w:abstractNumId="16">
    <w:nsid w:val="436C6125"/>
    <w:multiLevelType w:val="hybridMultilevel"/>
    <w:lvl w:ilvl="0">
      <w:lvlJc w:val="left"/>
      <w:lvlText w:val="(%1)"/>
      <w:numFmt w:val="lowerLetter"/>
      <w:start w:val="1"/>
    </w:lvl>
  </w:abstractNum>
  <w:abstractNum w:abstractNumId="17">
    <w:nsid w:val="628C895D"/>
    <w:multiLevelType w:val="hybridMultilevel"/>
    <w:lvl w:ilvl="0">
      <w:lvlJc w:val="left"/>
      <w:lvlText w:val="(%1)"/>
      <w:numFmt w:val="lowerLetter"/>
      <w:start w:val="1"/>
    </w:lvl>
  </w:abstractNum>
  <w:abstractNum w:abstractNumId="18">
    <w:nsid w:val="333AB105"/>
    <w:multiLevelType w:val="hybridMultilevel"/>
    <w:lvl w:ilvl="0">
      <w:lvlJc w:val="left"/>
      <w:lvlText w:val="(%1)"/>
      <w:numFmt w:val="lowerLetter"/>
      <w:start w:val="1"/>
    </w:lvl>
  </w:abstractNum>
  <w:abstractNum w:abstractNumId="19">
    <w:nsid w:val="721DA317"/>
    <w:multiLevelType w:val="hybridMultilevel"/>
    <w:lvl w:ilvl="0">
      <w:lvlJc w:val="left"/>
      <w:lvlText w:val="(%1)"/>
      <w:numFmt w:val="lowerLetter"/>
      <w:start w:val="1"/>
    </w:lvl>
  </w:abstractNum>
  <w:abstractNum w:abstractNumId="20">
    <w:nsid w:val="2443A858"/>
    <w:multiLevelType w:val="hybridMultilevel"/>
    <w:lvl w:ilvl="0">
      <w:lvlJc w:val="left"/>
      <w:lvlText w:val="%1."/>
      <w:numFmt w:val="decimal"/>
      <w:start w:val="1"/>
    </w:lvl>
    <w:lvl w:ilvl="1">
      <w:lvlJc w:val="left"/>
      <w:lvlText w:val="(%2)"/>
      <w:numFmt w:val="lowerLetter"/>
      <w:start w:val="1"/>
    </w:lvl>
  </w:abstractNum>
  <w:abstractNum w:abstractNumId="21">
    <w:nsid w:val="2D1D5AE9"/>
    <w:multiLevelType w:val="hybridMultilevel"/>
    <w:lvl w:ilvl="0">
      <w:lvlJc w:val="left"/>
      <w:lvlText w:val="%1."/>
      <w:numFmt w:val="decimal"/>
      <w:start w:val="1"/>
    </w:lvl>
    <w:lvl w:ilvl="1">
      <w:lvlJc w:val="left"/>
      <w:lvlText w:val="(%2)"/>
      <w:numFmt w:val="lowerLetter"/>
      <w:start w:val="1"/>
    </w:lvl>
  </w:abstractNum>
  <w:abstractNum w:abstractNumId="22">
    <w:nsid w:val="6763845E"/>
    <w:multiLevelType w:val="hybridMultilevel"/>
    <w:lvl w:ilvl="0">
      <w:lvlJc w:val="left"/>
      <w:lvlText w:val="§"/>
      <w:numFmt w:val="bullet"/>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2023-08-02T15:36:38Z</dcterms:created>
  <dcterms:modified xsi:type="dcterms:W3CDTF">2023-08-02T15:36:38Z</dcterms:modified>
</cp:coreProperties>
</file>