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5515.xml.htm"/>
      <w:bookmarkStart w:id="1" w:name="kswkform4_17858855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POLLACK BRAD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OCCIDENTAL PETROLEUM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GREENWAY PLAZA,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OCCIDENTAL PETROLEUM CORP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34"/>
        <w:gridCol w:w="459"/>
        <w:gridCol w:w="621"/>
        <w:gridCol w:w="1170"/>
        <w:gridCol w:w="1003"/>
        <w:gridCol w:w="96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26,284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42,660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OPC 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RSUs pursuant to the Issuer's Amended and Restated 2015 Long-Term Incentive Plan. Each RSU represents a contingent right to receive one share of the Issuer's common stock upon vesting. The RSUs will vest in three equal annual installments beginning on July 31,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Based on a plan statement dated July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Brittany A. Smith, Attorney-in-Fact for Brad Pollack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435" TargetMode="External"/><Relationship Id="rId5" Type="http://schemas.openxmlformats.org/officeDocument/2006/relationships/hyperlink" Target="http://www.sec.gov/cgi-bin/browse-edgar?action=getcompany&amp;CIK=00007974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3440</Characters>
  <CharactersWithSpaces>4003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