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AND EXCHANGE COMMISSION</w:t>
      </w: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SCHEDULE 14A</w:t>
      </w:r>
    </w:p>
    <w:p>
      <w:pPr>
        <w:spacing w:after="0" w:line="212"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Exchange Act of 1934 (Amendment No. )</w:t>
      </w:r>
    </w:p>
    <w:p>
      <w:pPr>
        <w:spacing w:after="0" w:line="151" w:lineRule="exact"/>
        <w:rPr>
          <w:sz w:val="24"/>
          <w:szCs w:val="24"/>
          <w:color w:val="auto"/>
        </w:rPr>
      </w:pPr>
    </w:p>
    <w:p>
      <w:pPr>
        <w:spacing w:after="0" w:line="242" w:lineRule="exact"/>
        <w:tabs>
          <w:tab w:leader="none" w:pos="73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01"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ind w:left="560" w:hanging="480"/>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53" w:lineRule="exact"/>
        <w:rPr>
          <w:rFonts w:ascii="MS PGothic" w:cs="MS PGothic" w:eastAsia="MS PGothic" w:hAnsi="MS PGothic"/>
          <w:sz w:val="22"/>
          <w:szCs w:val="22"/>
          <w:color w:val="auto"/>
        </w:rPr>
      </w:pPr>
    </w:p>
    <w:p>
      <w:pPr>
        <w:ind w:left="560" w:hanging="480"/>
        <w:spacing w:after="0" w:line="233"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39" w:lineRule="exact"/>
        <w:rPr>
          <w:sz w:val="24"/>
          <w:szCs w:val="24"/>
          <w:color w:val="auto"/>
        </w:rPr>
      </w:pPr>
    </w:p>
    <w:p>
      <w:pPr>
        <w:ind w:left="560" w:hanging="480"/>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43" w:lineRule="exact"/>
        <w:rPr>
          <w:sz w:val="24"/>
          <w:szCs w:val="24"/>
          <w:color w:val="auto"/>
        </w:rPr>
      </w:pPr>
    </w:p>
    <w:p>
      <w:pPr>
        <w:ind w:left="560" w:hanging="480"/>
        <w:spacing w:after="0"/>
        <w:tabs>
          <w:tab w:leader="none" w:pos="56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53" w:lineRule="exact"/>
        <w:rPr>
          <w:rFonts w:ascii="MS PGothic" w:cs="MS PGothic" w:eastAsia="MS PGothic" w:hAnsi="MS PGothic"/>
          <w:sz w:val="22"/>
          <w:szCs w:val="22"/>
          <w:color w:val="auto"/>
        </w:rPr>
      </w:pPr>
    </w:p>
    <w:p>
      <w:pPr>
        <w:ind w:left="560" w:hanging="480"/>
        <w:spacing w:after="0" w:line="233" w:lineRule="auto"/>
        <w:tabs>
          <w:tab w:leader="none" w:pos="56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297815</wp:posOffset>
            </wp:positionV>
            <wp:extent cx="5054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54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Occidental Petroleum Corporation</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12"/>
          <w:szCs w:val="12"/>
          <w:color w:val="auto"/>
        </w:rPr>
        <w:t>(Name of Registrant as Specified In Its Charter)</w:t>
      </w:r>
    </w:p>
    <w:p>
      <w:pPr>
        <w:spacing w:after="0" w:line="10" w:lineRule="exact"/>
        <w:rPr>
          <w:sz w:val="24"/>
          <w:szCs w:val="24"/>
          <w:color w:val="auto"/>
        </w:rPr>
      </w:pPr>
    </w:p>
    <w:p>
      <w:pPr>
        <w:ind w:left="34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97"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ind w:left="560" w:hanging="480"/>
        <w:spacing w:after="0"/>
        <w:tabs>
          <w:tab w:leader="none" w:pos="56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560" w:hanging="480"/>
        <w:spacing w:after="0"/>
        <w:tabs>
          <w:tab w:leader="none" w:pos="5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53" w:lineRule="exact"/>
        <w:rPr>
          <w:rFonts w:ascii="MS PGothic" w:cs="MS PGothic" w:eastAsia="MS PGothic" w:hAnsi="MS PGothic"/>
          <w:sz w:val="22"/>
          <w:szCs w:val="22"/>
          <w:color w:val="auto"/>
        </w:rPr>
      </w:pPr>
    </w:p>
    <w:p>
      <w:pPr>
        <w:ind w:left="560" w:hanging="480"/>
        <w:spacing w:after="0" w:line="233" w:lineRule="auto"/>
        <w:tabs>
          <w:tab w:leader="none" w:pos="5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920"/>
          </w:cols>
          <w:pgMar w:left="320" w:top="238" w:right="65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53275" cy="8780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8780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100965</wp:posOffset>
            </wp:positionV>
            <wp:extent cx="6858000" cy="8658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865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300" w:type="dxa"/>
        <w:tblCellMar>
          <w:top w:w="0" w:type="dxa"/>
          <w:left w:w="0" w:type="dxa"/>
          <w:bottom w:w="0" w:type="dxa"/>
          <w:right w:w="0" w:type="dxa"/>
        </w:tblCellMar>
      </w:tblPr>
      <w:tr>
        <w:trPr>
          <w:trHeight w:val="372"/>
        </w:trPr>
        <w:tc>
          <w:tcPr>
            <w:tcW w:w="4300" w:type="dxa"/>
            <w:vAlign w:val="bottom"/>
          </w:tcPr>
          <w:p>
            <w:pPr>
              <w:spacing w:after="0"/>
              <w:rPr>
                <w:sz w:val="20"/>
                <w:szCs w:val="20"/>
                <w:color w:val="auto"/>
              </w:rPr>
            </w:pPr>
            <w:r>
              <w:rPr>
                <w:rFonts w:ascii="Arial" w:cs="Arial" w:eastAsia="Arial" w:hAnsi="Arial"/>
                <w:sz w:val="27"/>
                <w:szCs w:val="27"/>
                <w:b w:val="1"/>
                <w:bCs w:val="1"/>
                <w:color w:val="00529B"/>
              </w:rPr>
              <w:t>OUR VISION</w:t>
            </w:r>
          </w:p>
        </w:tc>
        <w:tc>
          <w:tcPr>
            <w:tcW w:w="3440" w:type="dxa"/>
            <w:vAlign w:val="bottom"/>
          </w:tcPr>
          <w:p>
            <w:pPr>
              <w:ind w:left="460"/>
              <w:spacing w:after="0"/>
              <w:rPr>
                <w:sz w:val="20"/>
                <w:szCs w:val="20"/>
                <w:color w:val="auto"/>
              </w:rPr>
            </w:pPr>
            <w:r>
              <w:rPr>
                <w:rFonts w:ascii="Arial" w:cs="Arial" w:eastAsia="Arial" w:hAnsi="Arial"/>
                <w:sz w:val="27"/>
                <w:szCs w:val="27"/>
                <w:b w:val="1"/>
                <w:bCs w:val="1"/>
                <w:color w:val="00529B"/>
              </w:rPr>
              <w:t>OUR VALUES</w:t>
            </w:r>
          </w:p>
        </w:tc>
        <w:tc>
          <w:tcPr>
            <w:tcW w:w="0" w:type="dxa"/>
            <w:vAlign w:val="bottom"/>
          </w:tcPr>
          <w:p>
            <w:pPr>
              <w:spacing w:after="0"/>
              <w:rPr>
                <w:sz w:val="1"/>
                <w:szCs w:val="1"/>
                <w:color w:val="auto"/>
              </w:rPr>
            </w:pPr>
          </w:p>
        </w:tc>
      </w:tr>
      <w:tr>
        <w:trPr>
          <w:trHeight w:val="327"/>
        </w:trPr>
        <w:tc>
          <w:tcPr>
            <w:tcW w:w="4300" w:type="dxa"/>
            <w:vAlign w:val="bottom"/>
          </w:tcPr>
          <w:p>
            <w:pPr>
              <w:spacing w:after="0"/>
              <w:rPr>
                <w:sz w:val="20"/>
                <w:szCs w:val="20"/>
                <w:color w:val="auto"/>
              </w:rPr>
            </w:pPr>
            <w:r>
              <w:rPr>
                <w:rFonts w:ascii="Arial" w:cs="Arial" w:eastAsia="Arial" w:hAnsi="Arial"/>
                <w:sz w:val="18"/>
                <w:szCs w:val="18"/>
                <w:color w:val="auto"/>
              </w:rPr>
              <w:t>We will lead the industry by reaching for</w:t>
            </w:r>
          </w:p>
        </w:tc>
        <w:tc>
          <w:tcPr>
            <w:tcW w:w="3440" w:type="dxa"/>
            <w:vAlign w:val="bottom"/>
          </w:tcPr>
          <w:p>
            <w:pPr>
              <w:ind w:left="460"/>
              <w:spacing w:after="0"/>
              <w:rPr>
                <w:sz w:val="20"/>
                <w:szCs w:val="20"/>
                <w:color w:val="auto"/>
              </w:rPr>
            </w:pPr>
            <w:r>
              <w:rPr>
                <w:rFonts w:ascii="Arial" w:cs="Arial" w:eastAsia="Arial" w:hAnsi="Arial"/>
                <w:sz w:val="18"/>
                <w:szCs w:val="18"/>
                <w:b w:val="1"/>
                <w:bCs w:val="1"/>
                <w:color w:val="00529B"/>
              </w:rPr>
              <w:t>LEAD WITH PASSION</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the impossible, then achieving it.</w:t>
            </w:r>
          </w:p>
        </w:tc>
        <w:tc>
          <w:tcPr>
            <w:tcW w:w="3440" w:type="dxa"/>
            <w:vAlign w:val="bottom"/>
            <w:vMerge w:val="restart"/>
          </w:tcPr>
          <w:p>
            <w:pPr>
              <w:ind w:left="460"/>
              <w:spacing w:after="0"/>
              <w:rPr>
                <w:sz w:val="20"/>
                <w:szCs w:val="20"/>
                <w:color w:val="auto"/>
              </w:rPr>
            </w:pPr>
            <w:r>
              <w:rPr>
                <w:rFonts w:ascii="Arial" w:cs="Arial" w:eastAsia="Arial" w:hAnsi="Arial"/>
                <w:sz w:val="18"/>
                <w:szCs w:val="18"/>
                <w:b w:val="1"/>
                <w:bCs w:val="1"/>
                <w:color w:val="00529B"/>
              </w:rPr>
              <w:t>OUTPERFORM EXPECTATIONS</w:t>
            </w:r>
          </w:p>
        </w:tc>
        <w:tc>
          <w:tcPr>
            <w:tcW w:w="0" w:type="dxa"/>
            <w:vAlign w:val="bottom"/>
          </w:tcPr>
          <w:p>
            <w:pPr>
              <w:spacing w:after="0"/>
              <w:rPr>
                <w:sz w:val="1"/>
                <w:szCs w:val="1"/>
                <w:color w:val="auto"/>
              </w:rPr>
            </w:pPr>
          </w:p>
        </w:tc>
      </w:tr>
      <w:tr>
        <w:trPr>
          <w:trHeight w:val="224"/>
        </w:trPr>
        <w:tc>
          <w:tcPr>
            <w:tcW w:w="4300" w:type="dxa"/>
            <w:vAlign w:val="bottom"/>
            <w:vMerge w:val="restart"/>
          </w:tcPr>
          <w:p>
            <w:pPr>
              <w:spacing w:after="0"/>
              <w:rPr>
                <w:sz w:val="20"/>
                <w:szCs w:val="20"/>
                <w:color w:val="auto"/>
              </w:rPr>
            </w:pPr>
            <w:r>
              <w:rPr>
                <w:rFonts w:ascii="Arial" w:cs="Arial" w:eastAsia="Arial" w:hAnsi="Arial"/>
                <w:sz w:val="18"/>
                <w:szCs w:val="18"/>
                <w:color w:val="auto"/>
              </w:rPr>
              <w:t>We do this by having the right assets in the</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hands of remarkable people driven by a passion</w:t>
            </w:r>
          </w:p>
        </w:tc>
        <w:tc>
          <w:tcPr>
            <w:tcW w:w="3440" w:type="dxa"/>
            <w:vAlign w:val="bottom"/>
          </w:tcPr>
          <w:p>
            <w:pPr>
              <w:ind w:left="460"/>
              <w:spacing w:after="0"/>
              <w:rPr>
                <w:sz w:val="20"/>
                <w:szCs w:val="20"/>
                <w:color w:val="auto"/>
              </w:rPr>
            </w:pPr>
            <w:r>
              <w:rPr>
                <w:rFonts w:ascii="Arial" w:cs="Arial" w:eastAsia="Arial" w:hAnsi="Arial"/>
                <w:sz w:val="18"/>
                <w:szCs w:val="18"/>
                <w:b w:val="1"/>
                <w:bCs w:val="1"/>
                <w:color w:val="00529B"/>
                <w:w w:val="98"/>
              </w:rPr>
              <w:t>DELIVER RESULTS RESPONSIBLY</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to outperform.</w:t>
            </w:r>
          </w:p>
        </w:tc>
        <w:tc>
          <w:tcPr>
            <w:tcW w:w="3440" w:type="dxa"/>
            <w:vAlign w:val="bottom"/>
            <w:vMerge w:val="restart"/>
          </w:tcPr>
          <w:p>
            <w:pPr>
              <w:ind w:left="460"/>
              <w:spacing w:after="0"/>
              <w:rPr>
                <w:sz w:val="20"/>
                <w:szCs w:val="20"/>
                <w:color w:val="auto"/>
              </w:rPr>
            </w:pPr>
            <w:r>
              <w:rPr>
                <w:rFonts w:ascii="Arial" w:cs="Arial" w:eastAsia="Arial" w:hAnsi="Arial"/>
                <w:sz w:val="18"/>
                <w:szCs w:val="18"/>
                <w:b w:val="1"/>
                <w:bCs w:val="1"/>
                <w:color w:val="00529B"/>
              </w:rPr>
              <w:t>UNLEASH OPPORTUNITIES</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00" w:type="dxa"/>
            <w:vAlign w:val="bottom"/>
          </w:tcPr>
          <w:p>
            <w:pPr>
              <w:spacing w:after="0"/>
              <w:rPr>
                <w:sz w:val="24"/>
                <w:szCs w:val="24"/>
                <w:color w:val="auto"/>
              </w:rPr>
            </w:pPr>
          </w:p>
        </w:tc>
        <w:tc>
          <w:tcPr>
            <w:tcW w:w="3440" w:type="dxa"/>
            <w:vAlign w:val="bottom"/>
          </w:tcPr>
          <w:p>
            <w:pPr>
              <w:ind w:left="460"/>
              <w:spacing w:after="0"/>
              <w:rPr>
                <w:sz w:val="20"/>
                <w:szCs w:val="20"/>
                <w:color w:val="auto"/>
              </w:rPr>
            </w:pPr>
            <w:r>
              <w:rPr>
                <w:rFonts w:ascii="Arial" w:cs="Arial" w:eastAsia="Arial" w:hAnsi="Arial"/>
                <w:sz w:val="18"/>
                <w:szCs w:val="18"/>
                <w:b w:val="1"/>
                <w:bCs w:val="1"/>
                <w:color w:val="00529B"/>
              </w:rPr>
              <w:t>COMMIT TO GOOD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00529B"/>
        </w:rPr>
        <w:t>ZERO IN</w:t>
      </w:r>
      <w:r>
        <w:rPr>
          <w:rFonts w:ascii="Arial" w:cs="Arial" w:eastAsia="Arial" w:hAnsi="Arial"/>
          <w:sz w:val="44"/>
          <w:szCs w:val="44"/>
          <w:b w:val="1"/>
          <w:bCs w:val="1"/>
          <w:color w:val="00529B"/>
          <w:vertAlign w:val="superscript"/>
        </w:rPr>
        <w:t>™</w:t>
      </w:r>
      <w:r>
        <w:rPr>
          <w:rFonts w:ascii="Arial" w:cs="Arial" w:eastAsia="Arial" w:hAnsi="Arial"/>
          <w:sz w:val="27"/>
          <w:szCs w:val="27"/>
          <w:b w:val="1"/>
          <w:bCs w:val="1"/>
          <w:color w:val="00529B"/>
        </w:rPr>
        <w:t xml:space="preserve"> ON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b w:val="1"/>
                <w:bCs w:val="1"/>
                <w:color w:val="00529B"/>
              </w:rPr>
              <w:t>COMPLEMENTARY</w:t>
            </w:r>
          </w:p>
        </w:tc>
        <w:tc>
          <w:tcPr>
            <w:tcW w:w="2360" w:type="dxa"/>
            <w:vAlign w:val="bottom"/>
          </w:tcPr>
          <w:p>
            <w:pPr>
              <w:ind w:left="160"/>
              <w:spacing w:after="0"/>
              <w:rPr>
                <w:sz w:val="20"/>
                <w:szCs w:val="20"/>
                <w:color w:val="auto"/>
              </w:rPr>
            </w:pPr>
            <w:r>
              <w:rPr>
                <w:rFonts w:ascii="Arial" w:cs="Arial" w:eastAsia="Arial" w:hAnsi="Arial"/>
                <w:sz w:val="18"/>
                <w:szCs w:val="18"/>
                <w:b w:val="1"/>
                <w:bCs w:val="1"/>
                <w:color w:val="00529B"/>
              </w:rPr>
              <w:t>SHAREHOLDER</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00529B"/>
              </w:rPr>
              <w:t>STRENGTHENING</w:t>
            </w:r>
          </w:p>
        </w:tc>
        <w:tc>
          <w:tcPr>
            <w:tcW w:w="2020" w:type="dxa"/>
            <w:vAlign w:val="bottom"/>
          </w:tcPr>
          <w:p>
            <w:pPr>
              <w:ind w:left="260"/>
              <w:spacing w:after="0"/>
              <w:rPr>
                <w:sz w:val="20"/>
                <w:szCs w:val="20"/>
                <w:color w:val="auto"/>
              </w:rPr>
            </w:pPr>
            <w:r>
              <w:rPr>
                <w:rFonts w:ascii="Arial" w:cs="Arial" w:eastAsia="Arial" w:hAnsi="Arial"/>
                <w:sz w:val="18"/>
                <w:szCs w:val="18"/>
                <w:b w:val="1"/>
                <w:bCs w:val="1"/>
                <w:color w:val="00529B"/>
              </w:rPr>
              <w:t>PATHWAY TO</w:t>
            </w:r>
          </w:p>
        </w:tc>
      </w:tr>
      <w:tr>
        <w:trPr>
          <w:trHeight w:val="247"/>
        </w:trPr>
        <w:tc>
          <w:tcPr>
            <w:tcW w:w="1800" w:type="dxa"/>
            <w:vAlign w:val="bottom"/>
          </w:tcPr>
          <w:p>
            <w:pPr>
              <w:spacing w:after="0"/>
              <w:rPr>
                <w:sz w:val="20"/>
                <w:szCs w:val="20"/>
                <w:color w:val="auto"/>
              </w:rPr>
            </w:pPr>
            <w:r>
              <w:rPr>
                <w:rFonts w:ascii="Arial" w:cs="Arial" w:eastAsia="Arial" w:hAnsi="Arial"/>
                <w:sz w:val="18"/>
                <w:szCs w:val="18"/>
                <w:b w:val="1"/>
                <w:bCs w:val="1"/>
                <w:color w:val="00529B"/>
              </w:rPr>
              <w:t>BUSINESSES</w:t>
            </w:r>
          </w:p>
        </w:tc>
        <w:tc>
          <w:tcPr>
            <w:tcW w:w="2360" w:type="dxa"/>
            <w:vAlign w:val="bottom"/>
          </w:tcPr>
          <w:p>
            <w:pPr>
              <w:ind w:left="160"/>
              <w:spacing w:after="0"/>
              <w:rPr>
                <w:sz w:val="20"/>
                <w:szCs w:val="20"/>
                <w:color w:val="auto"/>
              </w:rPr>
            </w:pPr>
            <w:r>
              <w:rPr>
                <w:rFonts w:ascii="Arial" w:cs="Arial" w:eastAsia="Arial" w:hAnsi="Arial"/>
                <w:sz w:val="18"/>
                <w:szCs w:val="18"/>
                <w:b w:val="1"/>
                <w:bCs w:val="1"/>
                <w:color w:val="00529B"/>
              </w:rPr>
              <w:t>RETURNS</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00529B"/>
              </w:rPr>
              <w:t>FINANCIAL PROFILE</w:t>
            </w:r>
          </w:p>
        </w:tc>
        <w:tc>
          <w:tcPr>
            <w:tcW w:w="2020" w:type="dxa"/>
            <w:vAlign w:val="bottom"/>
          </w:tcPr>
          <w:p>
            <w:pPr>
              <w:ind w:left="260"/>
              <w:spacing w:after="0"/>
              <w:rPr>
                <w:sz w:val="20"/>
                <w:szCs w:val="20"/>
                <w:color w:val="auto"/>
              </w:rPr>
            </w:pPr>
            <w:r>
              <w:rPr>
                <w:rFonts w:ascii="Arial" w:cs="Arial" w:eastAsia="Arial" w:hAnsi="Arial"/>
                <w:sz w:val="18"/>
                <w:szCs w:val="18"/>
                <w:b w:val="1"/>
                <w:bCs w:val="1"/>
                <w:color w:val="00529B"/>
              </w:rPr>
              <w:t>NET ZERO</w:t>
            </w:r>
          </w:p>
        </w:tc>
      </w:tr>
      <w:tr>
        <w:trPr>
          <w:trHeight w:val="374"/>
        </w:trPr>
        <w:tc>
          <w:tcPr>
            <w:tcW w:w="1800" w:type="dxa"/>
            <w:vAlign w:val="bottom"/>
          </w:tcPr>
          <w:p>
            <w:pPr>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Oil &amp; Gas</w:t>
            </w:r>
          </w:p>
        </w:tc>
        <w:tc>
          <w:tcPr>
            <w:tcW w:w="2360" w:type="dxa"/>
            <w:vAlign w:val="bottom"/>
          </w:tcPr>
          <w:p>
            <w:pPr>
              <w:ind w:left="16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Sustainable &amp;</w:t>
            </w:r>
          </w:p>
        </w:tc>
        <w:tc>
          <w:tcPr>
            <w:tcW w:w="2400" w:type="dxa"/>
            <w:vAlign w:val="bottom"/>
          </w:tcPr>
          <w:p>
            <w:pPr>
              <w:ind w:left="32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Partial Preferred</w:t>
            </w:r>
          </w:p>
        </w:tc>
        <w:tc>
          <w:tcPr>
            <w:tcW w:w="2020" w:type="dxa"/>
            <w:vAlign w:val="bottom"/>
          </w:tcPr>
          <w:p>
            <w:pPr>
              <w:ind w:left="26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Direct Air Capture</w:t>
            </w:r>
          </w:p>
        </w:tc>
      </w:tr>
      <w:tr>
        <w:trPr>
          <w:trHeight w:val="235"/>
        </w:trPr>
        <w:tc>
          <w:tcPr>
            <w:tcW w:w="1800" w:type="dxa"/>
            <w:vAlign w:val="bottom"/>
          </w:tcPr>
          <w:p>
            <w:pPr>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OxyChem</w:t>
            </w:r>
          </w:p>
        </w:tc>
        <w:tc>
          <w:tcPr>
            <w:tcW w:w="2360" w:type="dxa"/>
            <w:vAlign w:val="bottom"/>
          </w:tcPr>
          <w:p>
            <w:pPr>
              <w:ind w:left="460"/>
              <w:spacing w:after="0"/>
              <w:rPr>
                <w:sz w:val="20"/>
                <w:szCs w:val="20"/>
                <w:color w:val="auto"/>
              </w:rPr>
            </w:pPr>
            <w:r>
              <w:rPr>
                <w:rFonts w:ascii="Arial" w:cs="Arial" w:eastAsia="Arial" w:hAnsi="Arial"/>
                <w:sz w:val="18"/>
                <w:szCs w:val="18"/>
                <w:color w:val="auto"/>
              </w:rPr>
              <w:t>Growing Common</w:t>
            </w:r>
          </w:p>
        </w:tc>
        <w:tc>
          <w:tcPr>
            <w:tcW w:w="2400" w:type="dxa"/>
            <w:vAlign w:val="bottom"/>
          </w:tcPr>
          <w:p>
            <w:pPr>
              <w:ind w:left="600"/>
              <w:spacing w:after="0"/>
              <w:rPr>
                <w:sz w:val="20"/>
                <w:szCs w:val="20"/>
                <w:color w:val="auto"/>
              </w:rPr>
            </w:pPr>
            <w:r>
              <w:rPr>
                <w:rFonts w:ascii="Arial" w:cs="Arial" w:eastAsia="Arial" w:hAnsi="Arial"/>
                <w:sz w:val="18"/>
                <w:szCs w:val="18"/>
                <w:color w:val="auto"/>
              </w:rPr>
              <w:t>Equity Redemption</w:t>
            </w:r>
          </w:p>
        </w:tc>
        <w:tc>
          <w:tcPr>
            <w:tcW w:w="2020" w:type="dxa"/>
            <w:vAlign w:val="bottom"/>
          </w:tcPr>
          <w:p>
            <w:pPr>
              <w:ind w:left="26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CO</w:t>
            </w:r>
            <w:r>
              <w:rPr>
                <w:rFonts w:ascii="Arial" w:cs="Arial" w:eastAsia="Arial" w:hAnsi="Arial"/>
                <w:sz w:val="13"/>
                <w:szCs w:val="13"/>
                <w:color w:val="000000"/>
              </w:rPr>
              <w:t>2</w:t>
            </w:r>
            <w:r>
              <w:rPr>
                <w:rFonts w:ascii="Arial" w:cs="Arial" w:eastAsia="Arial" w:hAnsi="Arial"/>
                <w:sz w:val="18"/>
                <w:szCs w:val="18"/>
                <w:color w:val="00529B"/>
              </w:rPr>
              <w:t xml:space="preserve"> </w:t>
            </w:r>
            <w:r>
              <w:rPr>
                <w:rFonts w:ascii="Arial" w:cs="Arial" w:eastAsia="Arial" w:hAnsi="Arial"/>
                <w:sz w:val="18"/>
                <w:szCs w:val="18"/>
                <w:color w:val="000000"/>
              </w:rPr>
              <w:t>Sequestration</w:t>
            </w:r>
          </w:p>
        </w:tc>
      </w:tr>
      <w:tr>
        <w:trPr>
          <w:trHeight w:val="257"/>
        </w:trPr>
        <w:tc>
          <w:tcPr>
            <w:tcW w:w="1800" w:type="dxa"/>
            <w:vAlign w:val="bottom"/>
          </w:tcPr>
          <w:p>
            <w:pPr>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Midstream &amp;</w:t>
            </w:r>
          </w:p>
        </w:tc>
        <w:tc>
          <w:tcPr>
            <w:tcW w:w="2360" w:type="dxa"/>
            <w:vAlign w:val="bottom"/>
          </w:tcPr>
          <w:p>
            <w:pPr>
              <w:ind w:left="460"/>
              <w:spacing w:after="0"/>
              <w:rPr>
                <w:sz w:val="20"/>
                <w:szCs w:val="20"/>
                <w:color w:val="auto"/>
              </w:rPr>
            </w:pPr>
            <w:r>
              <w:rPr>
                <w:rFonts w:ascii="Arial" w:cs="Arial" w:eastAsia="Arial" w:hAnsi="Arial"/>
                <w:sz w:val="18"/>
                <w:szCs w:val="18"/>
                <w:color w:val="auto"/>
              </w:rPr>
              <w:t>Dividend</w:t>
            </w:r>
          </w:p>
        </w:tc>
        <w:tc>
          <w:tcPr>
            <w:tcW w:w="2400" w:type="dxa"/>
            <w:vAlign w:val="bottom"/>
          </w:tcPr>
          <w:p>
            <w:pPr>
              <w:ind w:left="32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Opportunistic Debt</w:t>
            </w:r>
          </w:p>
        </w:tc>
        <w:tc>
          <w:tcPr>
            <w:tcW w:w="2020" w:type="dxa"/>
            <w:vAlign w:val="bottom"/>
          </w:tcPr>
          <w:p>
            <w:pPr>
              <w:ind w:left="26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Core Business</w:t>
            </w:r>
          </w:p>
        </w:tc>
      </w:tr>
      <w:tr>
        <w:trPr>
          <w:trHeight w:val="224"/>
        </w:trPr>
        <w:tc>
          <w:tcPr>
            <w:tcW w:w="1800" w:type="dxa"/>
            <w:vAlign w:val="bottom"/>
          </w:tcPr>
          <w:p>
            <w:pPr>
              <w:ind w:left="280"/>
              <w:spacing w:after="0"/>
              <w:rPr>
                <w:sz w:val="20"/>
                <w:szCs w:val="20"/>
                <w:color w:val="auto"/>
              </w:rPr>
            </w:pPr>
            <w:r>
              <w:rPr>
                <w:rFonts w:ascii="Arial" w:cs="Arial" w:eastAsia="Arial" w:hAnsi="Arial"/>
                <w:sz w:val="18"/>
                <w:szCs w:val="18"/>
                <w:color w:val="auto"/>
              </w:rPr>
              <w:t>Marketing,</w:t>
            </w:r>
          </w:p>
        </w:tc>
        <w:tc>
          <w:tcPr>
            <w:tcW w:w="2360" w:type="dxa"/>
            <w:vAlign w:val="bottom"/>
          </w:tcPr>
          <w:p>
            <w:pPr>
              <w:ind w:left="160"/>
              <w:spacing w:after="0"/>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Share Repurchases</w:t>
            </w:r>
          </w:p>
        </w:tc>
        <w:tc>
          <w:tcPr>
            <w:tcW w:w="2400" w:type="dxa"/>
            <w:vAlign w:val="bottom"/>
          </w:tcPr>
          <w:p>
            <w:pPr>
              <w:ind w:left="600"/>
              <w:spacing w:after="0"/>
              <w:rPr>
                <w:sz w:val="20"/>
                <w:szCs w:val="20"/>
                <w:color w:val="auto"/>
              </w:rPr>
            </w:pPr>
            <w:r>
              <w:rPr>
                <w:rFonts w:ascii="Arial" w:cs="Arial" w:eastAsia="Arial" w:hAnsi="Arial"/>
                <w:sz w:val="18"/>
                <w:szCs w:val="18"/>
                <w:color w:val="auto"/>
              </w:rPr>
              <w:t>Reduction</w:t>
            </w:r>
          </w:p>
        </w:tc>
        <w:tc>
          <w:tcPr>
            <w:tcW w:w="2020" w:type="dxa"/>
            <w:vAlign w:val="bottom"/>
          </w:tcPr>
          <w:p>
            <w:pPr>
              <w:ind w:left="540"/>
              <w:spacing w:after="0"/>
              <w:rPr>
                <w:sz w:val="20"/>
                <w:szCs w:val="20"/>
                <w:color w:val="auto"/>
              </w:rPr>
            </w:pPr>
            <w:r>
              <w:rPr>
                <w:rFonts w:ascii="Arial" w:cs="Arial" w:eastAsia="Arial" w:hAnsi="Arial"/>
                <w:sz w:val="18"/>
                <w:szCs w:val="18"/>
                <w:color w:val="auto"/>
              </w:rPr>
              <w:t>Enhancement</w:t>
            </w:r>
          </w:p>
        </w:tc>
      </w:tr>
      <w:tr>
        <w:trPr>
          <w:trHeight w:val="203"/>
        </w:trPr>
        <w:tc>
          <w:tcPr>
            <w:tcW w:w="1800" w:type="dxa"/>
            <w:vAlign w:val="bottom"/>
          </w:tcPr>
          <w:p>
            <w:pPr>
              <w:ind w:left="280"/>
              <w:spacing w:after="0" w:line="202" w:lineRule="exact"/>
              <w:rPr>
                <w:sz w:val="20"/>
                <w:szCs w:val="20"/>
                <w:color w:val="auto"/>
              </w:rPr>
            </w:pPr>
            <w:r>
              <w:rPr>
                <w:rFonts w:ascii="Arial" w:cs="Arial" w:eastAsia="Arial" w:hAnsi="Arial"/>
                <w:sz w:val="18"/>
                <w:szCs w:val="18"/>
                <w:color w:val="auto"/>
              </w:rPr>
              <w:t>including</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Equity</w:t>
            </w:r>
          </w:p>
        </w:tc>
        <w:tc>
          <w:tcPr>
            <w:tcW w:w="2400" w:type="dxa"/>
            <w:vAlign w:val="bottom"/>
          </w:tcPr>
          <w:p>
            <w:pPr>
              <w:ind w:left="320"/>
              <w:spacing w:after="0" w:line="202" w:lineRule="exact"/>
              <w:rPr>
                <w:sz w:val="20"/>
                <w:szCs w:val="20"/>
                <w:color w:val="auto"/>
              </w:rPr>
            </w:pPr>
            <w:r>
              <w:rPr>
                <w:rFonts w:ascii="Arial" w:cs="Arial" w:eastAsia="Arial" w:hAnsi="Arial"/>
                <w:sz w:val="18"/>
                <w:szCs w:val="18"/>
                <w:color w:val="00529B"/>
              </w:rPr>
              <w:t xml:space="preserve">► </w:t>
            </w:r>
            <w:r>
              <w:rPr>
                <w:rFonts w:ascii="Arial" w:cs="Arial" w:eastAsia="Arial" w:hAnsi="Arial"/>
                <w:sz w:val="18"/>
                <w:szCs w:val="18"/>
                <w:color w:val="000000"/>
              </w:rPr>
              <w:t>Investment Grade</w:t>
            </w:r>
          </w:p>
        </w:tc>
        <w:tc>
          <w:tcPr>
            <w:tcW w:w="2020" w:type="dxa"/>
            <w:vAlign w:val="bottom"/>
          </w:tcPr>
          <w:p>
            <w:pPr>
              <w:spacing w:after="0"/>
              <w:rPr>
                <w:sz w:val="17"/>
                <w:szCs w:val="17"/>
                <w:color w:val="auto"/>
              </w:rPr>
            </w:pPr>
          </w:p>
        </w:tc>
      </w:tr>
      <w:tr>
        <w:trPr>
          <w:trHeight w:val="203"/>
        </w:trPr>
        <w:tc>
          <w:tcPr>
            <w:tcW w:w="1800" w:type="dxa"/>
            <w:vAlign w:val="bottom"/>
          </w:tcPr>
          <w:p>
            <w:pPr>
              <w:ind w:left="280"/>
              <w:spacing w:after="0" w:line="202" w:lineRule="exact"/>
              <w:rPr>
                <w:sz w:val="20"/>
                <w:szCs w:val="20"/>
                <w:color w:val="auto"/>
              </w:rPr>
            </w:pPr>
            <w:r>
              <w:rPr>
                <w:rFonts w:ascii="Arial" w:cs="Arial" w:eastAsia="Arial" w:hAnsi="Arial"/>
                <w:sz w:val="18"/>
                <w:szCs w:val="18"/>
                <w:color w:val="auto"/>
              </w:rPr>
              <w:t>Low Carbon</w:t>
            </w:r>
          </w:p>
        </w:tc>
        <w:tc>
          <w:tcPr>
            <w:tcW w:w="2360" w:type="dxa"/>
            <w:vAlign w:val="bottom"/>
          </w:tcPr>
          <w:p>
            <w:pPr>
              <w:ind w:left="460"/>
              <w:spacing w:after="0" w:line="202" w:lineRule="exact"/>
              <w:rPr>
                <w:sz w:val="20"/>
                <w:szCs w:val="20"/>
                <w:color w:val="auto"/>
              </w:rPr>
            </w:pPr>
            <w:r>
              <w:rPr>
                <w:rFonts w:ascii="Arial" w:cs="Arial" w:eastAsia="Arial" w:hAnsi="Arial"/>
                <w:sz w:val="18"/>
                <w:szCs w:val="18"/>
                <w:color w:val="auto"/>
              </w:rPr>
              <w:t>Appreciation</w:t>
            </w:r>
          </w:p>
        </w:tc>
        <w:tc>
          <w:tcPr>
            <w:tcW w:w="2400" w:type="dxa"/>
            <w:vAlign w:val="bottom"/>
          </w:tcPr>
          <w:p>
            <w:pPr>
              <w:ind w:left="600"/>
              <w:spacing w:after="0" w:line="202" w:lineRule="exact"/>
              <w:rPr>
                <w:sz w:val="20"/>
                <w:szCs w:val="20"/>
                <w:color w:val="auto"/>
              </w:rPr>
            </w:pPr>
            <w:r>
              <w:rPr>
                <w:rFonts w:ascii="Arial" w:cs="Arial" w:eastAsia="Arial" w:hAnsi="Arial"/>
                <w:sz w:val="18"/>
                <w:szCs w:val="18"/>
                <w:color w:val="auto"/>
              </w:rPr>
              <w:t>Ambition</w:t>
            </w:r>
          </w:p>
        </w:tc>
        <w:tc>
          <w:tcPr>
            <w:tcW w:w="2020" w:type="dxa"/>
            <w:vAlign w:val="bottom"/>
          </w:tcPr>
          <w:p>
            <w:pPr>
              <w:spacing w:after="0"/>
              <w:rPr>
                <w:sz w:val="17"/>
                <w:szCs w:val="17"/>
                <w:color w:val="auto"/>
              </w:rPr>
            </w:pPr>
          </w:p>
        </w:tc>
      </w:tr>
      <w:tr>
        <w:trPr>
          <w:trHeight w:val="203"/>
        </w:trPr>
        <w:tc>
          <w:tcPr>
            <w:tcW w:w="1800" w:type="dxa"/>
            <w:vAlign w:val="bottom"/>
          </w:tcPr>
          <w:p>
            <w:pPr>
              <w:ind w:left="280"/>
              <w:spacing w:after="0" w:line="202" w:lineRule="exact"/>
              <w:rPr>
                <w:sz w:val="20"/>
                <w:szCs w:val="20"/>
                <w:color w:val="auto"/>
              </w:rPr>
            </w:pPr>
            <w:r>
              <w:rPr>
                <w:rFonts w:ascii="Arial" w:cs="Arial" w:eastAsia="Arial" w:hAnsi="Arial"/>
                <w:sz w:val="18"/>
                <w:szCs w:val="18"/>
                <w:color w:val="auto"/>
              </w:rPr>
              <w:t>Ventures</w:t>
            </w:r>
          </w:p>
        </w:tc>
        <w:tc>
          <w:tcPr>
            <w:tcW w:w="2360" w:type="dxa"/>
            <w:vAlign w:val="bottom"/>
          </w:tcPr>
          <w:p>
            <w:pPr>
              <w:ind w:left="460"/>
              <w:spacing w:after="0" w:line="202" w:lineRule="exact"/>
              <w:rPr>
                <w:sz w:val="20"/>
                <w:szCs w:val="20"/>
                <w:color w:val="auto"/>
              </w:rPr>
            </w:pPr>
            <w:r>
              <w:rPr>
                <w:rFonts w:ascii="Arial" w:cs="Arial" w:eastAsia="Arial" w:hAnsi="Arial"/>
                <w:sz w:val="18"/>
                <w:szCs w:val="18"/>
                <w:color w:val="auto"/>
              </w:rPr>
              <w:t>Through Enterprise</w:t>
            </w:r>
          </w:p>
        </w:tc>
        <w:tc>
          <w:tcPr>
            <w:tcW w:w="24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9"/>
        </w:trPr>
        <w:tc>
          <w:tcPr>
            <w:tcW w:w="1800" w:type="dxa"/>
            <w:vAlign w:val="bottom"/>
          </w:tcPr>
          <w:p>
            <w:pPr>
              <w:spacing w:after="0"/>
              <w:rPr>
                <w:sz w:val="20"/>
                <w:szCs w:val="20"/>
                <w:color w:val="auto"/>
              </w:rPr>
            </w:pPr>
          </w:p>
        </w:tc>
        <w:tc>
          <w:tcPr>
            <w:tcW w:w="2360" w:type="dxa"/>
            <w:vAlign w:val="bottom"/>
          </w:tcPr>
          <w:p>
            <w:pPr>
              <w:ind w:left="460"/>
              <w:spacing w:after="0"/>
              <w:rPr>
                <w:sz w:val="20"/>
                <w:szCs w:val="20"/>
                <w:color w:val="auto"/>
              </w:rPr>
            </w:pPr>
            <w:r>
              <w:rPr>
                <w:rFonts w:ascii="Arial" w:cs="Arial" w:eastAsia="Arial" w:hAnsi="Arial"/>
                <w:sz w:val="18"/>
                <w:szCs w:val="18"/>
                <w:color w:val="auto"/>
              </w:rPr>
              <w:t>Value Rebalancing</w:t>
            </w:r>
          </w:p>
        </w:tc>
        <w:tc>
          <w:tcPr>
            <w:tcW w:w="24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2609850</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100965</wp:posOffset>
            </wp:positionV>
            <wp:extent cx="6858000" cy="8683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868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40"/>
        <w:spacing w:after="0"/>
        <w:rPr>
          <w:sz w:val="20"/>
          <w:szCs w:val="20"/>
          <w:color w:val="auto"/>
        </w:rPr>
      </w:pPr>
      <w:r>
        <w:rPr>
          <w:rFonts w:ascii="Arial" w:cs="Arial" w:eastAsia="Arial" w:hAnsi="Arial"/>
          <w:sz w:val="27"/>
          <w:szCs w:val="27"/>
          <w:b w:val="1"/>
          <w:bCs w:val="1"/>
          <w:color w:val="00529B"/>
        </w:rPr>
        <w:t>2022 HIGHLIGHTS</w:t>
      </w:r>
    </w:p>
    <w:p>
      <w:pPr>
        <w:spacing w:after="0" w:line="24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00529B"/>
        </w:rPr>
        <w:t>FINANCIAL</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200" w:type="dxa"/>
            <w:vAlign w:val="bottom"/>
            <w:gridSpan w:val="2"/>
          </w:tcPr>
          <w:p>
            <w:pPr>
              <w:spacing w:after="0"/>
              <w:rPr>
                <w:sz w:val="20"/>
                <w:szCs w:val="20"/>
                <w:color w:val="auto"/>
              </w:rPr>
            </w:pPr>
            <w:r>
              <w:rPr>
                <w:rFonts w:ascii="Arial" w:cs="Arial" w:eastAsia="Arial" w:hAnsi="Arial"/>
                <w:sz w:val="15"/>
                <w:szCs w:val="15"/>
                <w:b w:val="1"/>
                <w:bCs w:val="1"/>
                <w:color w:val="00ADEE"/>
              </w:rPr>
              <w:t>Record free cash flow</w:t>
            </w:r>
          </w:p>
        </w:tc>
        <w:tc>
          <w:tcPr>
            <w:tcW w:w="2560" w:type="dxa"/>
            <w:vAlign w:val="bottom"/>
          </w:tcPr>
          <w:p>
            <w:pPr>
              <w:ind w:left="220"/>
              <w:spacing w:after="0"/>
              <w:rPr>
                <w:sz w:val="20"/>
                <w:szCs w:val="20"/>
                <w:color w:val="auto"/>
              </w:rPr>
            </w:pPr>
            <w:r>
              <w:rPr>
                <w:rFonts w:ascii="Arial" w:cs="Arial" w:eastAsia="Arial" w:hAnsi="Arial"/>
                <w:sz w:val="15"/>
                <w:szCs w:val="15"/>
                <w:b w:val="1"/>
                <w:bCs w:val="1"/>
                <w:color w:val="00ADEE"/>
              </w:rPr>
              <w:t>Record net income attributable</w:t>
            </w:r>
          </w:p>
        </w:tc>
        <w:tc>
          <w:tcPr>
            <w:tcW w:w="2140" w:type="dxa"/>
            <w:vAlign w:val="bottom"/>
          </w:tcPr>
          <w:p>
            <w:pPr>
              <w:ind w:left="100"/>
              <w:spacing w:after="0"/>
              <w:rPr>
                <w:sz w:val="20"/>
                <w:szCs w:val="20"/>
                <w:color w:val="auto"/>
              </w:rPr>
            </w:pPr>
            <w:r>
              <w:rPr>
                <w:rFonts w:ascii="Arial" w:cs="Arial" w:eastAsia="Arial" w:hAnsi="Arial"/>
                <w:sz w:val="15"/>
                <w:szCs w:val="15"/>
                <w:b w:val="1"/>
                <w:bCs w:val="1"/>
                <w:color w:val="00ADEE"/>
              </w:rPr>
              <w:t>Retired</w:t>
            </w:r>
          </w:p>
        </w:tc>
        <w:tc>
          <w:tcPr>
            <w:tcW w:w="2760" w:type="dxa"/>
            <w:vAlign w:val="bottom"/>
          </w:tcPr>
          <w:p>
            <w:pPr>
              <w:ind w:left="380"/>
              <w:spacing w:after="0"/>
              <w:rPr>
                <w:sz w:val="20"/>
                <w:szCs w:val="20"/>
                <w:color w:val="auto"/>
              </w:rPr>
            </w:pPr>
            <w:r>
              <w:rPr>
                <w:rFonts w:ascii="Arial" w:cs="Arial" w:eastAsia="Arial" w:hAnsi="Arial"/>
                <w:sz w:val="15"/>
                <w:szCs w:val="15"/>
                <w:b w:val="1"/>
                <w:bCs w:val="1"/>
                <w:color w:val="00ADEE"/>
              </w:rPr>
              <w:t>Completed</w:t>
            </w:r>
          </w:p>
        </w:tc>
        <w:tc>
          <w:tcPr>
            <w:tcW w:w="0" w:type="dxa"/>
            <w:vAlign w:val="bottom"/>
          </w:tcPr>
          <w:p>
            <w:pPr>
              <w:spacing w:after="0"/>
              <w:rPr>
                <w:sz w:val="1"/>
                <w:szCs w:val="1"/>
                <w:color w:val="auto"/>
              </w:rPr>
            </w:pPr>
          </w:p>
        </w:tc>
      </w:tr>
      <w:tr>
        <w:trPr>
          <w:trHeight w:val="232"/>
        </w:trPr>
        <w:tc>
          <w:tcPr>
            <w:tcW w:w="2200" w:type="dxa"/>
            <w:vAlign w:val="bottom"/>
            <w:gridSpan w:val="2"/>
          </w:tcPr>
          <w:p>
            <w:pPr>
              <w:spacing w:after="0"/>
              <w:rPr>
                <w:sz w:val="20"/>
                <w:szCs w:val="20"/>
                <w:color w:val="auto"/>
              </w:rPr>
            </w:pPr>
            <w:r>
              <w:rPr>
                <w:rFonts w:ascii="Arial" w:cs="Arial" w:eastAsia="Arial" w:hAnsi="Arial"/>
                <w:sz w:val="15"/>
                <w:szCs w:val="15"/>
                <w:b w:val="1"/>
                <w:bCs w:val="1"/>
                <w:color w:val="00ADEE"/>
              </w:rPr>
              <w:t>before working capital of</w:t>
            </w:r>
          </w:p>
        </w:tc>
        <w:tc>
          <w:tcPr>
            <w:tcW w:w="2560" w:type="dxa"/>
            <w:vAlign w:val="bottom"/>
          </w:tcPr>
          <w:p>
            <w:pPr>
              <w:ind w:left="220"/>
              <w:spacing w:after="0"/>
              <w:rPr>
                <w:sz w:val="20"/>
                <w:szCs w:val="20"/>
                <w:color w:val="auto"/>
              </w:rPr>
            </w:pPr>
            <w:r>
              <w:rPr>
                <w:rFonts w:ascii="Arial" w:cs="Arial" w:eastAsia="Arial" w:hAnsi="Arial"/>
                <w:sz w:val="15"/>
                <w:szCs w:val="15"/>
                <w:b w:val="1"/>
                <w:bCs w:val="1"/>
                <w:color w:val="00ADEE"/>
              </w:rPr>
              <w:t>to common shareholders of</w:t>
            </w:r>
          </w:p>
        </w:tc>
        <w:tc>
          <w:tcPr>
            <w:tcW w:w="2140" w:type="dxa"/>
            <w:vAlign w:val="bottom"/>
          </w:tcPr>
          <w:p>
            <w:pPr>
              <w:ind w:left="100"/>
              <w:spacing w:after="0" w:line="216" w:lineRule="exact"/>
              <w:rPr>
                <w:sz w:val="20"/>
                <w:szCs w:val="20"/>
                <w:color w:val="auto"/>
              </w:rPr>
            </w:pPr>
            <w:r>
              <w:rPr>
                <w:rFonts w:ascii="Arial" w:cs="Arial" w:eastAsia="Arial" w:hAnsi="Arial"/>
                <w:sz w:val="25"/>
                <w:szCs w:val="25"/>
                <w:b w:val="1"/>
                <w:bCs w:val="1"/>
                <w:color w:val="00529B"/>
              </w:rPr>
              <w:t>more than</w:t>
            </w:r>
          </w:p>
        </w:tc>
        <w:tc>
          <w:tcPr>
            <w:tcW w:w="2760" w:type="dxa"/>
            <w:vAlign w:val="bottom"/>
            <w:vMerge w:val="restart"/>
          </w:tcPr>
          <w:p>
            <w:pPr>
              <w:ind w:left="380"/>
              <w:spacing w:after="0"/>
              <w:rPr>
                <w:sz w:val="20"/>
                <w:szCs w:val="20"/>
                <w:color w:val="auto"/>
              </w:rPr>
            </w:pPr>
            <w:r>
              <w:rPr>
                <w:rFonts w:ascii="Arial" w:cs="Arial" w:eastAsia="Arial" w:hAnsi="Arial"/>
                <w:sz w:val="29"/>
                <w:szCs w:val="29"/>
                <w:b w:val="1"/>
                <w:bCs w:val="1"/>
                <w:color w:val="00529B"/>
              </w:rPr>
              <w:t>$3 billion</w:t>
            </w:r>
          </w:p>
        </w:tc>
        <w:tc>
          <w:tcPr>
            <w:tcW w:w="0" w:type="dxa"/>
            <w:vAlign w:val="bottom"/>
          </w:tcPr>
          <w:p>
            <w:pPr>
              <w:spacing w:after="0"/>
              <w:rPr>
                <w:sz w:val="1"/>
                <w:szCs w:val="1"/>
                <w:color w:val="auto"/>
              </w:rPr>
            </w:pPr>
          </w:p>
        </w:tc>
      </w:tr>
      <w:tr>
        <w:trPr>
          <w:trHeight w:val="221"/>
        </w:trPr>
        <w:tc>
          <w:tcPr>
            <w:tcW w:w="2200" w:type="dxa"/>
            <w:vAlign w:val="bottom"/>
            <w:gridSpan w:val="2"/>
            <w:vMerge w:val="restart"/>
          </w:tcPr>
          <w:p>
            <w:pPr>
              <w:spacing w:after="0" w:line="389" w:lineRule="exact"/>
              <w:rPr>
                <w:sz w:val="20"/>
                <w:szCs w:val="20"/>
                <w:color w:val="auto"/>
              </w:rPr>
            </w:pPr>
            <w:r>
              <w:rPr>
                <w:rFonts w:ascii="Arial" w:cs="Arial" w:eastAsia="Arial" w:hAnsi="Arial"/>
                <w:sz w:val="35"/>
                <w:szCs w:val="35"/>
                <w:b w:val="1"/>
                <w:bCs w:val="1"/>
                <w:color w:val="00529B"/>
              </w:rPr>
              <w:t xml:space="preserve">$13.6 </w:t>
            </w:r>
            <w:r>
              <w:rPr>
                <w:rFonts w:ascii="Arial" w:cs="Arial" w:eastAsia="Arial" w:hAnsi="Arial"/>
                <w:sz w:val="27"/>
                <w:szCs w:val="27"/>
                <w:b w:val="1"/>
                <w:bCs w:val="1"/>
                <w:color w:val="00529B"/>
              </w:rPr>
              <w:t>billion</w:t>
            </w:r>
            <w:r>
              <w:rPr>
                <w:rFonts w:ascii="Arial" w:cs="Arial" w:eastAsia="Arial" w:hAnsi="Arial"/>
                <w:sz w:val="45"/>
                <w:szCs w:val="45"/>
                <w:b w:val="1"/>
                <w:bCs w:val="1"/>
                <w:color w:val="00529B"/>
                <w:vertAlign w:val="superscript"/>
              </w:rPr>
              <w:t>1</w:t>
            </w:r>
          </w:p>
        </w:tc>
        <w:tc>
          <w:tcPr>
            <w:tcW w:w="2560" w:type="dxa"/>
            <w:vAlign w:val="bottom"/>
            <w:vMerge w:val="restart"/>
          </w:tcPr>
          <w:p>
            <w:pPr>
              <w:ind w:left="220"/>
              <w:spacing w:after="0" w:line="389" w:lineRule="exact"/>
              <w:rPr>
                <w:sz w:val="20"/>
                <w:szCs w:val="20"/>
                <w:color w:val="auto"/>
              </w:rPr>
            </w:pPr>
            <w:r>
              <w:rPr>
                <w:rFonts w:ascii="Arial" w:cs="Arial" w:eastAsia="Arial" w:hAnsi="Arial"/>
                <w:sz w:val="36"/>
                <w:szCs w:val="36"/>
                <w:b w:val="1"/>
                <w:bCs w:val="1"/>
                <w:color w:val="00529B"/>
              </w:rPr>
              <w:t xml:space="preserve">$12.5 </w:t>
            </w:r>
            <w:r>
              <w:rPr>
                <w:rFonts w:ascii="Arial" w:cs="Arial" w:eastAsia="Arial" w:hAnsi="Arial"/>
                <w:sz w:val="28"/>
                <w:szCs w:val="28"/>
                <w:b w:val="1"/>
                <w:bCs w:val="1"/>
                <w:color w:val="00529B"/>
              </w:rPr>
              <w:t>billion</w:t>
            </w:r>
          </w:p>
        </w:tc>
        <w:tc>
          <w:tcPr>
            <w:tcW w:w="2140" w:type="dxa"/>
            <w:vAlign w:val="bottom"/>
            <w:vMerge w:val="restart"/>
          </w:tcPr>
          <w:p>
            <w:pPr>
              <w:ind w:left="100"/>
              <w:spacing w:after="0"/>
              <w:rPr>
                <w:sz w:val="20"/>
                <w:szCs w:val="20"/>
                <w:color w:val="auto"/>
              </w:rPr>
            </w:pPr>
            <w:r>
              <w:rPr>
                <w:rFonts w:ascii="Arial" w:cs="Arial" w:eastAsia="Arial" w:hAnsi="Arial"/>
                <w:sz w:val="29"/>
                <w:szCs w:val="29"/>
                <w:b w:val="1"/>
                <w:bCs w:val="1"/>
                <w:color w:val="00529B"/>
              </w:rPr>
              <w:t>$10.5 billion</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200" w:type="dxa"/>
            <w:vAlign w:val="bottom"/>
            <w:gridSpan w:val="2"/>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2760" w:type="dxa"/>
            <w:vAlign w:val="bottom"/>
          </w:tcPr>
          <w:p>
            <w:pPr>
              <w:ind w:left="380"/>
              <w:spacing w:after="0" w:line="168" w:lineRule="exact"/>
              <w:rPr>
                <w:sz w:val="20"/>
                <w:szCs w:val="20"/>
                <w:color w:val="auto"/>
              </w:rPr>
            </w:pPr>
            <w:r>
              <w:rPr>
                <w:rFonts w:ascii="Arial" w:cs="Arial" w:eastAsia="Arial" w:hAnsi="Arial"/>
                <w:sz w:val="15"/>
                <w:szCs w:val="15"/>
                <w:b w:val="1"/>
                <w:bCs w:val="1"/>
                <w:color w:val="00ADEE"/>
              </w:rPr>
              <w:t>share repurchase</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40" w:type="dxa"/>
            <w:vAlign w:val="bottom"/>
            <w:vMerge w:val="restart"/>
          </w:tcPr>
          <w:p>
            <w:pPr>
              <w:ind w:left="100"/>
              <w:spacing w:after="0"/>
              <w:rPr>
                <w:sz w:val="20"/>
                <w:szCs w:val="20"/>
                <w:color w:val="auto"/>
              </w:rPr>
            </w:pPr>
            <w:r>
              <w:rPr>
                <w:rFonts w:ascii="Arial" w:cs="Arial" w:eastAsia="Arial" w:hAnsi="Arial"/>
                <w:sz w:val="15"/>
                <w:szCs w:val="15"/>
                <w:b w:val="1"/>
                <w:bCs w:val="1"/>
                <w:color w:val="00ADEE"/>
              </w:rPr>
              <w:t>of debt</w:t>
            </w:r>
          </w:p>
        </w:tc>
        <w:tc>
          <w:tcPr>
            <w:tcW w:w="2760" w:type="dxa"/>
            <w:vAlign w:val="bottom"/>
          </w:tcPr>
          <w:p>
            <w:pPr>
              <w:ind w:left="380"/>
              <w:spacing w:after="0"/>
              <w:rPr>
                <w:sz w:val="20"/>
                <w:szCs w:val="20"/>
                <w:color w:val="auto"/>
              </w:rPr>
            </w:pPr>
            <w:r>
              <w:rPr>
                <w:rFonts w:ascii="Arial" w:cs="Arial" w:eastAsia="Arial" w:hAnsi="Arial"/>
                <w:sz w:val="15"/>
                <w:szCs w:val="15"/>
                <w:b w:val="1"/>
                <w:bCs w:val="1"/>
                <w:color w:val="00ADEE"/>
              </w:rPr>
              <w:t>program</w:t>
            </w:r>
          </w:p>
        </w:tc>
        <w:tc>
          <w:tcPr>
            <w:tcW w:w="0" w:type="dxa"/>
            <w:vAlign w:val="bottom"/>
          </w:tcPr>
          <w:p>
            <w:pPr>
              <w:spacing w:after="0"/>
              <w:rPr>
                <w:sz w:val="1"/>
                <w:szCs w:val="1"/>
                <w:color w:val="auto"/>
              </w:rPr>
            </w:pPr>
          </w:p>
        </w:tc>
      </w:tr>
      <w:tr>
        <w:trPr>
          <w:trHeight w:val="62"/>
        </w:trPr>
        <w:tc>
          <w:tcPr>
            <w:tcW w:w="1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1"/>
        </w:trPr>
        <w:tc>
          <w:tcPr>
            <w:tcW w:w="1260" w:type="dxa"/>
            <w:vAlign w:val="bottom"/>
            <w:vMerge w:val="restart"/>
          </w:tcPr>
          <w:p>
            <w:pPr>
              <w:spacing w:after="0"/>
              <w:rPr>
                <w:sz w:val="20"/>
                <w:szCs w:val="20"/>
                <w:color w:val="auto"/>
              </w:rPr>
            </w:pPr>
            <w:r>
              <w:rPr>
                <w:rFonts w:ascii="Arial" w:cs="Arial" w:eastAsia="Arial" w:hAnsi="Arial"/>
                <w:sz w:val="15"/>
                <w:szCs w:val="15"/>
                <w:b w:val="1"/>
                <w:bCs w:val="1"/>
                <w:color w:val="00529B"/>
              </w:rPr>
              <w:t>OPERATIONAL</w:t>
            </w:r>
          </w:p>
        </w:tc>
        <w:tc>
          <w:tcPr>
            <w:tcW w:w="940" w:type="dxa"/>
            <w:vAlign w:val="bottom"/>
            <w:tcBorders>
              <w:bottom w:val="single" w:sz="8" w:color="93D8EE"/>
            </w:tcBorders>
          </w:tcPr>
          <w:p>
            <w:pPr>
              <w:spacing w:after="0"/>
              <w:rPr>
                <w:sz w:val="24"/>
                <w:szCs w:val="24"/>
                <w:color w:val="auto"/>
              </w:rPr>
            </w:pPr>
          </w:p>
        </w:tc>
        <w:tc>
          <w:tcPr>
            <w:tcW w:w="2560" w:type="dxa"/>
            <w:vAlign w:val="bottom"/>
            <w:tcBorders>
              <w:bottom w:val="single" w:sz="8" w:color="93D8EE"/>
            </w:tcBorders>
          </w:tcPr>
          <w:p>
            <w:pPr>
              <w:spacing w:after="0"/>
              <w:rPr>
                <w:sz w:val="24"/>
                <w:szCs w:val="24"/>
                <w:color w:val="auto"/>
              </w:rPr>
            </w:pPr>
          </w:p>
        </w:tc>
        <w:tc>
          <w:tcPr>
            <w:tcW w:w="2140" w:type="dxa"/>
            <w:vAlign w:val="bottom"/>
            <w:tcBorders>
              <w:bottom w:val="single" w:sz="8" w:color="93D8EE"/>
            </w:tcBorders>
          </w:tcPr>
          <w:p>
            <w:pPr>
              <w:spacing w:after="0"/>
              <w:rPr>
                <w:sz w:val="24"/>
                <w:szCs w:val="24"/>
                <w:color w:val="auto"/>
              </w:rPr>
            </w:pPr>
          </w:p>
        </w:tc>
        <w:tc>
          <w:tcPr>
            <w:tcW w:w="2760" w:type="dxa"/>
            <w:vAlign w:val="bottom"/>
            <w:tcBorders>
              <w:bottom w:val="single" w:sz="8" w:color="93D8EE"/>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0520"/>
          </w:cols>
          <w:pgMar w:left="320" w:top="130" w:right="1059" w:bottom="1440" w:gutter="0" w:footer="0" w:header="0"/>
        </w:sectPr>
      </w:pPr>
    </w:p>
    <w:p>
      <w:pPr>
        <w:ind w:left="860"/>
        <w:spacing w:after="0"/>
        <w:rPr>
          <w:sz w:val="20"/>
          <w:szCs w:val="20"/>
          <w:color w:val="auto"/>
        </w:rPr>
      </w:pPr>
      <w:r>
        <w:rPr>
          <w:rFonts w:ascii="Arial" w:cs="Arial" w:eastAsia="Arial" w:hAnsi="Arial"/>
          <w:sz w:val="15"/>
          <w:szCs w:val="15"/>
          <w:b w:val="1"/>
          <w:bCs w:val="1"/>
          <w:color w:val="00ADEE"/>
        </w:rPr>
        <w:t>Proved reserves increased by</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36"/>
          <w:szCs w:val="36"/>
          <w:b w:val="1"/>
          <w:bCs w:val="1"/>
          <w:color w:val="00529B"/>
        </w:rPr>
        <w:t xml:space="preserve">~300 </w:t>
      </w:r>
      <w:r>
        <w:rPr>
          <w:rFonts w:ascii="Arial" w:cs="Arial" w:eastAsia="Arial" w:hAnsi="Arial"/>
          <w:sz w:val="28"/>
          <w:szCs w:val="28"/>
          <w:b w:val="1"/>
          <w:bCs w:val="1"/>
          <w:color w:val="00529B"/>
        </w:rPr>
        <w:t>MMboe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29"/>
          <w:szCs w:val="29"/>
          <w:b w:val="1"/>
          <w:bCs w:val="1"/>
          <w:color w:val="00529B"/>
        </w:rPr>
        <w:t xml:space="preserve">to </w:t>
      </w:r>
      <w:r>
        <w:rPr>
          <w:rFonts w:ascii="Arial" w:cs="Arial" w:eastAsia="Arial" w:hAnsi="Arial"/>
          <w:sz w:val="35"/>
          <w:szCs w:val="35"/>
          <w:b w:val="1"/>
          <w:bCs w:val="1"/>
          <w:color w:val="00529B"/>
        </w:rPr>
        <w:t>~3,800</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29"/>
          <w:szCs w:val="29"/>
          <w:b w:val="1"/>
          <w:bCs w:val="1"/>
          <w:color w:val="00529B"/>
        </w:rPr>
        <w:t>MMboe</w:t>
      </w:r>
      <w:r>
        <w:rPr>
          <w:rFonts w:ascii="Arial" w:cs="Arial" w:eastAsia="Arial" w:hAnsi="Arial"/>
          <w:sz w:val="47"/>
          <w:szCs w:val="47"/>
          <w:b w:val="1"/>
          <w:bCs w:val="1"/>
          <w:color w:val="00529B"/>
          <w:vertAlign w:val="superscript"/>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ADEE"/>
        </w:rPr>
        <w:t>Record</w:t>
      </w:r>
    </w:p>
    <w:p>
      <w:pPr>
        <w:spacing w:after="0" w:line="5" w:lineRule="exact"/>
        <w:rPr>
          <w:sz w:val="20"/>
          <w:szCs w:val="20"/>
          <w:color w:val="auto"/>
        </w:rPr>
      </w:pPr>
    </w:p>
    <w:p>
      <w:pPr>
        <w:ind w:right="720"/>
        <w:spacing w:after="0" w:line="251" w:lineRule="auto"/>
        <w:rPr>
          <w:sz w:val="20"/>
          <w:szCs w:val="20"/>
          <w:color w:val="auto"/>
        </w:rPr>
      </w:pPr>
      <w:r>
        <w:rPr>
          <w:rFonts w:ascii="Arial" w:cs="Arial" w:eastAsia="Arial" w:hAnsi="Arial"/>
          <w:sz w:val="28"/>
          <w:szCs w:val="28"/>
          <w:b w:val="1"/>
          <w:bCs w:val="1"/>
          <w:color w:val="00529B"/>
        </w:rPr>
        <w:t>operational milestones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color w:val="00ADEE"/>
        </w:rPr>
        <w:t>in U.S. Onshore, Gulf of Mexico and International oil &amp;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ADEE"/>
        </w:rPr>
        <w:t>Record</w:t>
      </w:r>
    </w:p>
    <w:p>
      <w:pPr>
        <w:spacing w:after="0" w:line="5" w:lineRule="exact"/>
        <w:rPr>
          <w:sz w:val="20"/>
          <w:szCs w:val="20"/>
          <w:color w:val="auto"/>
        </w:rPr>
      </w:pPr>
    </w:p>
    <w:p>
      <w:pPr>
        <w:ind w:right="60"/>
        <w:spacing w:after="0" w:line="268" w:lineRule="auto"/>
        <w:rPr>
          <w:sz w:val="20"/>
          <w:szCs w:val="20"/>
          <w:color w:val="auto"/>
        </w:rPr>
      </w:pPr>
      <w:r>
        <w:rPr>
          <w:rFonts w:ascii="Arial" w:cs="Arial" w:eastAsia="Arial" w:hAnsi="Arial"/>
          <w:sz w:val="28"/>
          <w:szCs w:val="28"/>
          <w:b w:val="1"/>
          <w:bCs w:val="1"/>
          <w:color w:val="00529B"/>
        </w:rPr>
        <w:t>Delaware Basin well productivity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ADEE"/>
        </w:rPr>
        <w:t>Record</w:t>
      </w:r>
    </w:p>
    <w:p>
      <w:pPr>
        <w:spacing w:after="0" w:line="5" w:lineRule="exact"/>
        <w:rPr>
          <w:sz w:val="20"/>
          <w:szCs w:val="20"/>
          <w:color w:val="auto"/>
        </w:rPr>
      </w:pPr>
    </w:p>
    <w:p>
      <w:pPr>
        <w:spacing w:after="0"/>
        <w:rPr>
          <w:sz w:val="20"/>
          <w:szCs w:val="20"/>
          <w:color w:val="auto"/>
        </w:rPr>
      </w:pPr>
      <w:r>
        <w:rPr>
          <w:rFonts w:ascii="Arial" w:cs="Arial" w:eastAsia="Arial" w:hAnsi="Arial"/>
          <w:sz w:val="28"/>
          <w:szCs w:val="28"/>
          <w:b w:val="1"/>
          <w:bCs w:val="1"/>
          <w:color w:val="00529B"/>
        </w:rPr>
        <w:t>OxyChem</w:t>
      </w:r>
    </w:p>
    <w:p>
      <w:pPr>
        <w:spacing w:after="0" w:line="16" w:lineRule="exact"/>
        <w:rPr>
          <w:sz w:val="20"/>
          <w:szCs w:val="20"/>
          <w:color w:val="auto"/>
        </w:rPr>
      </w:pPr>
    </w:p>
    <w:p>
      <w:pPr>
        <w:spacing w:after="0"/>
        <w:rPr>
          <w:sz w:val="20"/>
          <w:szCs w:val="20"/>
          <w:color w:val="auto"/>
        </w:rPr>
      </w:pPr>
      <w:r>
        <w:rPr>
          <w:rFonts w:ascii="Arial" w:cs="Arial" w:eastAsia="Arial" w:hAnsi="Arial"/>
          <w:sz w:val="29"/>
          <w:szCs w:val="29"/>
          <w:b w:val="1"/>
          <w:bCs w:val="1"/>
          <w:color w:val="00529B"/>
        </w:rPr>
        <w:t>pre-tax</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00529B"/>
        </w:rPr>
        <w:t>earnings</w:t>
      </w:r>
    </w:p>
    <w:p>
      <w:pPr>
        <w:spacing w:after="0" w:line="571" w:lineRule="exact"/>
        <w:rPr>
          <w:sz w:val="20"/>
          <w:szCs w:val="20"/>
          <w:color w:val="auto"/>
        </w:rPr>
      </w:pPr>
    </w:p>
    <w:p>
      <w:pPr>
        <w:sectPr>
          <w:pgSz w:w="11900" w:h="16838" w:orient="portrait"/>
          <w:cols w:equalWidth="0" w:num="4">
            <w:col w:w="3020" w:space="260"/>
            <w:col w:w="2280" w:space="160"/>
            <w:col w:w="1700" w:space="720"/>
            <w:col w:w="2380"/>
          </w:cols>
          <w:pgMar w:left="320" w:top="130" w:right="1059" w:bottom="1440" w:gutter="0" w:footer="0" w:header="0"/>
          <w:type w:val="continuous"/>
        </w:sectPr>
      </w:pPr>
    </w:p>
    <w:p>
      <w:pPr>
        <w:spacing w:after="0" w:line="105" w:lineRule="exact"/>
        <w:rPr>
          <w:sz w:val="20"/>
          <w:szCs w:val="20"/>
          <w:color w:val="auto"/>
        </w:rPr>
      </w:pPr>
    </w:p>
    <w:p>
      <w:pPr>
        <w:ind w:left="860" w:right="1120"/>
        <w:spacing w:after="0" w:line="329" w:lineRule="auto"/>
        <w:rPr>
          <w:sz w:val="20"/>
          <w:szCs w:val="20"/>
          <w:color w:val="auto"/>
        </w:rPr>
      </w:pPr>
      <w:r>
        <w:rPr>
          <w:rFonts w:ascii="Arial" w:cs="Arial" w:eastAsia="Arial" w:hAnsi="Arial"/>
          <w:sz w:val="15"/>
          <w:szCs w:val="15"/>
          <w:b w:val="1"/>
          <w:bCs w:val="1"/>
          <w:color w:val="00529B"/>
        </w:rPr>
        <w:t xml:space="preserve">HEALTH, SAFETY AND ENVIRONMENTAL </w:t>
      </w:r>
      <w:r>
        <w:rPr>
          <w:rFonts w:ascii="Arial" w:cs="Arial" w:eastAsia="Arial" w:hAnsi="Arial"/>
          <w:sz w:val="15"/>
          <w:szCs w:val="15"/>
          <w:b w:val="1"/>
          <w:bCs w:val="1"/>
          <w:color w:val="00ADEE"/>
        </w:rPr>
        <w:t>Board approved Occidental’s</w:t>
      </w:r>
    </w:p>
    <w:p>
      <w:pPr>
        <w:spacing w:after="0" w:line="1" w:lineRule="exact"/>
        <w:rPr>
          <w:sz w:val="20"/>
          <w:szCs w:val="20"/>
          <w:color w:val="auto"/>
        </w:rPr>
      </w:pPr>
    </w:p>
    <w:p>
      <w:pPr>
        <w:ind w:left="860" w:right="820"/>
        <w:spacing w:after="0" w:line="284" w:lineRule="auto"/>
        <w:rPr>
          <w:sz w:val="20"/>
          <w:szCs w:val="20"/>
          <w:color w:val="auto"/>
        </w:rPr>
      </w:pPr>
      <w:r>
        <w:rPr>
          <w:rFonts w:ascii="Arial" w:cs="Arial" w:eastAsia="Arial" w:hAnsi="Arial"/>
          <w:sz w:val="28"/>
          <w:szCs w:val="28"/>
          <w:b w:val="1"/>
          <w:bCs w:val="1"/>
          <w:color w:val="00529B"/>
        </w:rPr>
        <w:t>updated HSE and Sustainability Principles</w:t>
      </w:r>
    </w:p>
    <w:p>
      <w:pPr>
        <w:spacing w:after="0" w:line="200" w:lineRule="exact"/>
        <w:rPr>
          <w:sz w:val="20"/>
          <w:szCs w:val="20"/>
          <w:color w:val="auto"/>
        </w:rPr>
      </w:pPr>
    </w:p>
    <w:p>
      <w:pPr>
        <w:spacing w:after="0" w:line="373"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00ADEE"/>
        </w:rPr>
        <w:t>Commenced construction of Occidental’s</w:t>
      </w:r>
    </w:p>
    <w:p>
      <w:pPr>
        <w:spacing w:after="0" w:line="32" w:lineRule="exact"/>
        <w:rPr>
          <w:sz w:val="20"/>
          <w:szCs w:val="20"/>
          <w:color w:val="auto"/>
        </w:rPr>
      </w:pPr>
    </w:p>
    <w:p>
      <w:pPr>
        <w:ind w:left="860" w:right="1060"/>
        <w:spacing w:after="0" w:line="266" w:lineRule="auto"/>
        <w:rPr>
          <w:sz w:val="20"/>
          <w:szCs w:val="20"/>
          <w:color w:val="auto"/>
        </w:rPr>
      </w:pPr>
      <w:r>
        <w:rPr>
          <w:rFonts w:ascii="Arial" w:cs="Arial" w:eastAsia="Arial" w:hAnsi="Arial"/>
          <w:sz w:val="29"/>
          <w:szCs w:val="29"/>
          <w:b w:val="1"/>
          <w:bCs w:val="1"/>
          <w:color w:val="00529B"/>
        </w:rPr>
        <w:t>first Direct Air Capture plant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1420"/>
        <w:spacing w:after="0" w:line="250" w:lineRule="auto"/>
        <w:rPr>
          <w:sz w:val="20"/>
          <w:szCs w:val="20"/>
          <w:color w:val="auto"/>
        </w:rPr>
      </w:pPr>
      <w:r>
        <w:rPr>
          <w:rFonts w:ascii="Arial" w:cs="Arial" w:eastAsia="Arial" w:hAnsi="Arial"/>
          <w:sz w:val="29"/>
          <w:szCs w:val="29"/>
          <w:b w:val="1"/>
          <w:bCs w:val="1"/>
          <w:color w:val="00529B"/>
        </w:rPr>
        <w:t>U.S. oil &amp; gas operations achieved Zero Routine Flaring</w:t>
      </w:r>
    </w:p>
    <w:p>
      <w:pPr>
        <w:spacing w:after="0" w:line="1" w:lineRule="exact"/>
        <w:rPr>
          <w:sz w:val="20"/>
          <w:szCs w:val="20"/>
          <w:color w:val="auto"/>
        </w:rPr>
      </w:pPr>
    </w:p>
    <w:p>
      <w:pPr>
        <w:jc w:val="center"/>
        <w:ind w:right="1500"/>
        <w:spacing w:after="0"/>
        <w:rPr>
          <w:sz w:val="20"/>
          <w:szCs w:val="20"/>
          <w:color w:val="auto"/>
        </w:rPr>
      </w:pPr>
      <w:r>
        <w:rPr>
          <w:rFonts w:ascii="Arial" w:cs="Arial" w:eastAsia="Arial" w:hAnsi="Arial"/>
          <w:sz w:val="15"/>
          <w:szCs w:val="15"/>
          <w:b w:val="1"/>
          <w:bCs w:val="1"/>
          <w:color w:val="00ADEE"/>
        </w:rPr>
        <w:t>in advance of the World Bank’s 2030 initiative</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00ADEE"/>
        </w:rPr>
        <w:t>Secured</w:t>
      </w:r>
    </w:p>
    <w:p>
      <w:pPr>
        <w:spacing w:after="0" w:line="5" w:lineRule="exact"/>
        <w:rPr>
          <w:sz w:val="20"/>
          <w:szCs w:val="20"/>
          <w:color w:val="auto"/>
        </w:rPr>
      </w:pPr>
    </w:p>
    <w:p>
      <w:pPr>
        <w:spacing w:after="0"/>
        <w:rPr>
          <w:sz w:val="20"/>
          <w:szCs w:val="20"/>
          <w:color w:val="auto"/>
        </w:rPr>
      </w:pPr>
      <w:r>
        <w:rPr>
          <w:rFonts w:ascii="Arial" w:cs="Arial" w:eastAsia="Arial" w:hAnsi="Arial"/>
          <w:sz w:val="29"/>
          <w:szCs w:val="29"/>
          <w:b w:val="1"/>
          <w:bCs w:val="1"/>
          <w:color w:val="00529B"/>
        </w:rPr>
        <w:t>over 400 square miles</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00529B"/>
        </w:rPr>
        <w:t>of land and pore space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0ADEE"/>
        </w:rPr>
        <w:t>for Gulf Coast sequestration hubs</w:t>
      </w:r>
    </w:p>
    <w:p>
      <w:pPr>
        <w:spacing w:after="0" w:line="167" w:lineRule="exact"/>
        <w:rPr>
          <w:sz w:val="20"/>
          <w:szCs w:val="20"/>
          <w:color w:val="auto"/>
        </w:rPr>
      </w:pPr>
    </w:p>
    <w:p>
      <w:pPr>
        <w:sectPr>
          <w:pgSz w:w="11900" w:h="16838" w:orient="portrait"/>
          <w:cols w:equalWidth="0" w:num="2">
            <w:col w:w="5000" w:space="720"/>
            <w:col w:w="4800"/>
          </w:cols>
          <w:pgMar w:left="320" w:top="130" w:right="1059" w:bottom="1440" w:gutter="0" w:footer="0" w:header="0"/>
          <w:type w:val="continuous"/>
        </w:sectPr>
      </w:pPr>
    </w:p>
    <w:p>
      <w:pPr>
        <w:ind w:left="1060" w:hanging="206"/>
        <w:spacing w:after="0"/>
        <w:tabs>
          <w:tab w:leader="none" w:pos="106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For a reconciliation to the most comparable GAAP financial measure of operating cash flow from continuing operations, see Annex A.</w:t>
      </w:r>
    </w:p>
    <w:p>
      <w:pPr>
        <w:ind w:left="1060" w:hanging="206"/>
        <w:spacing w:after="0" w:line="228" w:lineRule="auto"/>
        <w:tabs>
          <w:tab w:leader="none" w:pos="106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Million barrels of oil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2724150</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520"/>
          </w:cols>
          <w:pgMar w:left="320" w:top="130" w:right="10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Strategy to Achieve Net Zero</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00529B"/>
        </w:rPr>
        <w:t>Occidental is actively implementing multiple pathways to net zero to advance the goals of the Paris Agreement. Our strategy employs four key elements to achieve net-zero emissions in our operations and energy use before 2035 and no later than 2040, and in our total carbon inventory including the use of our products before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86995</wp:posOffset>
            </wp:positionV>
            <wp:extent cx="4714875" cy="4714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4875"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520" w:type="dxa"/>
            <w:vAlign w:val="bottom"/>
          </w:tcPr>
          <w:p>
            <w:pPr>
              <w:spacing w:after="0"/>
              <w:rPr>
                <w:sz w:val="20"/>
                <w:szCs w:val="20"/>
                <w:color w:val="auto"/>
              </w:rPr>
            </w:pPr>
            <w:r>
              <w:rPr>
                <w:rFonts w:ascii="Arial" w:cs="Arial" w:eastAsia="Arial" w:hAnsi="Arial"/>
                <w:sz w:val="15"/>
                <w:szCs w:val="15"/>
                <w:b w:val="1"/>
                <w:bCs w:val="1"/>
                <w:color w:val="00529B"/>
              </w:rPr>
              <w:t>REVOLUTIONIZE</w:t>
            </w: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Revolutionize carbon management by applying our 50+ years of leadership in CO</w:t>
            </w:r>
            <w:r>
              <w:rPr>
                <w:rFonts w:ascii="Arial" w:cs="Arial" w:eastAsia="Arial" w:hAnsi="Arial"/>
                <w:sz w:val="25"/>
                <w:szCs w:val="25"/>
                <w:color w:val="auto"/>
                <w:vertAlign w:val="subscript"/>
              </w:rPr>
              <w:t>2</w:t>
            </w:r>
            <w:r>
              <w:rPr>
                <w:rFonts w:ascii="Arial" w:cs="Arial" w:eastAsia="Arial" w:hAnsi="Arial"/>
                <w:sz w:val="15"/>
                <w:szCs w:val="15"/>
                <w:color w:val="auto"/>
              </w:rPr>
              <w:t xml:space="preserve"> separation, transportation, use, recycling and storage to</w:t>
            </w:r>
          </w:p>
        </w:tc>
        <w:tc>
          <w:tcPr>
            <w:tcW w:w="20" w:type="dxa"/>
            <w:vAlign w:val="bottom"/>
          </w:tcPr>
          <w:p>
            <w:pPr>
              <w:spacing w:after="0"/>
              <w:rPr>
                <w:sz w:val="24"/>
                <w:szCs w:val="24"/>
                <w:color w:val="auto"/>
              </w:rPr>
            </w:pPr>
          </w:p>
        </w:tc>
      </w:tr>
      <w:tr>
        <w:trPr>
          <w:trHeight w:val="162"/>
        </w:trPr>
        <w:tc>
          <w:tcPr>
            <w:tcW w:w="1520" w:type="dxa"/>
            <w:vAlign w:val="bottom"/>
          </w:tcPr>
          <w:p>
            <w:pPr>
              <w:spacing w:after="0"/>
              <w:rPr>
                <w:sz w:val="14"/>
                <w:szCs w:val="14"/>
                <w:color w:val="auto"/>
              </w:rPr>
            </w:pPr>
          </w:p>
        </w:tc>
        <w:tc>
          <w:tcPr>
            <w:tcW w:w="972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invest in and deploy leading-edge technologies and promote collaboration with industry, government and non-governmental organizations,</w:t>
            </w:r>
          </w:p>
        </w:tc>
        <w:tc>
          <w:tcPr>
            <w:tcW w:w="20" w:type="dxa"/>
            <w:vAlign w:val="bottom"/>
          </w:tcPr>
          <w:p>
            <w:pPr>
              <w:spacing w:after="0"/>
              <w:rPr>
                <w:sz w:val="14"/>
                <w:szCs w:val="14"/>
                <w:color w:val="auto"/>
              </w:rPr>
            </w:pPr>
          </w:p>
        </w:tc>
      </w:tr>
      <w:tr>
        <w:trPr>
          <w:trHeight w:val="200"/>
        </w:trPr>
        <w:tc>
          <w:tcPr>
            <w:tcW w:w="1520" w:type="dxa"/>
            <w:vAlign w:val="bottom"/>
          </w:tcPr>
          <w:p>
            <w:pPr>
              <w:spacing w:after="0"/>
              <w:rPr>
                <w:sz w:val="17"/>
                <w:szCs w:val="17"/>
                <w:color w:val="auto"/>
              </w:rPr>
            </w:pP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using an integrated approach that benefits Oxy’s stakeholders and the world</w:t>
            </w:r>
          </w:p>
        </w:tc>
        <w:tc>
          <w:tcPr>
            <w:tcW w:w="20" w:type="dxa"/>
            <w:vAlign w:val="bottom"/>
          </w:tcPr>
          <w:p>
            <w:pPr>
              <w:spacing w:after="0"/>
              <w:rPr>
                <w:sz w:val="17"/>
                <w:szCs w:val="17"/>
                <w:color w:val="auto"/>
              </w:rPr>
            </w:pPr>
          </w:p>
        </w:tc>
      </w:tr>
      <w:tr>
        <w:trPr>
          <w:trHeight w:val="141"/>
        </w:trPr>
        <w:tc>
          <w:tcPr>
            <w:tcW w:w="1520" w:type="dxa"/>
            <w:vAlign w:val="bottom"/>
            <w:tcBorders>
              <w:bottom w:val="single" w:sz="8" w:color="93D8EE"/>
            </w:tcBorders>
          </w:tcPr>
          <w:p>
            <w:pPr>
              <w:spacing w:after="0"/>
              <w:rPr>
                <w:sz w:val="12"/>
                <w:szCs w:val="12"/>
                <w:color w:val="auto"/>
              </w:rPr>
            </w:pPr>
          </w:p>
        </w:tc>
        <w:tc>
          <w:tcPr>
            <w:tcW w:w="9080" w:type="dxa"/>
            <w:vAlign w:val="bottom"/>
            <w:tcBorders>
              <w:bottom w:val="single" w:sz="8" w:color="93D8EE"/>
            </w:tcBorders>
          </w:tcPr>
          <w:p>
            <w:pPr>
              <w:spacing w:after="0"/>
              <w:rPr>
                <w:sz w:val="12"/>
                <w:szCs w:val="12"/>
                <w:color w:val="auto"/>
              </w:rPr>
            </w:pPr>
          </w:p>
        </w:tc>
        <w:tc>
          <w:tcPr>
            <w:tcW w:w="640" w:type="dxa"/>
            <w:vAlign w:val="bottom"/>
            <w:tcBorders>
              <w:bottom w:val="single" w:sz="8" w:color="93D8EE"/>
            </w:tcBorders>
          </w:tcPr>
          <w:p>
            <w:pPr>
              <w:spacing w:after="0"/>
              <w:rPr>
                <w:sz w:val="12"/>
                <w:szCs w:val="12"/>
                <w:color w:val="auto"/>
              </w:rPr>
            </w:pPr>
          </w:p>
        </w:tc>
        <w:tc>
          <w:tcPr>
            <w:tcW w:w="20" w:type="dxa"/>
            <w:vAlign w:val="bottom"/>
          </w:tcPr>
          <w:p>
            <w:pPr>
              <w:spacing w:after="0"/>
              <w:rPr>
                <w:sz w:val="12"/>
                <w:szCs w:val="12"/>
                <w:color w:val="auto"/>
              </w:rPr>
            </w:pPr>
          </w:p>
        </w:tc>
      </w:tr>
      <w:tr>
        <w:trPr>
          <w:trHeight w:val="300"/>
        </w:trPr>
        <w:tc>
          <w:tcPr>
            <w:tcW w:w="1520" w:type="dxa"/>
            <w:vAlign w:val="bottom"/>
          </w:tcPr>
          <w:p>
            <w:pPr>
              <w:spacing w:after="0"/>
              <w:rPr>
                <w:sz w:val="20"/>
                <w:szCs w:val="20"/>
                <w:color w:val="auto"/>
              </w:rPr>
            </w:pPr>
            <w:r>
              <w:rPr>
                <w:rFonts w:ascii="Arial" w:cs="Arial" w:eastAsia="Arial" w:hAnsi="Arial"/>
                <w:sz w:val="15"/>
                <w:szCs w:val="15"/>
                <w:b w:val="1"/>
                <w:bCs w:val="1"/>
                <w:color w:val="00529B"/>
              </w:rPr>
              <w:t>REDUCE</w:t>
            </w: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Reduce emissions across our operations through employee-driven innovation and excellence and state-of-the-art, cost-effective</w:t>
            </w:r>
          </w:p>
        </w:tc>
        <w:tc>
          <w:tcPr>
            <w:tcW w:w="20" w:type="dxa"/>
            <w:vAlign w:val="bottom"/>
          </w:tcPr>
          <w:p>
            <w:pPr>
              <w:spacing w:after="0"/>
              <w:rPr>
                <w:sz w:val="24"/>
                <w:szCs w:val="24"/>
                <w:color w:val="auto"/>
              </w:rPr>
            </w:pPr>
          </w:p>
        </w:tc>
      </w:tr>
      <w:tr>
        <w:trPr>
          <w:trHeight w:val="200"/>
        </w:trPr>
        <w:tc>
          <w:tcPr>
            <w:tcW w:w="1520" w:type="dxa"/>
            <w:vAlign w:val="bottom"/>
          </w:tcPr>
          <w:p>
            <w:pPr>
              <w:spacing w:after="0"/>
              <w:rPr>
                <w:sz w:val="17"/>
                <w:szCs w:val="17"/>
                <w:color w:val="auto"/>
              </w:rPr>
            </w:pP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technologies</w:t>
            </w:r>
          </w:p>
        </w:tc>
        <w:tc>
          <w:tcPr>
            <w:tcW w:w="20" w:type="dxa"/>
            <w:vAlign w:val="bottom"/>
          </w:tcPr>
          <w:p>
            <w:pPr>
              <w:spacing w:after="0"/>
              <w:rPr>
                <w:sz w:val="17"/>
                <w:szCs w:val="17"/>
                <w:color w:val="auto"/>
              </w:rPr>
            </w:pPr>
          </w:p>
        </w:tc>
      </w:tr>
      <w:tr>
        <w:trPr>
          <w:trHeight w:val="141"/>
        </w:trPr>
        <w:tc>
          <w:tcPr>
            <w:tcW w:w="1520" w:type="dxa"/>
            <w:vAlign w:val="bottom"/>
            <w:tcBorders>
              <w:bottom w:val="single" w:sz="8" w:color="93D8EE"/>
            </w:tcBorders>
          </w:tcPr>
          <w:p>
            <w:pPr>
              <w:spacing w:after="0"/>
              <w:rPr>
                <w:sz w:val="12"/>
                <w:szCs w:val="12"/>
                <w:color w:val="auto"/>
              </w:rPr>
            </w:pPr>
          </w:p>
        </w:tc>
        <w:tc>
          <w:tcPr>
            <w:tcW w:w="9080" w:type="dxa"/>
            <w:vAlign w:val="bottom"/>
            <w:tcBorders>
              <w:bottom w:val="single" w:sz="8" w:color="93D8EE"/>
            </w:tcBorders>
          </w:tcPr>
          <w:p>
            <w:pPr>
              <w:spacing w:after="0"/>
              <w:rPr>
                <w:sz w:val="12"/>
                <w:szCs w:val="12"/>
                <w:color w:val="auto"/>
              </w:rPr>
            </w:pPr>
          </w:p>
        </w:tc>
        <w:tc>
          <w:tcPr>
            <w:tcW w:w="640" w:type="dxa"/>
            <w:vAlign w:val="bottom"/>
            <w:tcBorders>
              <w:bottom w:val="single" w:sz="8" w:color="93D8EE"/>
            </w:tcBorders>
          </w:tcPr>
          <w:p>
            <w:pPr>
              <w:spacing w:after="0"/>
              <w:rPr>
                <w:sz w:val="12"/>
                <w:szCs w:val="12"/>
                <w:color w:val="auto"/>
              </w:rPr>
            </w:pPr>
          </w:p>
        </w:tc>
        <w:tc>
          <w:tcPr>
            <w:tcW w:w="20" w:type="dxa"/>
            <w:vAlign w:val="bottom"/>
          </w:tcPr>
          <w:p>
            <w:pPr>
              <w:spacing w:after="0"/>
              <w:rPr>
                <w:sz w:val="12"/>
                <w:szCs w:val="12"/>
                <w:color w:val="auto"/>
              </w:rPr>
            </w:pPr>
          </w:p>
        </w:tc>
      </w:tr>
      <w:tr>
        <w:trPr>
          <w:trHeight w:val="341"/>
        </w:trPr>
        <w:tc>
          <w:tcPr>
            <w:tcW w:w="1520" w:type="dxa"/>
            <w:vAlign w:val="bottom"/>
          </w:tcPr>
          <w:p>
            <w:pPr>
              <w:spacing w:after="0"/>
              <w:rPr>
                <w:sz w:val="20"/>
                <w:szCs w:val="20"/>
                <w:color w:val="auto"/>
              </w:rPr>
            </w:pPr>
            <w:r>
              <w:rPr>
                <w:rFonts w:ascii="Arial" w:cs="Arial" w:eastAsia="Arial" w:hAnsi="Arial"/>
                <w:sz w:val="15"/>
                <w:szCs w:val="15"/>
                <w:b w:val="1"/>
                <w:bCs w:val="1"/>
                <w:color w:val="00529B"/>
              </w:rPr>
              <w:t>REUSE/RECYCLE</w:t>
            </w: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Reuse and recycle CO</w:t>
            </w:r>
            <w:r>
              <w:rPr>
                <w:rFonts w:ascii="Arial" w:cs="Arial" w:eastAsia="Arial" w:hAnsi="Arial"/>
                <w:sz w:val="25"/>
                <w:szCs w:val="25"/>
                <w:color w:val="auto"/>
                <w:vertAlign w:val="subscript"/>
              </w:rPr>
              <w:t>2</w:t>
            </w:r>
            <w:r>
              <w:rPr>
                <w:rFonts w:ascii="Arial" w:cs="Arial" w:eastAsia="Arial" w:hAnsi="Arial"/>
                <w:sz w:val="15"/>
                <w:szCs w:val="15"/>
                <w:color w:val="auto"/>
              </w:rPr>
              <w:t xml:space="preserve"> with technologies and partnerships that use captured CO</w:t>
            </w:r>
            <w:r>
              <w:rPr>
                <w:rFonts w:ascii="Arial" w:cs="Arial" w:eastAsia="Arial" w:hAnsi="Arial"/>
                <w:sz w:val="25"/>
                <w:szCs w:val="25"/>
                <w:color w:val="auto"/>
                <w:vertAlign w:val="subscript"/>
              </w:rPr>
              <w:t>2</w:t>
            </w:r>
            <w:r>
              <w:rPr>
                <w:rFonts w:ascii="Arial" w:cs="Arial" w:eastAsia="Arial" w:hAnsi="Arial"/>
                <w:sz w:val="15"/>
                <w:szCs w:val="15"/>
                <w:color w:val="auto"/>
              </w:rPr>
              <w:t xml:space="preserve"> to enhance existing products and produce new low-</w:t>
            </w:r>
          </w:p>
        </w:tc>
        <w:tc>
          <w:tcPr>
            <w:tcW w:w="20" w:type="dxa"/>
            <w:vAlign w:val="bottom"/>
          </w:tcPr>
          <w:p>
            <w:pPr>
              <w:spacing w:after="0"/>
              <w:rPr>
                <w:sz w:val="24"/>
                <w:szCs w:val="24"/>
                <w:color w:val="auto"/>
              </w:rPr>
            </w:pPr>
          </w:p>
        </w:tc>
      </w:tr>
      <w:tr>
        <w:trPr>
          <w:trHeight w:val="200"/>
        </w:trPr>
        <w:tc>
          <w:tcPr>
            <w:tcW w:w="1520" w:type="dxa"/>
            <w:vAlign w:val="bottom"/>
          </w:tcPr>
          <w:p>
            <w:pPr>
              <w:spacing w:after="0"/>
              <w:rPr>
                <w:sz w:val="17"/>
                <w:szCs w:val="17"/>
                <w:color w:val="auto"/>
              </w:rPr>
            </w:pP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carbon or zero-emissions products</w:t>
            </w:r>
          </w:p>
        </w:tc>
        <w:tc>
          <w:tcPr>
            <w:tcW w:w="20" w:type="dxa"/>
            <w:vAlign w:val="bottom"/>
          </w:tcPr>
          <w:p>
            <w:pPr>
              <w:spacing w:after="0"/>
              <w:rPr>
                <w:sz w:val="17"/>
                <w:szCs w:val="17"/>
                <w:color w:val="auto"/>
              </w:rPr>
            </w:pPr>
          </w:p>
        </w:tc>
      </w:tr>
      <w:tr>
        <w:trPr>
          <w:trHeight w:val="141"/>
        </w:trPr>
        <w:tc>
          <w:tcPr>
            <w:tcW w:w="1520" w:type="dxa"/>
            <w:vAlign w:val="bottom"/>
            <w:tcBorders>
              <w:bottom w:val="single" w:sz="8" w:color="93D8EE"/>
            </w:tcBorders>
          </w:tcPr>
          <w:p>
            <w:pPr>
              <w:spacing w:after="0"/>
              <w:rPr>
                <w:sz w:val="12"/>
                <w:szCs w:val="12"/>
                <w:color w:val="auto"/>
              </w:rPr>
            </w:pPr>
          </w:p>
        </w:tc>
        <w:tc>
          <w:tcPr>
            <w:tcW w:w="9080" w:type="dxa"/>
            <w:vAlign w:val="bottom"/>
            <w:tcBorders>
              <w:bottom w:val="single" w:sz="8" w:color="93D8EE"/>
            </w:tcBorders>
          </w:tcPr>
          <w:p>
            <w:pPr>
              <w:spacing w:after="0"/>
              <w:rPr>
                <w:sz w:val="12"/>
                <w:szCs w:val="12"/>
                <w:color w:val="auto"/>
              </w:rPr>
            </w:pPr>
          </w:p>
        </w:tc>
        <w:tc>
          <w:tcPr>
            <w:tcW w:w="640" w:type="dxa"/>
            <w:vAlign w:val="bottom"/>
            <w:tcBorders>
              <w:bottom w:val="single" w:sz="8" w:color="93D8EE"/>
            </w:tcBorders>
          </w:tcPr>
          <w:p>
            <w:pPr>
              <w:spacing w:after="0"/>
              <w:rPr>
                <w:sz w:val="12"/>
                <w:szCs w:val="12"/>
                <w:color w:val="auto"/>
              </w:rPr>
            </w:pPr>
          </w:p>
        </w:tc>
        <w:tc>
          <w:tcPr>
            <w:tcW w:w="20" w:type="dxa"/>
            <w:vAlign w:val="bottom"/>
          </w:tcPr>
          <w:p>
            <w:pPr>
              <w:spacing w:after="0"/>
              <w:rPr>
                <w:sz w:val="12"/>
                <w:szCs w:val="12"/>
                <w:color w:val="auto"/>
              </w:rPr>
            </w:pPr>
          </w:p>
        </w:tc>
      </w:tr>
      <w:tr>
        <w:trPr>
          <w:trHeight w:val="341"/>
        </w:trPr>
        <w:tc>
          <w:tcPr>
            <w:tcW w:w="1520" w:type="dxa"/>
            <w:vAlign w:val="bottom"/>
          </w:tcPr>
          <w:p>
            <w:pPr>
              <w:spacing w:after="0"/>
              <w:rPr>
                <w:sz w:val="20"/>
                <w:szCs w:val="20"/>
                <w:color w:val="auto"/>
              </w:rPr>
            </w:pPr>
            <w:r>
              <w:rPr>
                <w:rFonts w:ascii="Arial" w:cs="Arial" w:eastAsia="Arial" w:hAnsi="Arial"/>
                <w:sz w:val="15"/>
                <w:szCs w:val="15"/>
                <w:b w:val="1"/>
                <w:bCs w:val="1"/>
                <w:color w:val="00529B"/>
              </w:rPr>
              <w:t>REMOVE</w:t>
            </w: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Remove existing CO</w:t>
            </w:r>
            <w:r>
              <w:rPr>
                <w:rFonts w:ascii="Arial" w:cs="Arial" w:eastAsia="Arial" w:hAnsi="Arial"/>
                <w:sz w:val="25"/>
                <w:szCs w:val="25"/>
                <w:color w:val="auto"/>
                <w:vertAlign w:val="subscript"/>
              </w:rPr>
              <w:t>2</w:t>
            </w:r>
            <w:r>
              <w:rPr>
                <w:rFonts w:ascii="Arial" w:cs="Arial" w:eastAsia="Arial" w:hAnsi="Arial"/>
                <w:sz w:val="15"/>
                <w:szCs w:val="15"/>
                <w:color w:val="auto"/>
              </w:rPr>
              <w:t xml:space="preserve"> from the atmosphere in significant amounts for beneficial use and safe, secure sequestration by developing, proving</w:t>
            </w:r>
          </w:p>
        </w:tc>
        <w:tc>
          <w:tcPr>
            <w:tcW w:w="20" w:type="dxa"/>
            <w:vAlign w:val="bottom"/>
          </w:tcPr>
          <w:p>
            <w:pPr>
              <w:spacing w:after="0"/>
              <w:rPr>
                <w:sz w:val="24"/>
                <w:szCs w:val="24"/>
                <w:color w:val="auto"/>
              </w:rPr>
            </w:pPr>
          </w:p>
        </w:tc>
      </w:tr>
      <w:tr>
        <w:trPr>
          <w:trHeight w:val="200"/>
        </w:trPr>
        <w:tc>
          <w:tcPr>
            <w:tcW w:w="1520" w:type="dxa"/>
            <w:vAlign w:val="bottom"/>
          </w:tcPr>
          <w:p>
            <w:pPr>
              <w:spacing w:after="0"/>
              <w:rPr>
                <w:sz w:val="17"/>
                <w:szCs w:val="17"/>
                <w:color w:val="auto"/>
              </w:rPr>
            </w:pPr>
          </w:p>
        </w:tc>
        <w:tc>
          <w:tcPr>
            <w:tcW w:w="9720" w:type="dxa"/>
            <w:vAlign w:val="bottom"/>
            <w:gridSpan w:val="2"/>
          </w:tcPr>
          <w:p>
            <w:pPr>
              <w:ind w:left="220"/>
              <w:spacing w:after="0"/>
              <w:rPr>
                <w:sz w:val="20"/>
                <w:szCs w:val="20"/>
                <w:color w:val="auto"/>
              </w:rPr>
            </w:pPr>
            <w:r>
              <w:rPr>
                <w:rFonts w:ascii="Arial" w:cs="Arial" w:eastAsia="Arial" w:hAnsi="Arial"/>
                <w:sz w:val="15"/>
                <w:szCs w:val="15"/>
                <w:color w:val="auto"/>
              </w:rPr>
              <w:t>and deploying innovative capture technologies and market mechanisms at commercial scale to further the goals of the Paris Agreement</w:t>
            </w:r>
          </w:p>
        </w:tc>
        <w:tc>
          <w:tcPr>
            <w:tcW w:w="20" w:type="dxa"/>
            <w:vAlign w:val="bottom"/>
          </w:tcPr>
          <w:p>
            <w:pPr>
              <w:spacing w:after="0"/>
              <w:rPr>
                <w:sz w:val="17"/>
                <w:szCs w:val="17"/>
                <w:color w:val="auto"/>
              </w:rPr>
            </w:pPr>
          </w:p>
        </w:tc>
      </w:tr>
      <w:tr>
        <w:trPr>
          <w:trHeight w:val="141"/>
        </w:trPr>
        <w:tc>
          <w:tcPr>
            <w:tcW w:w="1520" w:type="dxa"/>
            <w:vAlign w:val="bottom"/>
            <w:tcBorders>
              <w:bottom w:val="single" w:sz="8" w:color="93D8EE"/>
            </w:tcBorders>
          </w:tcPr>
          <w:p>
            <w:pPr>
              <w:spacing w:after="0"/>
              <w:rPr>
                <w:sz w:val="12"/>
                <w:szCs w:val="12"/>
                <w:color w:val="auto"/>
              </w:rPr>
            </w:pPr>
          </w:p>
        </w:tc>
        <w:tc>
          <w:tcPr>
            <w:tcW w:w="9080" w:type="dxa"/>
            <w:vAlign w:val="bottom"/>
            <w:tcBorders>
              <w:bottom w:val="single" w:sz="8" w:color="93D8EE"/>
            </w:tcBorders>
          </w:tcPr>
          <w:p>
            <w:pPr>
              <w:spacing w:after="0"/>
              <w:rPr>
                <w:sz w:val="12"/>
                <w:szCs w:val="12"/>
                <w:color w:val="auto"/>
              </w:rPr>
            </w:pPr>
          </w:p>
        </w:tc>
        <w:tc>
          <w:tcPr>
            <w:tcW w:w="640" w:type="dxa"/>
            <w:vAlign w:val="bottom"/>
            <w:tcBorders>
              <w:bottom w:val="single" w:sz="8" w:color="93D8EE"/>
            </w:tcBorders>
          </w:tcPr>
          <w:p>
            <w:pPr>
              <w:spacing w:after="0"/>
              <w:rPr>
                <w:sz w:val="12"/>
                <w:szCs w:val="12"/>
                <w:color w:val="auto"/>
              </w:rPr>
            </w:pPr>
          </w:p>
        </w:tc>
        <w:tc>
          <w:tcPr>
            <w:tcW w:w="20" w:type="dxa"/>
            <w:vAlign w:val="bottom"/>
          </w:tcPr>
          <w:p>
            <w:pPr>
              <w:spacing w:after="0"/>
              <w:rPr>
                <w:sz w:val="12"/>
                <w:szCs w:val="12"/>
                <w:color w:val="auto"/>
              </w:rPr>
            </w:pPr>
          </w:p>
        </w:tc>
      </w:tr>
      <w:tr>
        <w:trPr>
          <w:trHeight w:val="506"/>
        </w:trPr>
        <w:tc>
          <w:tcPr>
            <w:tcW w:w="15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520" w:type="dxa"/>
            <w:vAlign w:val="bottom"/>
            <w:tcBorders>
              <w:left w:val="single" w:sz="8" w:color="auto"/>
            </w:tcBorders>
          </w:tcPr>
          <w:p>
            <w:pPr>
              <w:spacing w:after="0"/>
              <w:rPr>
                <w:sz w:val="19"/>
                <w:szCs w:val="19"/>
                <w:color w:val="auto"/>
              </w:rPr>
            </w:pPr>
          </w:p>
        </w:tc>
        <w:tc>
          <w:tcPr>
            <w:tcW w:w="9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8"/>
        </w:trPr>
        <w:tc>
          <w:tcPr>
            <w:tcW w:w="1520" w:type="dxa"/>
            <w:vAlign w:val="bottom"/>
            <w:tcBorders>
              <w:bottom w:val="single" w:sz="8" w:color="808080"/>
            </w:tcBorders>
          </w:tcPr>
          <w:p>
            <w:pPr>
              <w:spacing w:after="0"/>
              <w:rPr>
                <w:sz w:val="10"/>
                <w:szCs w:val="10"/>
                <w:color w:val="auto"/>
              </w:rPr>
            </w:pPr>
          </w:p>
        </w:tc>
        <w:tc>
          <w:tcPr>
            <w:tcW w:w="90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-2324735</wp:posOffset>
            </wp:positionV>
            <wp:extent cx="171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-2281555</wp:posOffset>
            </wp:positionV>
            <wp:extent cx="171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-2247265</wp:posOffset>
            </wp:positionV>
            <wp:extent cx="17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-2212975</wp:posOffset>
            </wp:positionV>
            <wp:extent cx="171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-2178685</wp:posOffset>
            </wp:positionV>
            <wp:extent cx="171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-2144395</wp:posOffset>
            </wp:positionV>
            <wp:extent cx="17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-2110105</wp:posOffset>
            </wp:positionV>
            <wp:extent cx="17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-2075815</wp:posOffset>
            </wp:positionV>
            <wp:extent cx="171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-2041525</wp:posOffset>
            </wp:positionV>
            <wp:extent cx="17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-2007235</wp:posOffset>
            </wp:positionV>
            <wp:extent cx="171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-1776095</wp:posOffset>
            </wp:positionV>
            <wp:extent cx="17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-1587500</wp:posOffset>
            </wp:positionV>
            <wp:extent cx="17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-1750060</wp:posOffset>
            </wp:positionV>
            <wp:extent cx="17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-1715770</wp:posOffset>
            </wp:positionV>
            <wp:extent cx="17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-1681480</wp:posOffset>
            </wp:positionV>
            <wp:extent cx="17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-1647190</wp:posOffset>
            </wp:positionV>
            <wp:extent cx="17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-1612900</wp:posOffset>
            </wp:positionV>
            <wp:extent cx="17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-1355725</wp:posOffset>
            </wp:positionV>
            <wp:extent cx="17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-1313180</wp:posOffset>
            </wp:positionV>
            <wp:extent cx="17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-1278890</wp:posOffset>
            </wp:positionV>
            <wp:extent cx="17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-1244600</wp:posOffset>
            </wp:positionV>
            <wp:extent cx="17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-1210310</wp:posOffset>
            </wp:positionV>
            <wp:extent cx="17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-1176020</wp:posOffset>
            </wp:positionV>
            <wp:extent cx="17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-1141730</wp:posOffset>
            </wp:positionV>
            <wp:extent cx="17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-909955</wp:posOffset>
            </wp:positionV>
            <wp:extent cx="17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-867410</wp:posOffset>
            </wp:positionV>
            <wp:extent cx="17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-833120</wp:posOffset>
            </wp:positionV>
            <wp:extent cx="17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-798830</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-764540</wp:posOffset>
            </wp:positionV>
            <wp:extent cx="17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-730250</wp:posOffset>
            </wp:positionV>
            <wp:extent cx="17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-695960</wp:posOffset>
            </wp:positionV>
            <wp:extent cx="17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-361315</wp:posOffset>
            </wp:positionV>
            <wp:extent cx="25717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Message from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Dear Shareholders,</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color w:val="00529B"/>
        </w:rPr>
        <w:t>We cordially invite you to attend Occidental’s 2023 Annual Meeting of Shareholders (2023 Annual Meeting). The meeting will be held via live webcast on Friday, May 5, 2023 at 9:00 a.m. Central Time. A meeting agenda and details follow, as well as voting instructions. You will be able to participate in the 2023 Annual Meeting online at www.virtualshareholdermeeting.com/OXY2023 and may submit questions and vote your shares electronically (other than shares held through our employee benefit plans, which must be voted prior to the meeting). The attached Notice of the 2023 Annual Meeting of Shareholders and proxy statement provide details on how to join the meeting and the business we plan to conduct.</w:t>
      </w:r>
    </w:p>
    <w:p>
      <w:pPr>
        <w:sectPr>
          <w:pgSz w:w="11900" w:h="16838" w:orient="portrait"/>
          <w:cols w:equalWidth="0" w:num="1">
            <w:col w:w="11240"/>
          </w:cols>
          <w:pgMar w:left="320" w:top="130" w:right="3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529B"/>
        </w:rPr>
        <w:t>NAVIGATING CHANGE</w:t>
      </w:r>
    </w:p>
    <w:p>
      <w:pPr>
        <w:spacing w:after="0" w:line="1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Before we review the successes Occidental achieved and the challenges the company overcame last year, we would like to take a moment to remember Steve Chazen, our former Independent Chairman, who sadly passed away in September 2022. Among his many professional accomplishments, Steve served as the President and CEO of Occidental from May 2011 to April 2016 and was a member of the Board from May 2010 to May 2017. He returned to our Board in March 2020 as the company faced a difficult macroeconomic environment at the onset of the COVID-19 pandemic. He possessed a brilliant mind and financial astuteness that guided our discussions, and a dry sense of humor that is missed in the boardroom.</w:t>
      </w:r>
    </w:p>
    <w:p>
      <w:pPr>
        <w:spacing w:after="0" w:line="119"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The Board is also appreciative of Jack Moore, who was elected to succeed Steve as Independent Chairman. Jack previously served as Independent Vice Chairman of the Board from September 2019 to September 2022 and as a member of our Board since 2016, preceded by a long and successful career in the energy industry. Under his leadership, we have continued our strong performance.</w:t>
      </w:r>
    </w:p>
    <w:p>
      <w:pPr>
        <w:spacing w:after="0" w:line="10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January 2023, the Board elected Claire O’Neill as a director. Through her prior experience as a Member of the UK Parliament, Minister for Energy and Clean Growth in the UK government, and other roles focused on sustainability and energy transition matters, we believe Claire will bring valuable expertise to our Board as Occidental continues to advance the sustainability of our businesses with complementary low-carbon initiatives along the company’s pathway to net zero. The Board also elected Ken Robinson as a director in February 2023. Ken brings over 40 years of experience in global finance and accounting, enterprise risk, ethics and compliance across several industries. Going forward, the Board will remain committed to ongoing and thoughtful refreshment to maintain an appropriate balance of tenure, backgrounds and skills on the Board.</w:t>
      </w:r>
    </w:p>
    <w:p>
      <w:pPr>
        <w:spacing w:after="0" w:line="15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color w:val="00529B"/>
        </w:rPr>
        <w:t>CAPITALIZING ON OPERATIONAL SUCCESSES AND DRIVING FINANCIAL PERFORMANCE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Occidental’s workforce performed at an exceptional level in 2022. Our employees successfully adapted to the lingering impacts of the COVID-19 pandemic, supply chain issues, inflationary pressures and the implementation of multiple permitting and other regulatory initiatives as the company returned to increased activity levels. Occidental’s Permian, Rockies, Gulf of Mexico and International oil and gas teams set new operational and productivity records last year, and OxyChem delivered record pre-tax earnings. These operational successes in part drove strong financial results for the year, which positioned us to repay more than $10.5 billion of debt in 2022 and to complete our previous $3 billion share repurchase program. With a stronger balance sheet, Occidental plans to focus on a sustainable and growing dividend for shareholders supported by an active repurchase program and continued rebalancing of the company’s enterprise value in favor of common shareholders.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860"/>
        <w:spacing w:after="0" w:line="248" w:lineRule="auto"/>
        <w:rPr>
          <w:sz w:val="20"/>
          <w:szCs w:val="20"/>
          <w:color w:val="auto"/>
        </w:rPr>
      </w:pPr>
      <w:r>
        <w:rPr>
          <w:rFonts w:ascii="Arial" w:cs="Arial" w:eastAsia="Arial" w:hAnsi="Arial"/>
          <w:sz w:val="18"/>
          <w:szCs w:val="18"/>
          <w:b w:val="1"/>
          <w:bCs w:val="1"/>
          <w:color w:val="00529B"/>
        </w:rPr>
        <w:t>LEVERAGING CARBON MANAGEMENT AND MAJOR PROJECTS EXPERTISE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Occidental continues to actively pursue its net-zero pathway for the company’s total carbon inventory of Scope 1, 2 and 3 emissions. Since we announced the net-zero plan in 2020, the company has taken important steps toward achieving the ambitious interim targets and goals it has set. For example, Occidental’s U.S. operations achieved zero routine flaring in 2022, eight years ahead of the World Bank’s 2030 target. In September 2022, Occidental began construction of its first large-scale direct air capture (DAC) plant in Ector County, Texas. We are excited to oversee the company’s net-zero strategy and low-carbon initiatives, which leverage Occidental’s 50+ years of carbon management experience with expertise in major energy infrastructure projects, and to be a part of the innovation occurring every day at the company. We are also encouraged by the passage of the Inflation Reduction Act in the U.S., which contains several enhancements to the 45Q tax credit that will incentivize the development of carbon capture projects.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529B"/>
        </w:rPr>
        <w:t>LISTENING TO SHAREHOLDER FEEDBACK</w:t>
      </w:r>
    </w:p>
    <w:p>
      <w:pPr>
        <w:spacing w:after="0" w:line="19"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Occidental proactively engaged with shareholders collectively representing a majority of shares outstanding, with independent director participation in many of these discussions. Feedback from these engagements has informed our viewpoints and decisions. We will remain committed to regular and transparent engagement with shareholders and other stakeholders. We value your views and would like to hear from you. If you would like to write to the Board, you may address your correspondence to the Board of Directors, in care of the Corporate Secretary, Occidental Petroleum Corporation, 5 Greenway Plaza, Suite 110, Houston, Texas 77046.</w:t>
      </w:r>
    </w:p>
    <w:p>
      <w:pPr>
        <w:spacing w:after="0" w:line="119"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auto"/>
        </w:rPr>
        <w:t>Thank you for your continued support of Occidental. We are grateful to serve on your behalf.</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 Behalf of Your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100965</wp:posOffset>
            </wp:positionV>
            <wp:extent cx="1645920" cy="514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459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00529B"/>
        </w:rPr>
        <w:t>JACK B. MOORE</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1500505" cy="523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0050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00529B"/>
        </w:rPr>
        <w:t>VICKI HOLLUB</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ectPr>
          <w:pgSz w:w="11900" w:h="16838" w:orient="portrait"/>
          <w:cols w:equalWidth="0" w:num="2">
            <w:col w:w="5400" w:space="440"/>
            <w:col w:w="5400"/>
          </w:cols>
          <w:pgMar w:left="320" w:top="130" w:right="3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1532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Notice of Annual Meeting of Shareholders</w:t>
      </w:r>
    </w:p>
    <w:p>
      <w:pPr>
        <w:spacing w:after="0" w:line="210"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auto"/>
        </w:rPr>
        <w:t>You are cordially invited to attend Occidental’s 2023 Annual Meeting of Shareholders (2023 Annual Meeting), to be held at 9:00 a.m. Central Time on Friday, May 5, 2023, via live webcast at www.virtualshareholdermeeting.com/OXY2023.</w:t>
      </w:r>
    </w:p>
    <w:p>
      <w:pPr>
        <w:spacing w:after="0" w:line="81" w:lineRule="exact"/>
        <w:rPr>
          <w:sz w:val="20"/>
          <w:szCs w:val="20"/>
          <w:color w:val="auto"/>
        </w:rPr>
      </w:pPr>
    </w:p>
    <w:tbl>
      <w:tblPr>
        <w:tblLayout w:type="fixed"/>
        <w:tblInd w:w="780" w:type="dxa"/>
        <w:tblCellMar>
          <w:top w:w="0" w:type="dxa"/>
          <w:left w:w="0" w:type="dxa"/>
          <w:bottom w:w="0" w:type="dxa"/>
          <w:right w:w="0" w:type="dxa"/>
        </w:tblCellMar>
      </w:tblPr>
      <w:tr>
        <w:trPr>
          <w:trHeight w:val="226"/>
        </w:trPr>
        <w:tc>
          <w:tcPr>
            <w:tcW w:w="2060" w:type="dxa"/>
            <w:vAlign w:val="bottom"/>
          </w:tcPr>
          <w:p>
            <w:pPr>
              <w:spacing w:after="0"/>
              <w:rPr>
                <w:sz w:val="20"/>
                <w:szCs w:val="20"/>
                <w:color w:val="auto"/>
              </w:rPr>
            </w:pPr>
            <w:r>
              <w:rPr>
                <w:rFonts w:ascii="Arial" w:cs="Arial" w:eastAsia="Arial" w:hAnsi="Arial"/>
                <w:sz w:val="18"/>
                <w:szCs w:val="18"/>
                <w:b w:val="1"/>
                <w:bCs w:val="1"/>
                <w:color w:val="00529B"/>
              </w:rPr>
              <w:t>DATE AND TIME</w:t>
            </w:r>
          </w:p>
        </w:tc>
        <w:tc>
          <w:tcPr>
            <w:tcW w:w="4280" w:type="dxa"/>
            <w:vAlign w:val="bottom"/>
          </w:tcPr>
          <w:p>
            <w:pPr>
              <w:ind w:left="600"/>
              <w:spacing w:after="0"/>
              <w:rPr>
                <w:sz w:val="20"/>
                <w:szCs w:val="20"/>
                <w:color w:val="auto"/>
              </w:rPr>
            </w:pPr>
            <w:r>
              <w:rPr>
                <w:rFonts w:ascii="Arial" w:cs="Arial" w:eastAsia="Arial" w:hAnsi="Arial"/>
                <w:sz w:val="18"/>
                <w:szCs w:val="18"/>
                <w:b w:val="1"/>
                <w:bCs w:val="1"/>
                <w:color w:val="00529B"/>
              </w:rPr>
              <w:t>LOCATION</w:t>
            </w:r>
          </w:p>
        </w:tc>
        <w:tc>
          <w:tcPr>
            <w:tcW w:w="3900" w:type="dxa"/>
            <w:vAlign w:val="bottom"/>
          </w:tcPr>
          <w:p>
            <w:pPr>
              <w:ind w:left="720"/>
              <w:spacing w:after="0"/>
              <w:rPr>
                <w:sz w:val="20"/>
                <w:szCs w:val="20"/>
                <w:color w:val="auto"/>
              </w:rPr>
            </w:pPr>
            <w:r>
              <w:rPr>
                <w:rFonts w:ascii="Arial" w:cs="Arial" w:eastAsia="Arial" w:hAnsi="Arial"/>
                <w:sz w:val="18"/>
                <w:szCs w:val="18"/>
                <w:b w:val="1"/>
                <w:bCs w:val="1"/>
                <w:color w:val="00529B"/>
              </w:rPr>
              <w:t>RECORD DATE</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Friday, May 5, 2023 at</w:t>
            </w:r>
          </w:p>
        </w:tc>
        <w:tc>
          <w:tcPr>
            <w:tcW w:w="4280" w:type="dxa"/>
            <w:vAlign w:val="bottom"/>
          </w:tcPr>
          <w:p>
            <w:pPr>
              <w:ind w:left="600"/>
              <w:spacing w:after="0"/>
              <w:rPr>
                <w:sz w:val="20"/>
                <w:szCs w:val="20"/>
                <w:color w:val="auto"/>
              </w:rPr>
            </w:pPr>
            <w:r>
              <w:rPr>
                <w:rFonts w:ascii="Arial" w:cs="Arial" w:eastAsia="Arial" w:hAnsi="Arial"/>
                <w:sz w:val="14"/>
                <w:szCs w:val="14"/>
                <w:color w:val="auto"/>
              </w:rPr>
              <w:t>Live webcast:</w:t>
            </w:r>
          </w:p>
        </w:tc>
        <w:tc>
          <w:tcPr>
            <w:tcW w:w="3900" w:type="dxa"/>
            <w:vAlign w:val="bottom"/>
          </w:tcPr>
          <w:p>
            <w:pPr>
              <w:ind w:left="720"/>
              <w:spacing w:after="0"/>
              <w:rPr>
                <w:sz w:val="20"/>
                <w:szCs w:val="20"/>
                <w:color w:val="auto"/>
              </w:rPr>
            </w:pPr>
            <w:r>
              <w:rPr>
                <w:rFonts w:ascii="Arial" w:cs="Arial" w:eastAsia="Arial" w:hAnsi="Arial"/>
                <w:sz w:val="14"/>
                <w:szCs w:val="14"/>
                <w:color w:val="auto"/>
              </w:rPr>
              <w:t>Each shareholder of record as of the close of</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9:00 a.m. Central Time</w:t>
            </w:r>
          </w:p>
        </w:tc>
        <w:tc>
          <w:tcPr>
            <w:tcW w:w="4280" w:type="dxa"/>
            <w:vAlign w:val="bottom"/>
          </w:tcPr>
          <w:p>
            <w:pPr>
              <w:ind w:left="600"/>
              <w:spacing w:after="0"/>
              <w:rPr>
                <w:sz w:val="20"/>
                <w:szCs w:val="20"/>
                <w:color w:val="auto"/>
              </w:rPr>
            </w:pPr>
            <w:r>
              <w:rPr>
                <w:rFonts w:ascii="Arial" w:cs="Arial" w:eastAsia="Arial" w:hAnsi="Arial"/>
                <w:sz w:val="14"/>
                <w:szCs w:val="14"/>
                <w:color w:val="auto"/>
              </w:rPr>
              <w:t>www.virtualshareholdermeeting.com/OXY2023</w:t>
            </w:r>
          </w:p>
        </w:tc>
        <w:tc>
          <w:tcPr>
            <w:tcW w:w="3900" w:type="dxa"/>
            <w:vAlign w:val="bottom"/>
          </w:tcPr>
          <w:p>
            <w:pPr>
              <w:ind w:left="720"/>
              <w:spacing w:after="0"/>
              <w:rPr>
                <w:sz w:val="20"/>
                <w:szCs w:val="20"/>
                <w:color w:val="auto"/>
              </w:rPr>
            </w:pPr>
            <w:r>
              <w:rPr>
                <w:rFonts w:ascii="Arial" w:cs="Arial" w:eastAsia="Arial" w:hAnsi="Arial"/>
                <w:sz w:val="14"/>
                <w:szCs w:val="14"/>
                <w:color w:val="auto"/>
              </w:rPr>
              <w:t>business on March 10, 2023 (the record date) is</w:t>
            </w:r>
          </w:p>
        </w:tc>
      </w:tr>
      <w:tr>
        <w:trPr>
          <w:trHeight w:val="162"/>
        </w:trPr>
        <w:tc>
          <w:tcPr>
            <w:tcW w:w="20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900" w:type="dxa"/>
            <w:vAlign w:val="bottom"/>
          </w:tcPr>
          <w:p>
            <w:pPr>
              <w:ind w:left="720"/>
              <w:spacing w:after="0"/>
              <w:rPr>
                <w:sz w:val="20"/>
                <w:szCs w:val="20"/>
                <w:color w:val="auto"/>
              </w:rPr>
            </w:pPr>
            <w:r>
              <w:rPr>
                <w:rFonts w:ascii="Arial" w:cs="Arial" w:eastAsia="Arial" w:hAnsi="Arial"/>
                <w:sz w:val="14"/>
                <w:szCs w:val="14"/>
                <w:color w:val="auto"/>
              </w:rPr>
              <w:t>entitled to receive notice of, attend and vote at the</w:t>
            </w:r>
          </w:p>
        </w:tc>
      </w:tr>
      <w:tr>
        <w:trPr>
          <w:trHeight w:val="190"/>
        </w:trPr>
        <w:tc>
          <w:tcPr>
            <w:tcW w:w="20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900" w:type="dxa"/>
            <w:vAlign w:val="bottom"/>
          </w:tcPr>
          <w:p>
            <w:pPr>
              <w:ind w:left="720"/>
              <w:spacing w:after="0"/>
              <w:rPr>
                <w:sz w:val="20"/>
                <w:szCs w:val="20"/>
                <w:color w:val="auto"/>
              </w:rPr>
            </w:pPr>
            <w:r>
              <w:rPr>
                <w:rFonts w:ascii="Arial" w:cs="Arial" w:eastAsia="Arial" w:hAnsi="Arial"/>
                <w:sz w:val="14"/>
                <w:szCs w:val="14"/>
                <w:color w:val="auto"/>
              </w:rPr>
              <w:t>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368300"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8300" cy="36004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-560070</wp:posOffset>
            </wp:positionV>
            <wp:extent cx="351155"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3429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-560070</wp:posOffset>
            </wp:positionV>
            <wp:extent cx="282575"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575" cy="34290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ITEMS OF 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At the meeting, our shareholders will be asked to act on the following matters and consider any other matters as may properly come before the meeting: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gridSpan w:val="2"/>
            <w:shd w:val="clear" w:color="auto" w:fill="00529B"/>
          </w:tcPr>
          <w:p>
            <w:pPr>
              <w:ind w:left="60"/>
              <w:spacing w:after="0"/>
              <w:rPr>
                <w:sz w:val="20"/>
                <w:szCs w:val="20"/>
                <w:color w:val="auto"/>
              </w:rPr>
            </w:pPr>
            <w:r>
              <w:rPr>
                <w:rFonts w:ascii="Arial" w:cs="Arial" w:eastAsia="Arial" w:hAnsi="Arial"/>
                <w:sz w:val="13"/>
                <w:szCs w:val="13"/>
                <w:b w:val="1"/>
                <w:bCs w:val="1"/>
                <w:color w:val="FFFFFF"/>
              </w:rPr>
              <w:t>PROPOSAL</w:t>
            </w:r>
          </w:p>
        </w:tc>
        <w:tc>
          <w:tcPr>
            <w:tcW w:w="2260" w:type="dxa"/>
            <w:vAlign w:val="bottom"/>
            <w:shd w:val="clear" w:color="auto" w:fill="00529B"/>
          </w:tcPr>
          <w:p>
            <w:pPr>
              <w:jc w:val="center"/>
              <w:ind w:left="95"/>
              <w:spacing w:after="0"/>
              <w:rPr>
                <w:sz w:val="20"/>
                <w:szCs w:val="20"/>
                <w:color w:val="auto"/>
              </w:rPr>
            </w:pPr>
            <w:r>
              <w:rPr>
                <w:rFonts w:ascii="Arial" w:cs="Arial" w:eastAsia="Arial" w:hAnsi="Arial"/>
                <w:sz w:val="13"/>
                <w:szCs w:val="13"/>
                <w:b w:val="1"/>
                <w:bCs w:val="1"/>
                <w:color w:val="FFFFFF"/>
                <w:w w:val="96"/>
              </w:rPr>
              <w:t>BOARD RECOMMENDATION</w:t>
            </w:r>
          </w:p>
        </w:tc>
        <w:tc>
          <w:tcPr>
            <w:tcW w:w="1660" w:type="dxa"/>
            <w:vAlign w:val="bottom"/>
            <w:shd w:val="clear" w:color="auto" w:fill="00529B"/>
          </w:tcPr>
          <w:p>
            <w:pPr>
              <w:ind w:left="180"/>
              <w:spacing w:after="0"/>
              <w:rPr>
                <w:sz w:val="20"/>
                <w:szCs w:val="20"/>
                <w:color w:val="auto"/>
              </w:rPr>
            </w:pPr>
            <w:r>
              <w:rPr>
                <w:rFonts w:ascii="Arial" w:cs="Arial" w:eastAsia="Arial" w:hAnsi="Arial"/>
                <w:sz w:val="13"/>
                <w:szCs w:val="13"/>
                <w:b w:val="1"/>
                <w:bCs w:val="1"/>
                <w:color w:val="FFFFFF"/>
              </w:rPr>
              <w:t>MORE INFORMATION</w:t>
            </w:r>
          </w:p>
        </w:tc>
        <w:tc>
          <w:tcPr>
            <w:tcW w:w="0" w:type="dxa"/>
            <w:vAlign w:val="bottom"/>
          </w:tcPr>
          <w:p>
            <w:pPr>
              <w:spacing w:after="0"/>
              <w:rPr>
                <w:sz w:val="1"/>
                <w:szCs w:val="1"/>
                <w:color w:val="auto"/>
              </w:rPr>
            </w:pPr>
          </w:p>
        </w:tc>
      </w:tr>
      <w:tr>
        <w:trPr>
          <w:trHeight w:val="256"/>
        </w:trPr>
        <w:tc>
          <w:tcPr>
            <w:tcW w:w="260" w:type="dxa"/>
            <w:vAlign w:val="bottom"/>
            <w:tcBorders>
              <w:bottom w:val="single" w:sz="8" w:color="D1D2D4"/>
            </w:tcBorders>
          </w:tcPr>
          <w:p>
            <w:pPr>
              <w:ind w:left="60"/>
              <w:spacing w:after="0"/>
              <w:rPr>
                <w:sz w:val="20"/>
                <w:szCs w:val="20"/>
                <w:color w:val="auto"/>
              </w:rPr>
            </w:pPr>
            <w:r>
              <w:rPr>
                <w:rFonts w:ascii="Arial" w:cs="Arial" w:eastAsia="Arial" w:hAnsi="Arial"/>
                <w:sz w:val="15"/>
                <w:szCs w:val="15"/>
                <w:b w:val="1"/>
                <w:bCs w:val="1"/>
                <w:color w:val="00529B"/>
              </w:rPr>
              <w:t>1.</w:t>
            </w:r>
          </w:p>
        </w:tc>
        <w:tc>
          <w:tcPr>
            <w:tcW w:w="7060" w:type="dxa"/>
            <w:vAlign w:val="bottom"/>
            <w:tcBorders>
              <w:bottom w:val="single" w:sz="8" w:color="D1D2D4"/>
            </w:tcBorders>
          </w:tcPr>
          <w:p>
            <w:pPr>
              <w:ind w:left="80"/>
              <w:spacing w:after="0"/>
              <w:rPr>
                <w:sz w:val="20"/>
                <w:szCs w:val="20"/>
                <w:color w:val="auto"/>
              </w:rPr>
            </w:pPr>
            <w:r>
              <w:rPr>
                <w:rFonts w:ascii="Arial" w:cs="Arial" w:eastAsia="Arial" w:hAnsi="Arial"/>
                <w:sz w:val="14"/>
                <w:szCs w:val="14"/>
                <w:color w:val="auto"/>
              </w:rPr>
              <w:t>Elect the ten directors named in the proxy statement to serve until the 2024 Annual Meeting</w:t>
            </w:r>
          </w:p>
        </w:tc>
        <w:tc>
          <w:tcPr>
            <w:tcW w:w="2260" w:type="dxa"/>
            <w:vAlign w:val="bottom"/>
            <w:tcBorders>
              <w:bottom w:val="single" w:sz="8" w:color="D1D2D4"/>
            </w:tcBorders>
          </w:tcPr>
          <w:p>
            <w:pPr>
              <w:jc w:val="center"/>
              <w:ind w:left="115"/>
              <w:spacing w:after="0"/>
              <w:rPr>
                <w:sz w:val="20"/>
                <w:szCs w:val="20"/>
                <w:color w:val="auto"/>
              </w:rPr>
            </w:pPr>
            <w:r>
              <w:rPr>
                <w:rFonts w:ascii="Arial" w:cs="Arial" w:eastAsia="Arial" w:hAnsi="Arial"/>
                <w:sz w:val="18"/>
                <w:szCs w:val="18"/>
                <w:b w:val="1"/>
                <w:bCs w:val="1"/>
                <w:color w:val="00529B"/>
                <w:w w:val="99"/>
              </w:rPr>
              <w:t>FOR</w:t>
            </w:r>
          </w:p>
        </w:tc>
        <w:tc>
          <w:tcPr>
            <w:tcW w:w="1660" w:type="dxa"/>
            <w:vAlign w:val="bottom"/>
            <w:tcBorders>
              <w:bottom w:val="single" w:sz="8" w:color="D1D2D4"/>
            </w:tcBorders>
          </w:tcPr>
          <w:p>
            <w:pPr>
              <w:ind w:left="720"/>
              <w:spacing w:after="0"/>
              <w:rPr>
                <w:sz w:val="20"/>
                <w:szCs w:val="20"/>
                <w:color w:val="auto"/>
              </w:rPr>
            </w:pPr>
            <w:r>
              <w:rPr>
                <w:rFonts w:ascii="Arial" w:cs="Arial" w:eastAsia="Arial" w:hAnsi="Arial"/>
                <w:sz w:val="15"/>
                <w:szCs w:val="15"/>
                <w:b w:val="1"/>
                <w:bCs w:val="1"/>
                <w:color w:val="auto"/>
              </w:rPr>
              <w:t>Page 14</w:t>
            </w:r>
          </w:p>
        </w:tc>
        <w:tc>
          <w:tcPr>
            <w:tcW w:w="0" w:type="dxa"/>
            <w:vAlign w:val="bottom"/>
          </w:tcPr>
          <w:p>
            <w:pPr>
              <w:spacing w:after="0"/>
              <w:rPr>
                <w:sz w:val="1"/>
                <w:szCs w:val="1"/>
                <w:color w:val="auto"/>
              </w:rPr>
            </w:pPr>
          </w:p>
        </w:tc>
      </w:tr>
      <w:tr>
        <w:trPr>
          <w:trHeight w:val="174"/>
        </w:trPr>
        <w:tc>
          <w:tcPr>
            <w:tcW w:w="260" w:type="dxa"/>
            <w:vAlign w:val="bottom"/>
          </w:tcPr>
          <w:p>
            <w:pPr>
              <w:ind w:left="60"/>
              <w:spacing w:after="0"/>
              <w:rPr>
                <w:sz w:val="20"/>
                <w:szCs w:val="20"/>
                <w:color w:val="auto"/>
              </w:rPr>
            </w:pPr>
            <w:r>
              <w:rPr>
                <w:rFonts w:ascii="Arial" w:cs="Arial" w:eastAsia="Arial" w:hAnsi="Arial"/>
                <w:sz w:val="15"/>
                <w:szCs w:val="15"/>
                <w:b w:val="1"/>
                <w:bCs w:val="1"/>
                <w:color w:val="00529B"/>
              </w:rPr>
              <w:t>2.</w:t>
            </w:r>
          </w:p>
        </w:tc>
        <w:tc>
          <w:tcPr>
            <w:tcW w:w="7060" w:type="dxa"/>
            <w:vAlign w:val="bottom"/>
          </w:tcPr>
          <w:p>
            <w:pPr>
              <w:ind w:left="80"/>
              <w:spacing w:after="0"/>
              <w:rPr>
                <w:sz w:val="20"/>
                <w:szCs w:val="20"/>
                <w:color w:val="auto"/>
              </w:rPr>
            </w:pPr>
            <w:r>
              <w:rPr>
                <w:rFonts w:ascii="Arial" w:cs="Arial" w:eastAsia="Arial" w:hAnsi="Arial"/>
                <w:sz w:val="14"/>
                <w:szCs w:val="14"/>
                <w:color w:val="auto"/>
              </w:rPr>
              <w:t>Approve the frequency of future advisory votes to approve named executive officer compensation, on an</w:t>
            </w:r>
          </w:p>
        </w:tc>
        <w:tc>
          <w:tcPr>
            <w:tcW w:w="2260" w:type="dxa"/>
            <w:vAlign w:val="bottom"/>
            <w:vMerge w:val="restart"/>
          </w:tcPr>
          <w:p>
            <w:pPr>
              <w:jc w:val="center"/>
              <w:ind w:left="95"/>
              <w:spacing w:after="0"/>
              <w:rPr>
                <w:sz w:val="20"/>
                <w:szCs w:val="20"/>
                <w:color w:val="auto"/>
              </w:rPr>
            </w:pPr>
            <w:r>
              <w:rPr>
                <w:rFonts w:ascii="Arial" w:cs="Arial" w:eastAsia="Arial" w:hAnsi="Arial"/>
                <w:sz w:val="18"/>
                <w:szCs w:val="18"/>
                <w:b w:val="1"/>
                <w:bCs w:val="1"/>
                <w:color w:val="00529B"/>
                <w:w w:val="97"/>
              </w:rPr>
              <w:t>ONE YEAR</w:t>
            </w:r>
          </w:p>
        </w:tc>
        <w:tc>
          <w:tcPr>
            <w:tcW w:w="166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Page 35</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7060" w:type="dxa"/>
            <w:vAlign w:val="bottom"/>
            <w:vMerge w:val="restart"/>
          </w:tcPr>
          <w:p>
            <w:pPr>
              <w:ind w:left="80"/>
              <w:spacing w:after="0"/>
              <w:rPr>
                <w:sz w:val="20"/>
                <w:szCs w:val="20"/>
                <w:color w:val="auto"/>
              </w:rPr>
            </w:pPr>
            <w:r>
              <w:rPr>
                <w:rFonts w:ascii="Arial" w:cs="Arial" w:eastAsia="Arial" w:hAnsi="Arial"/>
                <w:sz w:val="14"/>
                <w:szCs w:val="14"/>
                <w:color w:val="auto"/>
              </w:rPr>
              <w:t>advisory basis</w:t>
            </w:r>
          </w:p>
        </w:tc>
        <w:tc>
          <w:tcPr>
            <w:tcW w:w="22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60" w:type="dxa"/>
            <w:vAlign w:val="bottom"/>
            <w:tcBorders>
              <w:bottom w:val="single" w:sz="8" w:color="D1D2D4"/>
            </w:tcBorders>
          </w:tcPr>
          <w:p>
            <w:pPr>
              <w:spacing w:after="0"/>
              <w:rPr>
                <w:sz w:val="5"/>
                <w:szCs w:val="5"/>
                <w:color w:val="auto"/>
              </w:rPr>
            </w:pPr>
          </w:p>
        </w:tc>
        <w:tc>
          <w:tcPr>
            <w:tcW w:w="7060" w:type="dxa"/>
            <w:vAlign w:val="bottom"/>
            <w:tcBorders>
              <w:bottom w:val="single" w:sz="8" w:color="D1D2D4"/>
            </w:tcBorders>
            <w:vMerge w:val="continue"/>
          </w:tcPr>
          <w:p>
            <w:pPr>
              <w:spacing w:after="0"/>
              <w:rPr>
                <w:sz w:val="5"/>
                <w:szCs w:val="5"/>
                <w:color w:val="auto"/>
              </w:rPr>
            </w:pPr>
          </w:p>
        </w:tc>
        <w:tc>
          <w:tcPr>
            <w:tcW w:w="2260" w:type="dxa"/>
            <w:vAlign w:val="bottom"/>
            <w:tcBorders>
              <w:bottom w:val="single" w:sz="8" w:color="D1D2D4"/>
            </w:tcBorders>
          </w:tcPr>
          <w:p>
            <w:pPr>
              <w:spacing w:after="0"/>
              <w:rPr>
                <w:sz w:val="5"/>
                <w:szCs w:val="5"/>
                <w:color w:val="auto"/>
              </w:rPr>
            </w:pPr>
          </w:p>
        </w:tc>
        <w:tc>
          <w:tcPr>
            <w:tcW w:w="1660" w:type="dxa"/>
            <w:vAlign w:val="bottom"/>
            <w:tcBorders>
              <w:bottom w:val="single" w:sz="8" w:color="D1D2D4"/>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60" w:type="dxa"/>
            <w:vAlign w:val="bottom"/>
            <w:tcBorders>
              <w:bottom w:val="single" w:sz="8" w:color="D1D2D4"/>
            </w:tcBorders>
          </w:tcPr>
          <w:p>
            <w:pPr>
              <w:ind w:left="60"/>
              <w:spacing w:after="0"/>
              <w:rPr>
                <w:sz w:val="20"/>
                <w:szCs w:val="20"/>
                <w:color w:val="auto"/>
              </w:rPr>
            </w:pPr>
            <w:r>
              <w:rPr>
                <w:rFonts w:ascii="Arial" w:cs="Arial" w:eastAsia="Arial" w:hAnsi="Arial"/>
                <w:sz w:val="15"/>
                <w:szCs w:val="15"/>
                <w:b w:val="1"/>
                <w:bCs w:val="1"/>
                <w:color w:val="00529B"/>
              </w:rPr>
              <w:t>3.</w:t>
            </w:r>
          </w:p>
        </w:tc>
        <w:tc>
          <w:tcPr>
            <w:tcW w:w="7060" w:type="dxa"/>
            <w:vAlign w:val="bottom"/>
            <w:tcBorders>
              <w:bottom w:val="single" w:sz="8" w:color="D1D2D4"/>
            </w:tcBorders>
          </w:tcPr>
          <w:p>
            <w:pPr>
              <w:ind w:left="80"/>
              <w:spacing w:after="0"/>
              <w:rPr>
                <w:sz w:val="20"/>
                <w:szCs w:val="20"/>
                <w:color w:val="auto"/>
              </w:rPr>
            </w:pPr>
            <w:r>
              <w:rPr>
                <w:rFonts w:ascii="Arial" w:cs="Arial" w:eastAsia="Arial" w:hAnsi="Arial"/>
                <w:sz w:val="14"/>
                <w:szCs w:val="14"/>
                <w:color w:val="auto"/>
              </w:rPr>
              <w:t>Approve, on an advisory basis, named executive officer compensation</w:t>
            </w:r>
          </w:p>
        </w:tc>
        <w:tc>
          <w:tcPr>
            <w:tcW w:w="2260" w:type="dxa"/>
            <w:vAlign w:val="bottom"/>
            <w:tcBorders>
              <w:bottom w:val="single" w:sz="8" w:color="D1D2D4"/>
            </w:tcBorders>
          </w:tcPr>
          <w:p>
            <w:pPr>
              <w:jc w:val="center"/>
              <w:ind w:left="115"/>
              <w:spacing w:after="0"/>
              <w:rPr>
                <w:sz w:val="20"/>
                <w:szCs w:val="20"/>
                <w:color w:val="auto"/>
              </w:rPr>
            </w:pPr>
            <w:r>
              <w:rPr>
                <w:rFonts w:ascii="Arial" w:cs="Arial" w:eastAsia="Arial" w:hAnsi="Arial"/>
                <w:sz w:val="18"/>
                <w:szCs w:val="18"/>
                <w:b w:val="1"/>
                <w:bCs w:val="1"/>
                <w:color w:val="00529B"/>
                <w:w w:val="99"/>
              </w:rPr>
              <w:t>FOR</w:t>
            </w:r>
          </w:p>
        </w:tc>
        <w:tc>
          <w:tcPr>
            <w:tcW w:w="1660" w:type="dxa"/>
            <w:vAlign w:val="bottom"/>
            <w:tcBorders>
              <w:bottom w:val="single" w:sz="8" w:color="D1D2D4"/>
            </w:tcBorders>
          </w:tcPr>
          <w:p>
            <w:pPr>
              <w:ind w:left="720"/>
              <w:spacing w:after="0"/>
              <w:rPr>
                <w:sz w:val="20"/>
                <w:szCs w:val="20"/>
                <w:color w:val="auto"/>
              </w:rPr>
            </w:pPr>
            <w:r>
              <w:rPr>
                <w:rFonts w:ascii="Arial" w:cs="Arial" w:eastAsia="Arial" w:hAnsi="Arial"/>
                <w:sz w:val="15"/>
                <w:szCs w:val="15"/>
                <w:b w:val="1"/>
                <w:bCs w:val="1"/>
                <w:color w:val="auto"/>
              </w:rPr>
              <w:t>Page 36</w:t>
            </w:r>
          </w:p>
        </w:tc>
        <w:tc>
          <w:tcPr>
            <w:tcW w:w="0" w:type="dxa"/>
            <w:vAlign w:val="bottom"/>
          </w:tcPr>
          <w:p>
            <w:pPr>
              <w:spacing w:after="0"/>
              <w:rPr>
                <w:sz w:val="1"/>
                <w:szCs w:val="1"/>
                <w:color w:val="auto"/>
              </w:rPr>
            </w:pPr>
          </w:p>
        </w:tc>
      </w:tr>
      <w:tr>
        <w:trPr>
          <w:trHeight w:val="250"/>
        </w:trPr>
        <w:tc>
          <w:tcPr>
            <w:tcW w:w="260" w:type="dxa"/>
            <w:vAlign w:val="bottom"/>
            <w:tcBorders>
              <w:bottom w:val="single" w:sz="8" w:color="D1D2D4"/>
            </w:tcBorders>
          </w:tcPr>
          <w:p>
            <w:pPr>
              <w:ind w:left="60"/>
              <w:spacing w:after="0"/>
              <w:rPr>
                <w:sz w:val="20"/>
                <w:szCs w:val="20"/>
                <w:color w:val="auto"/>
              </w:rPr>
            </w:pPr>
            <w:r>
              <w:rPr>
                <w:rFonts w:ascii="Arial" w:cs="Arial" w:eastAsia="Arial" w:hAnsi="Arial"/>
                <w:sz w:val="15"/>
                <w:szCs w:val="15"/>
                <w:b w:val="1"/>
                <w:bCs w:val="1"/>
                <w:color w:val="00529B"/>
              </w:rPr>
              <w:t>4.</w:t>
            </w:r>
          </w:p>
        </w:tc>
        <w:tc>
          <w:tcPr>
            <w:tcW w:w="7060" w:type="dxa"/>
            <w:vAlign w:val="bottom"/>
            <w:tcBorders>
              <w:bottom w:val="single" w:sz="8" w:color="D1D2D4"/>
            </w:tcBorders>
          </w:tcPr>
          <w:p>
            <w:pPr>
              <w:ind w:left="80"/>
              <w:spacing w:after="0"/>
              <w:rPr>
                <w:sz w:val="20"/>
                <w:szCs w:val="20"/>
                <w:color w:val="auto"/>
              </w:rPr>
            </w:pPr>
            <w:r>
              <w:rPr>
                <w:rFonts w:ascii="Arial" w:cs="Arial" w:eastAsia="Arial" w:hAnsi="Arial"/>
                <w:sz w:val="14"/>
                <w:szCs w:val="14"/>
                <w:color w:val="auto"/>
              </w:rPr>
              <w:t>Ratify the selection of KPMG as Occidental’s independent auditor</w:t>
            </w:r>
          </w:p>
        </w:tc>
        <w:tc>
          <w:tcPr>
            <w:tcW w:w="2260" w:type="dxa"/>
            <w:vAlign w:val="bottom"/>
            <w:tcBorders>
              <w:bottom w:val="single" w:sz="8" w:color="D1D2D4"/>
            </w:tcBorders>
          </w:tcPr>
          <w:p>
            <w:pPr>
              <w:jc w:val="center"/>
              <w:ind w:left="115"/>
              <w:spacing w:after="0"/>
              <w:rPr>
                <w:sz w:val="20"/>
                <w:szCs w:val="20"/>
                <w:color w:val="auto"/>
              </w:rPr>
            </w:pPr>
            <w:r>
              <w:rPr>
                <w:rFonts w:ascii="Arial" w:cs="Arial" w:eastAsia="Arial" w:hAnsi="Arial"/>
                <w:sz w:val="18"/>
                <w:szCs w:val="18"/>
                <w:b w:val="1"/>
                <w:bCs w:val="1"/>
                <w:color w:val="00529B"/>
                <w:w w:val="99"/>
              </w:rPr>
              <w:t>FOR</w:t>
            </w:r>
          </w:p>
        </w:tc>
        <w:tc>
          <w:tcPr>
            <w:tcW w:w="1660" w:type="dxa"/>
            <w:vAlign w:val="bottom"/>
            <w:tcBorders>
              <w:bottom w:val="single" w:sz="8" w:color="D1D2D4"/>
            </w:tcBorders>
          </w:tcPr>
          <w:p>
            <w:pPr>
              <w:ind w:left="720"/>
              <w:spacing w:after="0"/>
              <w:rPr>
                <w:sz w:val="20"/>
                <w:szCs w:val="20"/>
                <w:color w:val="auto"/>
              </w:rPr>
            </w:pPr>
            <w:r>
              <w:rPr>
                <w:rFonts w:ascii="Arial" w:cs="Arial" w:eastAsia="Arial" w:hAnsi="Arial"/>
                <w:sz w:val="15"/>
                <w:szCs w:val="15"/>
                <w:b w:val="1"/>
                <w:bCs w:val="1"/>
                <w:color w:val="auto"/>
              </w:rPr>
              <w:t>Page 79</w:t>
            </w:r>
          </w:p>
        </w:tc>
        <w:tc>
          <w:tcPr>
            <w:tcW w:w="0" w:type="dxa"/>
            <w:vAlign w:val="bottom"/>
          </w:tcPr>
          <w:p>
            <w:pPr>
              <w:spacing w:after="0"/>
              <w:rPr>
                <w:sz w:val="1"/>
                <w:szCs w:val="1"/>
                <w:color w:val="auto"/>
              </w:rPr>
            </w:pPr>
          </w:p>
        </w:tc>
      </w:tr>
      <w:tr>
        <w:trPr>
          <w:trHeight w:val="258"/>
        </w:trPr>
        <w:tc>
          <w:tcPr>
            <w:tcW w:w="260" w:type="dxa"/>
            <w:vAlign w:val="bottom"/>
            <w:tcBorders>
              <w:bottom w:val="single" w:sz="8" w:color="00519B"/>
            </w:tcBorders>
          </w:tcPr>
          <w:p>
            <w:pPr>
              <w:ind w:left="60"/>
              <w:spacing w:after="0"/>
              <w:rPr>
                <w:sz w:val="20"/>
                <w:szCs w:val="20"/>
                <w:color w:val="auto"/>
              </w:rPr>
            </w:pPr>
            <w:r>
              <w:rPr>
                <w:rFonts w:ascii="Arial" w:cs="Arial" w:eastAsia="Arial" w:hAnsi="Arial"/>
                <w:sz w:val="15"/>
                <w:szCs w:val="15"/>
                <w:b w:val="1"/>
                <w:bCs w:val="1"/>
                <w:color w:val="00529B"/>
              </w:rPr>
              <w:t>5.</w:t>
            </w:r>
          </w:p>
        </w:tc>
        <w:tc>
          <w:tcPr>
            <w:tcW w:w="7060" w:type="dxa"/>
            <w:vAlign w:val="bottom"/>
            <w:tcBorders>
              <w:bottom w:val="single" w:sz="8" w:color="00519B"/>
            </w:tcBorders>
          </w:tcPr>
          <w:p>
            <w:pPr>
              <w:ind w:left="80"/>
              <w:spacing w:after="0"/>
              <w:rPr>
                <w:sz w:val="20"/>
                <w:szCs w:val="20"/>
                <w:color w:val="auto"/>
              </w:rPr>
            </w:pPr>
            <w:r>
              <w:rPr>
                <w:rFonts w:ascii="Arial" w:cs="Arial" w:eastAsia="Arial" w:hAnsi="Arial"/>
                <w:sz w:val="14"/>
                <w:szCs w:val="14"/>
                <w:color w:val="auto"/>
              </w:rPr>
              <w:t>Act on a shareholder proposal requesting an Independent Board Chairman Policy, if properly presented</w:t>
            </w:r>
          </w:p>
        </w:tc>
        <w:tc>
          <w:tcPr>
            <w:tcW w:w="2260" w:type="dxa"/>
            <w:vAlign w:val="bottom"/>
            <w:tcBorders>
              <w:bottom w:val="single" w:sz="8" w:color="00519B"/>
            </w:tcBorders>
          </w:tcPr>
          <w:p>
            <w:pPr>
              <w:jc w:val="center"/>
              <w:ind w:left="95"/>
              <w:spacing w:after="0"/>
              <w:rPr>
                <w:sz w:val="20"/>
                <w:szCs w:val="20"/>
                <w:color w:val="auto"/>
              </w:rPr>
            </w:pPr>
            <w:r>
              <w:rPr>
                <w:rFonts w:ascii="Arial" w:cs="Arial" w:eastAsia="Arial" w:hAnsi="Arial"/>
                <w:sz w:val="18"/>
                <w:szCs w:val="18"/>
                <w:b w:val="1"/>
                <w:bCs w:val="1"/>
                <w:color w:val="B5121B"/>
                <w:w w:val="98"/>
              </w:rPr>
              <w:t>AGAINST</w:t>
            </w:r>
          </w:p>
        </w:tc>
        <w:tc>
          <w:tcPr>
            <w:tcW w:w="1660" w:type="dxa"/>
            <w:vAlign w:val="bottom"/>
            <w:tcBorders>
              <w:bottom w:val="single" w:sz="8" w:color="00519B"/>
            </w:tcBorders>
          </w:tcPr>
          <w:p>
            <w:pPr>
              <w:ind w:left="720"/>
              <w:spacing w:after="0"/>
              <w:rPr>
                <w:sz w:val="20"/>
                <w:szCs w:val="20"/>
                <w:color w:val="auto"/>
              </w:rPr>
            </w:pPr>
            <w:r>
              <w:rPr>
                <w:rFonts w:ascii="Arial" w:cs="Arial" w:eastAsia="Arial" w:hAnsi="Arial"/>
                <w:sz w:val="15"/>
                <w:szCs w:val="15"/>
                <w:b w:val="1"/>
                <w:bCs w:val="1"/>
                <w:color w:val="auto"/>
              </w:rPr>
              <w:t>Page 81</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and Attendance</w:t>
      </w:r>
    </w:p>
    <w:p>
      <w:pPr>
        <w:spacing w:after="0" w:line="150"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A Notice of Internet Availability (NOIA) or proxy card is being mailed beginning on March 23, 2023 to each shareholder of record as of the record date. Shareholders of record as of the record date will be able to attend the 2023 Annual Meeting via live webcast, view the list of our shareholders of record, vote and submit questions during the meeting by visiting www.virtualshareholdermeeting.com/OXY2023. To participate in the Annual Meeting, shareholders of record must enter the 16-digit control number that appears on their proxy card. If shareholders hold their shares in street name and their voting instruction form indicates that they may vote those shares through the http://www.proxyvote.com website, then they may join the 2023 Annual Meeting with the 16-digit access code indicated on that voting instruction form. Otherwise, shareholders who hold their shares in street name should contact their bank, broker or other nominee (preferably at least five days before the 2023 Annual Meeting) and obtain a “legal proxy” in order to be able to join the 2023 Annual Meeting. Please see “Questions and Answers about the Annual Meeting and Voting” beginning on page 86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HOW TO VOTE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Your vote is extremely important. Regardless of whether or not you plan to attend the 2023 Annual Meeting, we encourage you to vote using any of the methods listed below.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This will ensure that your shares are represented and will save Occidental additional expenses of soliciting proxies.</w:t>
      </w:r>
    </w:p>
    <w:p>
      <w:pPr>
        <w:sectPr>
          <w:pgSz w:w="11900" w:h="16838" w:orient="portrait"/>
          <w:cols w:equalWidth="0" w:num="1">
            <w:col w:w="11240"/>
          </w:cols>
          <w:pgMar w:left="320" w:top="130" w:right="33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20"/>
                <w:szCs w:val="20"/>
                <w:color w:val="auto"/>
              </w:rPr>
            </w:pPr>
            <w:r>
              <w:rPr>
                <w:rFonts w:ascii="Arial" w:cs="Arial" w:eastAsia="Arial" w:hAnsi="Arial"/>
                <w:sz w:val="15"/>
                <w:szCs w:val="15"/>
                <w:b w:val="1"/>
                <w:bCs w:val="1"/>
                <w:color w:val="00529B"/>
              </w:rPr>
              <w:t>INTERNET</w:t>
            </w:r>
          </w:p>
        </w:tc>
        <w:tc>
          <w:tcPr>
            <w:tcW w:w="2560" w:type="dxa"/>
            <w:vAlign w:val="bottom"/>
          </w:tcPr>
          <w:p>
            <w:pPr>
              <w:ind w:left="300"/>
              <w:spacing w:after="0"/>
              <w:rPr>
                <w:sz w:val="20"/>
                <w:szCs w:val="20"/>
                <w:color w:val="auto"/>
              </w:rPr>
            </w:pPr>
            <w:r>
              <w:rPr>
                <w:rFonts w:ascii="Arial" w:cs="Arial" w:eastAsia="Arial" w:hAnsi="Arial"/>
                <w:sz w:val="15"/>
                <w:szCs w:val="15"/>
                <w:b w:val="1"/>
                <w:bCs w:val="1"/>
                <w:color w:val="00529B"/>
              </w:rPr>
              <w:t>CALL</w:t>
            </w: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Online using your smartphone or</w:t>
            </w:r>
          </w:p>
        </w:tc>
        <w:tc>
          <w:tcPr>
            <w:tcW w:w="2560" w:type="dxa"/>
            <w:vAlign w:val="bottom"/>
          </w:tcPr>
          <w:p>
            <w:pPr>
              <w:ind w:left="300"/>
              <w:spacing w:after="0"/>
              <w:rPr>
                <w:sz w:val="20"/>
                <w:szCs w:val="20"/>
                <w:color w:val="auto"/>
              </w:rPr>
            </w:pPr>
            <w:r>
              <w:rPr>
                <w:rFonts w:ascii="Arial" w:cs="Arial" w:eastAsia="Arial" w:hAnsi="Arial"/>
                <w:sz w:val="14"/>
                <w:szCs w:val="14"/>
                <w:color w:val="auto"/>
              </w:rPr>
              <w:t>By telephone call to the toll-free</w:t>
            </w: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computer at the website listed on the</w:t>
            </w:r>
          </w:p>
        </w:tc>
        <w:tc>
          <w:tcPr>
            <w:tcW w:w="2560" w:type="dxa"/>
            <w:vAlign w:val="bottom"/>
          </w:tcPr>
          <w:p>
            <w:pPr>
              <w:ind w:left="300"/>
              <w:spacing w:after="0"/>
              <w:rPr>
                <w:sz w:val="20"/>
                <w:szCs w:val="20"/>
                <w:color w:val="auto"/>
              </w:rPr>
            </w:pPr>
            <w:r>
              <w:rPr>
                <w:rFonts w:ascii="Arial" w:cs="Arial" w:eastAsia="Arial" w:hAnsi="Arial"/>
                <w:sz w:val="14"/>
                <w:szCs w:val="14"/>
                <w:color w:val="auto"/>
              </w:rPr>
              <w:t>number listed on your proxy card or</w:t>
            </w: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NOIA, proxy card or voting instruction</w:t>
            </w:r>
          </w:p>
        </w:tc>
        <w:tc>
          <w:tcPr>
            <w:tcW w:w="2560" w:type="dxa"/>
            <w:vAlign w:val="bottom"/>
          </w:tcPr>
          <w:p>
            <w:pPr>
              <w:ind w:left="300"/>
              <w:spacing w:after="0"/>
              <w:rPr>
                <w:sz w:val="20"/>
                <w:szCs w:val="20"/>
                <w:color w:val="auto"/>
              </w:rPr>
            </w:pPr>
            <w:r>
              <w:rPr>
                <w:rFonts w:ascii="Arial" w:cs="Arial" w:eastAsia="Arial" w:hAnsi="Arial"/>
                <w:sz w:val="14"/>
                <w:szCs w:val="14"/>
                <w:color w:val="auto"/>
              </w:rPr>
              <w:t>voting instruction form</w:t>
            </w:r>
          </w:p>
        </w:tc>
      </w:tr>
      <w:tr>
        <w:trPr>
          <w:trHeight w:val="190"/>
        </w:trPr>
        <w:tc>
          <w:tcPr>
            <w:tcW w:w="2720" w:type="dxa"/>
            <w:vAlign w:val="bottom"/>
          </w:tcPr>
          <w:p>
            <w:pPr>
              <w:spacing w:after="0"/>
              <w:rPr>
                <w:sz w:val="20"/>
                <w:szCs w:val="20"/>
                <w:color w:val="auto"/>
              </w:rPr>
            </w:pPr>
            <w:r>
              <w:rPr>
                <w:rFonts w:ascii="Arial" w:cs="Arial" w:eastAsia="Arial" w:hAnsi="Arial"/>
                <w:sz w:val="14"/>
                <w:szCs w:val="14"/>
                <w:color w:val="auto"/>
              </w:rPr>
              <w:t>form</w:t>
            </w:r>
          </w:p>
        </w:tc>
        <w:tc>
          <w:tcPr>
            <w:tcW w:w="25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-525780</wp:posOffset>
            </wp:positionV>
            <wp:extent cx="17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-28575</wp:posOffset>
            </wp:positionV>
            <wp:extent cx="17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-499745</wp:posOffset>
            </wp:positionV>
            <wp:extent cx="17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-465455</wp:posOffset>
            </wp:positionV>
            <wp:extent cx="17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-431165</wp:posOffset>
            </wp:positionV>
            <wp:extent cx="17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-396875</wp:posOffset>
            </wp:positionV>
            <wp:extent cx="17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-362585</wp:posOffset>
            </wp:positionV>
            <wp:extent cx="17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-328295</wp:posOffset>
            </wp:positionV>
            <wp:extent cx="17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-294005</wp:posOffset>
            </wp:positionV>
            <wp:extent cx="17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-259715</wp:posOffset>
            </wp:positionV>
            <wp:extent cx="17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-225425</wp:posOffset>
            </wp:positionV>
            <wp:extent cx="17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-191135</wp:posOffset>
            </wp:positionV>
            <wp:extent cx="17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-156845</wp:posOffset>
            </wp:positionV>
            <wp:extent cx="17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-122555</wp:posOffset>
            </wp:positionV>
            <wp:extent cx="17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-88265</wp:posOffset>
            </wp:positionV>
            <wp:extent cx="17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-53975</wp:posOffset>
            </wp:positionV>
            <wp:extent cx="17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95" w:lineRule="exact"/>
        <w:rPr>
          <w:sz w:val="20"/>
          <w:szCs w:val="20"/>
          <w:color w:val="auto"/>
        </w:rPr>
      </w:pPr>
    </w:p>
    <w:p>
      <w:pPr>
        <w:ind w:right="1120"/>
        <w:spacing w:after="0" w:line="256" w:lineRule="auto"/>
        <w:rPr>
          <w:sz w:val="20"/>
          <w:szCs w:val="20"/>
          <w:color w:val="auto"/>
        </w:rPr>
      </w:pPr>
      <w:r>
        <w:rPr>
          <w:rFonts w:ascii="Arial" w:cs="Arial" w:eastAsia="Arial" w:hAnsi="Arial"/>
          <w:sz w:val="14"/>
          <w:szCs w:val="14"/>
          <w:color w:val="auto"/>
        </w:rPr>
        <w:t>If you have any questions or require any assistance in voting your shares, please contact Alliance Advisors, Occidental’s proxy solicitor, toll-free at 844-885-0175 or by email at oxy@allianceadvisors.com.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-429895</wp:posOffset>
            </wp:positionV>
            <wp:extent cx="548640" cy="565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864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529B"/>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-96520</wp:posOffset>
            </wp:positionV>
            <wp:extent cx="17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-71120</wp:posOffset>
            </wp:positionV>
            <wp:extent cx="17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-36830</wp:posOffset>
            </wp:positionV>
            <wp:extent cx="17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-2540</wp:posOffset>
            </wp:positionV>
            <wp:extent cx="17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line="249" w:lineRule="auto"/>
        <w:rPr>
          <w:sz w:val="20"/>
          <w:szCs w:val="20"/>
          <w:color w:val="auto"/>
        </w:rPr>
      </w:pPr>
      <w:r>
        <w:rPr>
          <w:rFonts w:ascii="Arial" w:cs="Arial" w:eastAsia="Arial" w:hAnsi="Arial"/>
          <w:sz w:val="14"/>
          <w:szCs w:val="14"/>
          <w:color w:val="auto"/>
        </w:rPr>
        <w:t>Completing, signing and returning your proxy card or voting instruction form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-32385</wp:posOffset>
            </wp:positionV>
            <wp:extent cx="17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-400685</wp:posOffset>
            </wp:positionV>
            <wp:extent cx="17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-366395</wp:posOffset>
            </wp:positionV>
            <wp:extent cx="17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-332105</wp:posOffset>
            </wp:positionV>
            <wp:extent cx="17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-297815</wp:posOffset>
            </wp:positionV>
            <wp:extent cx="17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-263525</wp:posOffset>
            </wp:positionV>
            <wp:extent cx="17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-229235</wp:posOffset>
            </wp:positionV>
            <wp:extent cx="17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-194945</wp:posOffset>
            </wp:positionV>
            <wp:extent cx="17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-160655</wp:posOffset>
            </wp:positionV>
            <wp:extent cx="17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-126365</wp:posOffset>
            </wp:positionV>
            <wp:extent cx="17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-92075</wp:posOffset>
            </wp:positionV>
            <wp:extent cx="17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-57785</wp:posOffset>
            </wp:positionV>
            <wp:extent cx="17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60274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0274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529B"/>
        </w:rPr>
        <w:t>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-96520</wp:posOffset>
            </wp:positionV>
            <wp:extent cx="171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-71120</wp:posOffset>
            </wp:positionV>
            <wp:extent cx="17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-36830</wp:posOffset>
            </wp:positionV>
            <wp:extent cx="17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-2540</wp:posOffset>
            </wp:positionV>
            <wp:extent cx="17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4"/>
          <w:szCs w:val="14"/>
          <w:color w:val="auto"/>
        </w:rPr>
        <w:t>If you plan to participate in the 2023 Annual Meeting via the live webcast, you may vote online during the meeting using your smartphone or computer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-32385</wp:posOffset>
            </wp:positionV>
            <wp:extent cx="17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-400685</wp:posOffset>
            </wp:positionV>
            <wp:extent cx="17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-366395</wp:posOffset>
            </wp:positionV>
            <wp:extent cx="17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-332105</wp:posOffset>
            </wp:positionV>
            <wp:extent cx="17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-297815</wp:posOffset>
            </wp:positionV>
            <wp:extent cx="17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-263525</wp:posOffset>
            </wp:positionV>
            <wp:extent cx="17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-229235</wp:posOffset>
            </wp:positionV>
            <wp:extent cx="17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-194945</wp:posOffset>
            </wp:positionV>
            <wp:extent cx="17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-160655</wp:posOffset>
            </wp:positionV>
            <wp:extent cx="17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-126365</wp:posOffset>
            </wp:positionV>
            <wp:extent cx="171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-92075</wp:posOffset>
            </wp:positionV>
            <wp:extent cx="171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-57785</wp:posOffset>
            </wp:positionV>
            <wp:extent cx="171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3">
            <w:col w:w="5280" w:space="440"/>
            <w:col w:w="2380" w:space="540"/>
            <w:col w:w="2600"/>
          </w:cols>
          <w:pgMar w:left="320" w:top="130" w:right="339" w:bottom="1440" w:gutter="0" w:footer="0" w:header="0"/>
          <w:type w:val="continuous"/>
        </w:sectPr>
      </w:pPr>
    </w:p>
    <w:p>
      <w:pPr>
        <w:spacing w:after="0" w:line="21"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00529B"/>
        </w:rPr>
        <w:t>NICOLE E. CLARK</w:t>
      </w:r>
    </w:p>
    <w:p>
      <w:pPr>
        <w:ind w:left="5720"/>
        <w:spacing w:after="0" w:line="233" w:lineRule="auto"/>
        <w:rPr>
          <w:sz w:val="20"/>
          <w:szCs w:val="20"/>
          <w:color w:val="auto"/>
        </w:rPr>
      </w:pPr>
      <w:r>
        <w:rPr>
          <w:rFonts w:ascii="Arial" w:cs="Arial" w:eastAsia="Arial" w:hAnsi="Arial"/>
          <w:sz w:val="15"/>
          <w:szCs w:val="15"/>
          <w:color w:val="auto"/>
        </w:rPr>
        <w:t>Vice President, Deputy General Counsel and Corporate Secretary</w:t>
      </w:r>
    </w:p>
    <w:p>
      <w:pPr>
        <w:ind w:left="5720"/>
        <w:spacing w:after="0"/>
        <w:rPr>
          <w:sz w:val="20"/>
          <w:szCs w:val="20"/>
          <w:color w:val="auto"/>
        </w:rPr>
      </w:pPr>
      <w:r>
        <w:rPr>
          <w:rFonts w:ascii="Arial" w:cs="Arial" w:eastAsia="Arial" w:hAnsi="Arial"/>
          <w:sz w:val="15"/>
          <w:szCs w:val="15"/>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532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1240"/>
          </w:cols>
          <w:pgMar w:left="320" w:top="130" w:right="3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Message from the Board of Directors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97"/>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Notice of Annual Meeting of Shareholders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97"/>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Proxy Statement Summary</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58"/>
        </w:trPr>
        <w:tc>
          <w:tcPr>
            <w:tcW w:w="4920" w:type="dxa"/>
            <w:vAlign w:val="bottom"/>
            <w:gridSpan w:val="2"/>
          </w:tcPr>
          <w:p>
            <w:pPr>
              <w:spacing w:after="0"/>
              <w:rPr>
                <w:sz w:val="20"/>
                <w:szCs w:val="20"/>
                <w:color w:val="auto"/>
              </w:rPr>
            </w:pPr>
            <w:r>
              <w:rPr>
                <w:rFonts w:ascii="Arial" w:cs="Arial" w:eastAsia="Arial" w:hAnsi="Arial"/>
                <w:sz w:val="15"/>
                <w:szCs w:val="15"/>
                <w:b w:val="1"/>
                <w:bCs w:val="1"/>
                <w:color w:val="auto"/>
              </w:rPr>
              <w:t>Environmental and Sustainability</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5"/>
                <w:szCs w:val="15"/>
                <w:b w:val="1"/>
                <w:bCs w:val="1"/>
                <w:color w:val="auto"/>
              </w:rPr>
              <w:t>Human Capital Resources</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79"/>
        </w:trPr>
        <w:tc>
          <w:tcPr>
            <w:tcW w:w="1260" w:type="dxa"/>
            <w:vAlign w:val="bottom"/>
            <w:tcBorders>
              <w:bottom w:val="single" w:sz="8" w:color="00519B"/>
            </w:tcBorders>
          </w:tcPr>
          <w:p>
            <w:pPr>
              <w:spacing w:after="0"/>
              <w:rPr>
                <w:sz w:val="6"/>
                <w:szCs w:val="6"/>
                <w:color w:val="auto"/>
              </w:rPr>
            </w:pPr>
          </w:p>
        </w:tc>
        <w:tc>
          <w:tcPr>
            <w:tcW w:w="3660" w:type="dxa"/>
            <w:vAlign w:val="bottom"/>
            <w:tcBorders>
              <w:bottom w:val="single" w:sz="8" w:color="00519B"/>
            </w:tcBorders>
          </w:tcPr>
          <w:p>
            <w:pPr>
              <w:spacing w:after="0"/>
              <w:rPr>
                <w:sz w:val="6"/>
                <w:szCs w:val="6"/>
                <w:color w:val="auto"/>
              </w:rPr>
            </w:pPr>
          </w:p>
        </w:tc>
        <w:tc>
          <w:tcPr>
            <w:tcW w:w="480" w:type="dxa"/>
            <w:vAlign w:val="bottom"/>
            <w:tcBorders>
              <w:bottom w:val="single" w:sz="8" w:color="00519B"/>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260" w:type="dxa"/>
            <w:vAlign w:val="bottom"/>
            <w:shd w:val="clear" w:color="auto" w:fill="00519B"/>
          </w:tcPr>
          <w:p>
            <w:pPr>
              <w:ind w:left="120"/>
              <w:spacing w:after="0"/>
              <w:rPr>
                <w:sz w:val="20"/>
                <w:szCs w:val="20"/>
                <w:color w:val="auto"/>
              </w:rPr>
            </w:pPr>
            <w:r>
              <w:rPr>
                <w:rFonts w:ascii="Arial" w:cs="Arial" w:eastAsia="Arial" w:hAnsi="Arial"/>
                <w:sz w:val="16"/>
                <w:szCs w:val="16"/>
                <w:b w:val="1"/>
                <w:bCs w:val="1"/>
                <w:color w:val="FFFFFF"/>
              </w:rPr>
              <w:t>PROPOSAL 1</w:t>
            </w:r>
          </w:p>
        </w:tc>
        <w:tc>
          <w:tcPr>
            <w:tcW w:w="3660" w:type="dxa"/>
            <w:vAlign w:val="bottom"/>
          </w:tcPr>
          <w:p>
            <w:pPr>
              <w:spacing w:after="0"/>
              <w:rPr>
                <w:sz w:val="22"/>
                <w:szCs w:val="2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14</w:t>
            </w:r>
          </w:p>
        </w:tc>
        <w:tc>
          <w:tcPr>
            <w:tcW w:w="0" w:type="dxa"/>
            <w:vAlign w:val="bottom"/>
          </w:tcPr>
          <w:p>
            <w:pPr>
              <w:spacing w:after="0"/>
              <w:rPr>
                <w:sz w:val="1"/>
                <w:szCs w:val="1"/>
                <w:color w:val="auto"/>
              </w:rPr>
            </w:pPr>
          </w:p>
        </w:tc>
      </w:tr>
      <w:tr>
        <w:trPr>
          <w:trHeight w:val="263"/>
        </w:trPr>
        <w:tc>
          <w:tcPr>
            <w:tcW w:w="4920" w:type="dxa"/>
            <w:vAlign w:val="bottom"/>
            <w:gridSpan w:val="2"/>
          </w:tcPr>
          <w:p>
            <w:pPr>
              <w:spacing w:after="0"/>
              <w:rPr>
                <w:sz w:val="20"/>
                <w:szCs w:val="20"/>
                <w:color w:val="auto"/>
              </w:rPr>
            </w:pPr>
            <w:r>
              <w:rPr>
                <w:rFonts w:ascii="Arial" w:cs="Arial" w:eastAsia="Arial" w:hAnsi="Arial"/>
                <w:sz w:val="16"/>
                <w:szCs w:val="16"/>
                <w:b w:val="1"/>
                <w:bCs w:val="1"/>
                <w:color w:val="00529B"/>
              </w:rPr>
              <w:t>ELECTION OF DIRECTORS</w:t>
            </w: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Director Nominations</w:t>
            </w:r>
          </w:p>
        </w:tc>
        <w:tc>
          <w:tcPr>
            <w:tcW w:w="48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About the Director Nominees</w:t>
            </w:r>
          </w:p>
        </w:tc>
        <w:tc>
          <w:tcPr>
            <w:tcW w:w="48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49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Summary of the Board’s Director Nominee Core Competencies</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0"/>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and Composition Highlights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Corporate Governance</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74"/>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Corporate Governance Highlights</w:t>
            </w:r>
          </w:p>
        </w:tc>
        <w:tc>
          <w:tcPr>
            <w:tcW w:w="48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Board Evaluation Process</w:t>
            </w:r>
          </w:p>
        </w:tc>
        <w:tc>
          <w:tcPr>
            <w:tcW w:w="48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Director Selection and Recruitment</w:t>
            </w:r>
          </w:p>
        </w:tc>
        <w:tc>
          <w:tcPr>
            <w:tcW w:w="48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Board of Directors and its Committees</w:t>
            </w:r>
          </w:p>
        </w:tc>
        <w:tc>
          <w:tcPr>
            <w:tcW w:w="48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Director Engagement</w:t>
            </w:r>
          </w:p>
        </w:tc>
        <w:tc>
          <w:tcPr>
            <w:tcW w:w="48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Shareholder Engagement</w:t>
            </w:r>
          </w:p>
        </w:tc>
        <w:tc>
          <w:tcPr>
            <w:tcW w:w="48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49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Communications with Directors</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0"/>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Other Governance Matters</w:t>
            </w:r>
          </w:p>
        </w:tc>
        <w:tc>
          <w:tcPr>
            <w:tcW w:w="48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309"/>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Non-Employee Director Compensation</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47"/>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Director Compensation Program</w:t>
            </w:r>
          </w:p>
        </w:tc>
        <w:tc>
          <w:tcPr>
            <w:tcW w:w="48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0"/>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Director Compensation Table</w:t>
            </w:r>
          </w:p>
        </w:tc>
        <w:tc>
          <w:tcPr>
            <w:tcW w:w="48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00"/>
        </w:trPr>
        <w:tc>
          <w:tcPr>
            <w:tcW w:w="4920" w:type="dxa"/>
            <w:vAlign w:val="bottom"/>
            <w:tcBorders>
              <w:bottom w:val="single" w:sz="8" w:color="00519B"/>
            </w:tcBorders>
            <w:gridSpan w:val="2"/>
          </w:tcPr>
          <w:p>
            <w:pPr>
              <w:spacing w:after="0"/>
              <w:rPr>
                <w:sz w:val="8"/>
                <w:szCs w:val="8"/>
                <w:color w:val="auto"/>
              </w:rPr>
            </w:pPr>
          </w:p>
        </w:tc>
        <w:tc>
          <w:tcPr>
            <w:tcW w:w="480" w:type="dxa"/>
            <w:vAlign w:val="bottom"/>
            <w:tcBorders>
              <w:bottom w:val="single" w:sz="8" w:color="00519B"/>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00519B"/>
          </w:tcPr>
          <w:p>
            <w:pPr>
              <w:ind w:left="120"/>
              <w:spacing w:after="0"/>
              <w:rPr>
                <w:sz w:val="20"/>
                <w:szCs w:val="20"/>
                <w:color w:val="auto"/>
              </w:rPr>
            </w:pPr>
            <w:r>
              <w:rPr>
                <w:rFonts w:ascii="Arial" w:cs="Arial" w:eastAsia="Arial" w:hAnsi="Arial"/>
                <w:sz w:val="16"/>
                <w:szCs w:val="16"/>
                <w:b w:val="1"/>
                <w:bCs w:val="1"/>
                <w:color w:val="FFFFFF"/>
              </w:rPr>
              <w:t>PROPOSAL 2</w:t>
            </w:r>
          </w:p>
        </w:tc>
        <w:tc>
          <w:tcPr>
            <w:tcW w:w="3660" w:type="dxa"/>
            <w:vAlign w:val="bottom"/>
          </w:tcPr>
          <w:p>
            <w:pPr>
              <w:spacing w:after="0"/>
              <w:rPr>
                <w:sz w:val="21"/>
                <w:szCs w:val="2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35</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Arial" w:cs="Arial" w:eastAsia="Arial" w:hAnsi="Arial"/>
                <w:sz w:val="16"/>
                <w:szCs w:val="16"/>
                <w:b w:val="1"/>
                <w:bCs w:val="1"/>
                <w:color w:val="00529B"/>
              </w:rPr>
              <w:t>ADVISORY VOTE ON THE FREQUENCY OF FUTURE</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spacing w:after="0"/>
              <w:rPr>
                <w:sz w:val="20"/>
                <w:szCs w:val="20"/>
                <w:color w:val="auto"/>
              </w:rPr>
            </w:pPr>
            <w:r>
              <w:rPr>
                <w:rFonts w:ascii="Arial" w:cs="Arial" w:eastAsia="Arial" w:hAnsi="Arial"/>
                <w:sz w:val="16"/>
                <w:szCs w:val="16"/>
                <w:b w:val="1"/>
                <w:bCs w:val="1"/>
                <w:color w:val="00529B"/>
              </w:rPr>
              <w:t>ADVISORY VOTES TO APPROVE EXECUTIVE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6"/>
                <w:szCs w:val="16"/>
                <w:b w:val="1"/>
                <w:bCs w:val="1"/>
                <w:color w:val="00529B"/>
              </w:rPr>
              <w:t>COMPENSATION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020" w:type="dxa"/>
            <w:vAlign w:val="bottom"/>
            <w:gridSpan w:val="3"/>
          </w:tcPr>
          <w:p>
            <w:pPr>
              <w:spacing w:after="0"/>
              <w:rPr>
                <w:sz w:val="20"/>
                <w:szCs w:val="20"/>
                <w:color w:val="auto"/>
              </w:rPr>
            </w:pPr>
            <w:r>
              <w:rPr>
                <w:rFonts w:ascii="Arial" w:cs="Arial" w:eastAsia="Arial" w:hAnsi="Arial"/>
                <w:sz w:val="16"/>
                <w:szCs w:val="16"/>
                <w:b w:val="1"/>
                <w:bCs w:val="1"/>
                <w:color w:val="auto"/>
              </w:rPr>
              <w:t>Executive Compensation Tables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Summary Compensation</w:t>
            </w:r>
          </w:p>
        </w:tc>
        <w:tc>
          <w:tcPr>
            <w:tcW w:w="38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Grants of Plan-Based Awards</w:t>
            </w:r>
          </w:p>
        </w:tc>
        <w:tc>
          <w:tcPr>
            <w:tcW w:w="38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Outstanding Equity Awards</w:t>
            </w:r>
          </w:p>
        </w:tc>
        <w:tc>
          <w:tcPr>
            <w:tcW w:w="38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Stock Vested in 2022</w:t>
            </w:r>
          </w:p>
        </w:tc>
        <w:tc>
          <w:tcPr>
            <w:tcW w:w="38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Nonqualified Deferred Compensation</w:t>
            </w:r>
          </w:p>
        </w:tc>
        <w:tc>
          <w:tcPr>
            <w:tcW w:w="38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Executive Severance and Change in Control</w:t>
            </w:r>
          </w:p>
        </w:tc>
        <w:tc>
          <w:tcPr>
            <w:tcW w:w="380" w:type="dxa"/>
            <w:vAlign w:val="bottom"/>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Potential Payments upon Termination or Change in Control</w:t>
            </w:r>
          </w:p>
        </w:tc>
        <w:tc>
          <w:tcPr>
            <w:tcW w:w="38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Payments to Former Officer</w:t>
            </w:r>
          </w:p>
        </w:tc>
        <w:tc>
          <w:tcPr>
            <w:tcW w:w="380" w:type="dxa"/>
            <w:vAlign w:val="bottom"/>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309"/>
        </w:trPr>
        <w:tc>
          <w:tcPr>
            <w:tcW w:w="5020" w:type="dxa"/>
            <w:vAlign w:val="bottom"/>
            <w:gridSpan w:val="3"/>
          </w:tcPr>
          <w:p>
            <w:pPr>
              <w:spacing w:after="0"/>
              <w:rPr>
                <w:sz w:val="20"/>
                <w:szCs w:val="20"/>
                <w:color w:val="auto"/>
              </w:rPr>
            </w:pPr>
            <w:r>
              <w:rPr>
                <w:rFonts w:ascii="Arial" w:cs="Arial" w:eastAsia="Arial" w:hAnsi="Arial"/>
                <w:sz w:val="16"/>
                <w:szCs w:val="16"/>
                <w:b w:val="1"/>
                <w:bCs w:val="1"/>
                <w:color w:val="auto"/>
              </w:rPr>
              <w:t>Pay Ratio</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311"/>
        </w:trPr>
        <w:tc>
          <w:tcPr>
            <w:tcW w:w="5020" w:type="dxa"/>
            <w:vAlign w:val="bottom"/>
            <w:gridSpan w:val="3"/>
          </w:tcPr>
          <w:p>
            <w:pPr>
              <w:spacing w:after="0"/>
              <w:rPr>
                <w:sz w:val="20"/>
                <w:szCs w:val="20"/>
                <w:color w:val="auto"/>
              </w:rPr>
            </w:pPr>
            <w:r>
              <w:rPr>
                <w:rFonts w:ascii="Arial" w:cs="Arial" w:eastAsia="Arial" w:hAnsi="Arial"/>
                <w:sz w:val="16"/>
                <w:szCs w:val="16"/>
                <w:b w:val="1"/>
                <w:bCs w:val="1"/>
                <w:color w:val="auto"/>
              </w:rPr>
              <w:t>Pay vs. Performance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Financial Performance Measures</w:t>
            </w:r>
          </w:p>
        </w:tc>
        <w:tc>
          <w:tcPr>
            <w:tcW w:w="3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2"/>
          </w:tcPr>
          <w:p>
            <w:pPr>
              <w:ind w:left="340"/>
              <w:spacing w:after="0" w:line="162" w:lineRule="exact"/>
              <w:rPr>
                <w:sz w:val="20"/>
                <w:szCs w:val="20"/>
                <w:color w:val="auto"/>
              </w:rPr>
            </w:pPr>
            <w:r>
              <w:rPr>
                <w:rFonts w:ascii="Arial" w:cs="Arial" w:eastAsia="Arial" w:hAnsi="Arial"/>
                <w:sz w:val="15"/>
                <w:szCs w:val="15"/>
                <w:color w:val="auto"/>
              </w:rPr>
              <w:t>Analysis of the Information Presented in the Pay versus</w:t>
            </w:r>
          </w:p>
        </w:tc>
        <w:tc>
          <w:tcPr>
            <w:tcW w:w="380" w:type="dxa"/>
            <w:vAlign w:val="bottom"/>
          </w:tcPr>
          <w:p>
            <w:pPr>
              <w:jc w:val="right"/>
              <w:spacing w:after="0" w:line="162"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Performance Table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tcBorders>
              <w:bottom w:val="single" w:sz="8" w:color="00519B"/>
            </w:tcBorders>
          </w:tcPr>
          <w:p>
            <w:pPr>
              <w:spacing w:after="0"/>
              <w:rPr>
                <w:sz w:val="12"/>
                <w:szCs w:val="12"/>
                <w:color w:val="auto"/>
              </w:rPr>
            </w:pPr>
          </w:p>
        </w:tc>
        <w:tc>
          <w:tcPr>
            <w:tcW w:w="3760" w:type="dxa"/>
            <w:vAlign w:val="bottom"/>
            <w:tcBorders>
              <w:bottom w:val="single" w:sz="8" w:color="00519B"/>
            </w:tcBorders>
          </w:tcPr>
          <w:p>
            <w:pPr>
              <w:spacing w:after="0"/>
              <w:rPr>
                <w:sz w:val="12"/>
                <w:szCs w:val="12"/>
                <w:color w:val="auto"/>
              </w:rPr>
            </w:pPr>
          </w:p>
        </w:tc>
        <w:tc>
          <w:tcPr>
            <w:tcW w:w="380" w:type="dxa"/>
            <w:vAlign w:val="bottom"/>
            <w:tcBorders>
              <w:bottom w:val="single" w:sz="8" w:color="00519B"/>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shd w:val="clear" w:color="auto" w:fill="00519B"/>
          </w:tcPr>
          <w:p>
            <w:pPr>
              <w:ind w:left="100"/>
              <w:spacing w:after="0"/>
              <w:rPr>
                <w:sz w:val="20"/>
                <w:szCs w:val="20"/>
                <w:color w:val="auto"/>
              </w:rPr>
            </w:pPr>
            <w:r>
              <w:rPr>
                <w:rFonts w:ascii="Arial" w:cs="Arial" w:eastAsia="Arial" w:hAnsi="Arial"/>
                <w:sz w:val="16"/>
                <w:szCs w:val="16"/>
                <w:b w:val="1"/>
                <w:bCs w:val="1"/>
                <w:color w:val="FFFFFF"/>
              </w:rPr>
              <w:t>PROPOSAL 4</w:t>
            </w:r>
          </w:p>
        </w:tc>
        <w:tc>
          <w:tcPr>
            <w:tcW w:w="3760" w:type="dxa"/>
            <w:vAlign w:val="bottom"/>
          </w:tcPr>
          <w:p>
            <w:pPr>
              <w:spacing w:after="0"/>
              <w:rPr>
                <w:sz w:val="21"/>
                <w:szCs w:val="2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79</w:t>
            </w:r>
          </w:p>
        </w:tc>
        <w:tc>
          <w:tcPr>
            <w:tcW w:w="0" w:type="dxa"/>
            <w:vAlign w:val="bottom"/>
          </w:tcPr>
          <w:p>
            <w:pPr>
              <w:spacing w:after="0"/>
              <w:rPr>
                <w:sz w:val="1"/>
                <w:szCs w:val="1"/>
                <w:color w:val="auto"/>
              </w:rPr>
            </w:pPr>
          </w:p>
        </w:tc>
      </w:tr>
      <w:tr>
        <w:trPr>
          <w:trHeight w:val="229"/>
        </w:trPr>
        <w:tc>
          <w:tcPr>
            <w:tcW w:w="5020" w:type="dxa"/>
            <w:vAlign w:val="bottom"/>
            <w:gridSpan w:val="3"/>
          </w:tcPr>
          <w:p>
            <w:pPr>
              <w:spacing w:after="0"/>
              <w:rPr>
                <w:sz w:val="20"/>
                <w:szCs w:val="20"/>
                <w:color w:val="auto"/>
              </w:rPr>
            </w:pPr>
            <w:r>
              <w:rPr>
                <w:rFonts w:ascii="Arial" w:cs="Arial" w:eastAsia="Arial" w:hAnsi="Arial"/>
                <w:sz w:val="16"/>
                <w:szCs w:val="16"/>
                <w:b w:val="1"/>
                <w:bCs w:val="1"/>
                <w:color w:val="00529B"/>
              </w:rPr>
              <w:t>RATIFICATION OF SELECTION OF KPMG AS OCCIDENTAL’S</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3"/>
          </w:tcPr>
          <w:p>
            <w:pPr>
              <w:spacing w:after="0"/>
              <w:rPr>
                <w:sz w:val="20"/>
                <w:szCs w:val="20"/>
                <w:color w:val="auto"/>
              </w:rPr>
            </w:pPr>
            <w:r>
              <w:rPr>
                <w:rFonts w:ascii="Arial" w:cs="Arial" w:eastAsia="Arial" w:hAnsi="Arial"/>
                <w:sz w:val="16"/>
                <w:szCs w:val="16"/>
                <w:b w:val="1"/>
                <w:bCs w:val="1"/>
                <w:color w:val="00529B"/>
              </w:rPr>
              <w:t>INDEPENDENT AUDITOR</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Audit Related Matters</w:t>
            </w:r>
          </w:p>
        </w:tc>
        <w:tc>
          <w:tcPr>
            <w:tcW w:w="3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Ratification of Selection of Independent Auditor</w:t>
            </w:r>
          </w:p>
        </w:tc>
        <w:tc>
          <w:tcPr>
            <w:tcW w:w="38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Report of the Audit Committee</w:t>
            </w:r>
          </w:p>
        </w:tc>
        <w:tc>
          <w:tcPr>
            <w:tcW w:w="38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00" w:type="dxa"/>
            <w:vAlign w:val="bottom"/>
            <w:tcBorders>
              <w:bottom w:val="single" w:sz="8" w:color="00519B"/>
            </w:tcBorders>
            <w:gridSpan w:val="2"/>
          </w:tcPr>
          <w:p>
            <w:pPr>
              <w:spacing w:after="0"/>
              <w:rPr>
                <w:sz w:val="12"/>
                <w:szCs w:val="12"/>
                <w:color w:val="auto"/>
              </w:rPr>
            </w:pPr>
          </w:p>
        </w:tc>
        <w:tc>
          <w:tcPr>
            <w:tcW w:w="380" w:type="dxa"/>
            <w:vAlign w:val="bottom"/>
            <w:tcBorders>
              <w:bottom w:val="single" w:sz="8" w:color="00519B"/>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shd w:val="clear" w:color="auto" w:fill="B5111B"/>
          </w:tcPr>
          <w:p>
            <w:pPr>
              <w:ind w:left="100"/>
              <w:spacing w:after="0"/>
              <w:rPr>
                <w:sz w:val="20"/>
                <w:szCs w:val="20"/>
                <w:color w:val="auto"/>
              </w:rPr>
            </w:pPr>
            <w:r>
              <w:rPr>
                <w:rFonts w:ascii="Arial" w:cs="Arial" w:eastAsia="Arial" w:hAnsi="Arial"/>
                <w:sz w:val="16"/>
                <w:szCs w:val="16"/>
                <w:b w:val="1"/>
                <w:bCs w:val="1"/>
                <w:color w:val="FFFFFF"/>
              </w:rPr>
              <w:t>PROPOSAL 5</w:t>
            </w:r>
          </w:p>
        </w:tc>
        <w:tc>
          <w:tcPr>
            <w:tcW w:w="3760" w:type="dxa"/>
            <w:vAlign w:val="bottom"/>
          </w:tcPr>
          <w:p>
            <w:pPr>
              <w:spacing w:after="0"/>
              <w:rPr>
                <w:sz w:val="21"/>
                <w:szCs w:val="2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81</w:t>
            </w:r>
          </w:p>
        </w:tc>
        <w:tc>
          <w:tcPr>
            <w:tcW w:w="0" w:type="dxa"/>
            <w:vAlign w:val="bottom"/>
          </w:tcPr>
          <w:p>
            <w:pPr>
              <w:spacing w:after="0"/>
              <w:rPr>
                <w:sz w:val="1"/>
                <w:szCs w:val="1"/>
                <w:color w:val="auto"/>
              </w:rPr>
            </w:pPr>
          </w:p>
        </w:tc>
      </w:tr>
      <w:tr>
        <w:trPr>
          <w:trHeight w:val="229"/>
        </w:trPr>
        <w:tc>
          <w:tcPr>
            <w:tcW w:w="5020" w:type="dxa"/>
            <w:vAlign w:val="bottom"/>
            <w:gridSpan w:val="3"/>
          </w:tcPr>
          <w:p>
            <w:pPr>
              <w:spacing w:after="0"/>
              <w:rPr>
                <w:sz w:val="20"/>
                <w:szCs w:val="20"/>
                <w:color w:val="auto"/>
              </w:rPr>
            </w:pPr>
            <w:r>
              <w:rPr>
                <w:rFonts w:ascii="Arial" w:cs="Arial" w:eastAsia="Arial" w:hAnsi="Arial"/>
                <w:sz w:val="16"/>
                <w:szCs w:val="16"/>
                <w:b w:val="1"/>
                <w:bCs w:val="1"/>
                <w:color w:val="00529B"/>
              </w:rPr>
              <w:t>SHAREHOLDER PROPOSAL REQUESTING AN INDEPENDENT</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3"/>
          </w:tcPr>
          <w:p>
            <w:pPr>
              <w:spacing w:after="0"/>
              <w:rPr>
                <w:sz w:val="20"/>
                <w:szCs w:val="20"/>
                <w:color w:val="auto"/>
              </w:rPr>
            </w:pPr>
            <w:r>
              <w:rPr>
                <w:rFonts w:ascii="Arial" w:cs="Arial" w:eastAsia="Arial" w:hAnsi="Arial"/>
                <w:sz w:val="16"/>
                <w:szCs w:val="16"/>
                <w:b w:val="1"/>
                <w:bCs w:val="1"/>
                <w:color w:val="00529B"/>
              </w:rPr>
              <w:t>BOARD CHAIRMAN POLICY</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The Board of Directors’ Statement in Opposition</w:t>
            </w:r>
          </w:p>
        </w:tc>
        <w:tc>
          <w:tcPr>
            <w:tcW w:w="38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309"/>
        </w:trPr>
        <w:tc>
          <w:tcPr>
            <w:tcW w:w="5020" w:type="dxa"/>
            <w:vAlign w:val="bottom"/>
            <w:gridSpan w:val="3"/>
          </w:tcPr>
          <w:p>
            <w:pPr>
              <w:spacing w:after="0"/>
              <w:rPr>
                <w:sz w:val="20"/>
                <w:szCs w:val="20"/>
                <w:color w:val="auto"/>
              </w:rPr>
            </w:pPr>
            <w:r>
              <w:rPr>
                <w:rFonts w:ascii="Arial" w:cs="Arial" w:eastAsia="Arial" w:hAnsi="Arial"/>
                <w:sz w:val="16"/>
                <w:szCs w:val="16"/>
                <w:b w:val="1"/>
                <w:bCs w:val="1"/>
                <w:color w:val="auto"/>
              </w:rPr>
              <w:t>Security Ownership</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000" w:type="dxa"/>
            <w:vAlign w:val="bottom"/>
            <w:gridSpan w:val="2"/>
          </w:tcPr>
          <w:p>
            <w:pPr>
              <w:ind w:left="340"/>
              <w:spacing w:after="0"/>
              <w:rPr>
                <w:sz w:val="20"/>
                <w:szCs w:val="20"/>
                <w:color w:val="auto"/>
              </w:rPr>
            </w:pPr>
            <w:r>
              <w:rPr>
                <w:rFonts w:ascii="Arial" w:cs="Arial" w:eastAsia="Arial" w:hAnsi="Arial"/>
                <w:sz w:val="15"/>
                <w:szCs w:val="15"/>
                <w:color w:val="auto"/>
              </w:rPr>
              <w:t>Certain Beneficial Owners and Management</w:t>
            </w:r>
          </w:p>
        </w:tc>
        <w:tc>
          <w:tcPr>
            <w:tcW w:w="38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2">
            <w:col w:w="5400" w:space="440"/>
            <w:col w:w="5400"/>
          </w:cols>
          <w:pgMar w:left="320" w:top="130" w:right="339" w:bottom="1440" w:gutter="0" w:footer="0" w:header="0"/>
          <w:type w:val="continuous"/>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60" w:type="dxa"/>
            <w:vAlign w:val="bottom"/>
            <w:shd w:val="clear" w:color="auto" w:fill="00519B"/>
          </w:tcPr>
          <w:p>
            <w:pPr>
              <w:ind w:left="120"/>
              <w:spacing w:after="0"/>
              <w:rPr>
                <w:sz w:val="20"/>
                <w:szCs w:val="20"/>
                <w:color w:val="auto"/>
              </w:rPr>
            </w:pPr>
            <w:r>
              <w:rPr>
                <w:rFonts w:ascii="Arial" w:cs="Arial" w:eastAsia="Arial" w:hAnsi="Arial"/>
                <w:sz w:val="16"/>
                <w:szCs w:val="16"/>
                <w:b w:val="1"/>
                <w:bCs w:val="1"/>
                <w:color w:val="FFFFFF"/>
              </w:rPr>
              <w:t>PROPOSAL 3</w:t>
            </w:r>
          </w:p>
        </w:tc>
        <w:tc>
          <w:tcPr>
            <w:tcW w:w="3660" w:type="dxa"/>
            <w:vAlign w:val="bottom"/>
          </w:tcPr>
          <w:p>
            <w:pPr>
              <w:spacing w:after="0"/>
              <w:rPr>
                <w:sz w:val="22"/>
                <w:szCs w:val="2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36</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Arial" w:cs="Arial" w:eastAsia="Arial" w:hAnsi="Arial"/>
                <w:sz w:val="16"/>
                <w:szCs w:val="16"/>
                <w:b w:val="1"/>
                <w:bCs w:val="1"/>
                <w:color w:val="00529B"/>
              </w:rPr>
              <w:t>ADVISORY VOTE TO APPROVE NAMED EXECUTIVE</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6"/>
                <w:szCs w:val="16"/>
                <w:b w:val="1"/>
                <w:bCs w:val="1"/>
                <w:color w:val="00529B"/>
              </w:rPr>
              <w:t>OFFICER COMPENSATION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Compensation Discussion and Analysis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60"/>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Executive Summary</w:t>
            </w:r>
          </w:p>
        </w:tc>
        <w:tc>
          <w:tcPr>
            <w:tcW w:w="48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Objectives of the Executive Compensation Program</w:t>
            </w:r>
          </w:p>
        </w:tc>
        <w:tc>
          <w:tcPr>
            <w:tcW w:w="48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Governance Features of the Executive Compensation Program</w:t>
            </w:r>
          </w:p>
        </w:tc>
        <w:tc>
          <w:tcPr>
            <w:tcW w:w="48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Overview of the 2022 Executive Compensation Program</w:t>
            </w:r>
          </w:p>
        </w:tc>
        <w:tc>
          <w:tcPr>
            <w:tcW w:w="48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Compensation Program Emphasizes Performance</w:t>
            </w:r>
          </w:p>
        </w:tc>
        <w:tc>
          <w:tcPr>
            <w:tcW w:w="48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Say-on-Pay Vote</w:t>
            </w:r>
          </w:p>
        </w:tc>
        <w:tc>
          <w:tcPr>
            <w:tcW w:w="48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62"/>
        </w:trPr>
        <w:tc>
          <w:tcPr>
            <w:tcW w:w="49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Participants in the Executive Compensation Decision-Making</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Process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Elements of the 2022 Compensation Program</w:t>
            </w:r>
          </w:p>
        </w:tc>
        <w:tc>
          <w:tcPr>
            <w:tcW w:w="48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Other Compensation and Benefits</w:t>
            </w:r>
          </w:p>
        </w:tc>
        <w:tc>
          <w:tcPr>
            <w:tcW w:w="48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Individual Compensation Considerations</w:t>
            </w:r>
          </w:p>
        </w:tc>
        <w:tc>
          <w:tcPr>
            <w:tcW w:w="48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Additional Compensation Policies and Practices</w:t>
            </w:r>
          </w:p>
        </w:tc>
        <w:tc>
          <w:tcPr>
            <w:tcW w:w="48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Risk Assessment of Compensation Policies and Practices</w:t>
            </w:r>
          </w:p>
        </w:tc>
        <w:tc>
          <w:tcPr>
            <w:tcW w:w="48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0"/>
        </w:trPr>
        <w:tc>
          <w:tcPr>
            <w:tcW w:w="4920" w:type="dxa"/>
            <w:vAlign w:val="bottom"/>
            <w:gridSpan w:val="2"/>
          </w:tcPr>
          <w:p>
            <w:pPr>
              <w:ind w:left="360"/>
              <w:spacing w:after="0"/>
              <w:rPr>
                <w:sz w:val="20"/>
                <w:szCs w:val="20"/>
                <w:color w:val="auto"/>
              </w:rPr>
            </w:pPr>
            <w:r>
              <w:rPr>
                <w:rFonts w:ascii="Arial" w:cs="Arial" w:eastAsia="Arial" w:hAnsi="Arial"/>
                <w:sz w:val="15"/>
                <w:szCs w:val="15"/>
                <w:color w:val="auto"/>
              </w:rPr>
              <w:t>Compensation Committee Report</w:t>
            </w:r>
          </w:p>
        </w:tc>
        <w:tc>
          <w:tcPr>
            <w:tcW w:w="48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-2404110</wp:posOffset>
            </wp:positionV>
            <wp:extent cx="34201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20"/>
                <w:szCs w:val="20"/>
                <w:color w:val="auto"/>
              </w:rPr>
            </w:pPr>
            <w:r>
              <w:rPr>
                <w:rFonts w:ascii="Arial" w:cs="Arial" w:eastAsia="Arial" w:hAnsi="Arial"/>
                <w:sz w:val="16"/>
                <w:szCs w:val="16"/>
                <w:b w:val="1"/>
                <w:bCs w:val="1"/>
                <w:color w:val="auto"/>
              </w:rPr>
              <w:t>Questions and Answers about the Annual Meeting and Voting</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86</w:t>
            </w:r>
          </w:p>
        </w:tc>
      </w:tr>
      <w:tr>
        <w:trPr>
          <w:trHeight w:val="304"/>
        </w:trPr>
        <w:tc>
          <w:tcPr>
            <w:tcW w:w="4980" w:type="dxa"/>
            <w:vAlign w:val="bottom"/>
          </w:tcPr>
          <w:p>
            <w:pPr>
              <w:spacing w:after="0"/>
              <w:rPr>
                <w:sz w:val="20"/>
                <w:szCs w:val="20"/>
                <w:color w:val="auto"/>
              </w:rPr>
            </w:pPr>
            <w:r>
              <w:rPr>
                <w:rFonts w:ascii="Arial" w:cs="Arial" w:eastAsia="Arial" w:hAnsi="Arial"/>
                <w:sz w:val="16"/>
                <w:szCs w:val="16"/>
                <w:b w:val="1"/>
                <w:bCs w:val="1"/>
                <w:color w:val="auto"/>
              </w:rPr>
              <w:t>General Information</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r>
        <w:trPr>
          <w:trHeight w:val="274"/>
        </w:trPr>
        <w:tc>
          <w:tcPr>
            <w:tcW w:w="4980" w:type="dxa"/>
            <w:vAlign w:val="bottom"/>
          </w:tcPr>
          <w:p>
            <w:pPr>
              <w:ind w:left="360"/>
              <w:spacing w:after="0"/>
              <w:rPr>
                <w:sz w:val="20"/>
                <w:szCs w:val="20"/>
                <w:color w:val="auto"/>
              </w:rPr>
            </w:pPr>
            <w:r>
              <w:rPr>
                <w:rFonts w:ascii="Arial" w:cs="Arial" w:eastAsia="Arial" w:hAnsi="Arial"/>
                <w:sz w:val="15"/>
                <w:szCs w:val="15"/>
                <w:color w:val="auto"/>
              </w:rPr>
              <w:t>Information Available Online</w:t>
            </w:r>
          </w:p>
        </w:tc>
        <w:tc>
          <w:tcPr>
            <w:tcW w:w="4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62"/>
        </w:trPr>
        <w:tc>
          <w:tcPr>
            <w:tcW w:w="4980" w:type="dxa"/>
            <w:vAlign w:val="bottom"/>
          </w:tcPr>
          <w:p>
            <w:pPr>
              <w:ind w:left="360"/>
              <w:spacing w:after="0" w:line="162" w:lineRule="exact"/>
              <w:rPr>
                <w:sz w:val="20"/>
                <w:szCs w:val="20"/>
                <w:color w:val="auto"/>
              </w:rPr>
            </w:pPr>
            <w:r>
              <w:rPr>
                <w:rFonts w:ascii="Arial" w:cs="Arial" w:eastAsia="Arial" w:hAnsi="Arial"/>
                <w:sz w:val="15"/>
                <w:szCs w:val="15"/>
                <w:color w:val="auto"/>
              </w:rPr>
              <w:t>Important Notice Regarding the Availability of Proxy Materials for</w:t>
            </w: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89</w:t>
            </w:r>
          </w:p>
        </w:tc>
      </w:tr>
      <w:tr>
        <w:trPr>
          <w:trHeight w:val="189"/>
        </w:trPr>
        <w:tc>
          <w:tcPr>
            <w:tcW w:w="4980" w:type="dxa"/>
            <w:vAlign w:val="bottom"/>
          </w:tcPr>
          <w:p>
            <w:pPr>
              <w:ind w:left="360"/>
              <w:spacing w:after="0"/>
              <w:rPr>
                <w:sz w:val="20"/>
                <w:szCs w:val="20"/>
                <w:color w:val="auto"/>
              </w:rPr>
            </w:pPr>
            <w:r>
              <w:rPr>
                <w:rFonts w:ascii="Arial" w:cs="Arial" w:eastAsia="Arial" w:hAnsi="Arial"/>
                <w:sz w:val="15"/>
                <w:szCs w:val="15"/>
                <w:color w:val="auto"/>
              </w:rPr>
              <w:t>the Shareholder Meeting to Be Held on May 5, 2023</w:t>
            </w:r>
          </w:p>
        </w:tc>
        <w:tc>
          <w:tcPr>
            <w:tcW w:w="420" w:type="dxa"/>
            <w:vAlign w:val="bottom"/>
          </w:tcPr>
          <w:p>
            <w:pPr>
              <w:spacing w:after="0"/>
              <w:rPr>
                <w:sz w:val="16"/>
                <w:szCs w:val="16"/>
                <w:color w:val="auto"/>
              </w:rPr>
            </w:pPr>
          </w:p>
        </w:tc>
      </w:tr>
      <w:tr>
        <w:trPr>
          <w:trHeight w:val="189"/>
        </w:trPr>
        <w:tc>
          <w:tcPr>
            <w:tcW w:w="4980" w:type="dxa"/>
            <w:vAlign w:val="bottom"/>
          </w:tcPr>
          <w:p>
            <w:pPr>
              <w:ind w:left="360"/>
              <w:spacing w:after="0"/>
              <w:rPr>
                <w:sz w:val="20"/>
                <w:szCs w:val="20"/>
                <w:color w:val="auto"/>
              </w:rPr>
            </w:pPr>
            <w:r>
              <w:rPr>
                <w:rFonts w:ascii="Arial" w:cs="Arial" w:eastAsia="Arial" w:hAnsi="Arial"/>
                <w:sz w:val="15"/>
                <w:szCs w:val="15"/>
                <w:color w:val="auto"/>
              </w:rPr>
              <w:t>Voting Instructions and Information</w:t>
            </w:r>
          </w:p>
        </w:tc>
        <w:tc>
          <w:tcPr>
            <w:tcW w:w="42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189"/>
        </w:trPr>
        <w:tc>
          <w:tcPr>
            <w:tcW w:w="4980" w:type="dxa"/>
            <w:vAlign w:val="bottom"/>
          </w:tcPr>
          <w:p>
            <w:pPr>
              <w:ind w:left="360"/>
              <w:spacing w:after="0"/>
              <w:rPr>
                <w:sz w:val="20"/>
                <w:szCs w:val="20"/>
                <w:color w:val="auto"/>
              </w:rPr>
            </w:pPr>
            <w:r>
              <w:rPr>
                <w:rFonts w:ascii="Arial" w:cs="Arial" w:eastAsia="Arial" w:hAnsi="Arial"/>
                <w:sz w:val="15"/>
                <w:szCs w:val="15"/>
                <w:color w:val="auto"/>
              </w:rPr>
              <w:t>Shareholder Proposals for the 2024 Annual Meeting</w:t>
            </w:r>
          </w:p>
        </w:tc>
        <w:tc>
          <w:tcPr>
            <w:tcW w:w="4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189"/>
        </w:trPr>
        <w:tc>
          <w:tcPr>
            <w:tcW w:w="4980" w:type="dxa"/>
            <w:vAlign w:val="bottom"/>
          </w:tcPr>
          <w:p>
            <w:pPr>
              <w:ind w:left="360"/>
              <w:spacing w:after="0"/>
              <w:rPr>
                <w:sz w:val="20"/>
                <w:szCs w:val="20"/>
                <w:color w:val="auto"/>
              </w:rPr>
            </w:pPr>
            <w:r>
              <w:rPr>
                <w:rFonts w:ascii="Arial" w:cs="Arial" w:eastAsia="Arial" w:hAnsi="Arial"/>
                <w:sz w:val="15"/>
                <w:szCs w:val="15"/>
                <w:color w:val="auto"/>
              </w:rPr>
              <w:t>Director Nominations for the 2024 Annual Meeting</w:t>
            </w:r>
          </w:p>
        </w:tc>
        <w:tc>
          <w:tcPr>
            <w:tcW w:w="4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00"/>
        </w:trPr>
        <w:tc>
          <w:tcPr>
            <w:tcW w:w="4980" w:type="dxa"/>
            <w:vAlign w:val="bottom"/>
          </w:tcPr>
          <w:p>
            <w:pPr>
              <w:ind w:left="360"/>
              <w:spacing w:after="0"/>
              <w:rPr>
                <w:sz w:val="20"/>
                <w:szCs w:val="20"/>
                <w:color w:val="auto"/>
              </w:rPr>
            </w:pPr>
            <w:r>
              <w:rPr>
                <w:rFonts w:ascii="Arial" w:cs="Arial" w:eastAsia="Arial" w:hAnsi="Arial"/>
                <w:sz w:val="15"/>
                <w:szCs w:val="15"/>
                <w:color w:val="auto"/>
              </w:rPr>
              <w:t>Forward-Looking Statements</w:t>
            </w:r>
          </w:p>
        </w:tc>
        <w:tc>
          <w:tcPr>
            <w:tcW w:w="42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309"/>
        </w:trPr>
        <w:tc>
          <w:tcPr>
            <w:tcW w:w="4980" w:type="dxa"/>
            <w:vAlign w:val="bottom"/>
          </w:tcPr>
          <w:p>
            <w:pPr>
              <w:spacing w:after="0"/>
              <w:rPr>
                <w:sz w:val="20"/>
                <w:szCs w:val="20"/>
                <w:color w:val="auto"/>
              </w:rPr>
            </w:pPr>
            <w:r>
              <w:rPr>
                <w:rFonts w:ascii="Arial" w:cs="Arial" w:eastAsia="Arial" w:hAnsi="Arial"/>
                <w:sz w:val="16"/>
                <w:szCs w:val="16"/>
                <w:b w:val="1"/>
                <w:bCs w:val="1"/>
                <w:color w:val="auto"/>
              </w:rPr>
              <w:t>ANNEX A: Reconciliations to GAAP</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94</w:t>
            </w:r>
          </w:p>
        </w:tc>
      </w:tr>
    </w:tbl>
    <w:p>
      <w:pPr>
        <w:spacing w:after="0" w:line="1861" w:lineRule="exact"/>
        <w:rPr>
          <w:sz w:val="20"/>
          <w:szCs w:val="20"/>
          <w:color w:val="auto"/>
        </w:rPr>
      </w:pPr>
    </w:p>
    <w:p>
      <w:pPr>
        <w:sectPr>
          <w:pgSz w:w="11900" w:h="16838" w:orient="portrait"/>
          <w:cols w:equalWidth="0" w:num="2">
            <w:col w:w="5400" w:space="440"/>
            <w:col w:w="5400"/>
          </w:cols>
          <w:pgMar w:left="320" w:top="130" w:right="33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Proxy Statement Summary</w:t>
      </w:r>
    </w:p>
    <w:p>
      <w:pPr>
        <w:spacing w:after="0" w:line="24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00529B"/>
        </w:rPr>
        <w:t>This section highlights certain important information presented in this proxy statement and is intended to assist you in evaluating the matters to be voted on at the meeting. We encourage you to read the proxy statement in its entirety before you cast your vote. For more information regarding Occidental’s 2022 performance, please review Occidental’s Annual Report on Form 10-K for the fiscal year ended December 31, 2022 (the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Agenda Items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32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FFFFFF"/>
        </w:rPr>
        <w:t>Proposal</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72"/>
          <w:szCs w:val="72"/>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822960" cy="1328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2960" cy="132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Election of Directors</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Governance Committee recommended to the Board, and the Board approved, the nomination of the 10 persons whose biographies appear on pages 15-20 to serve for a one-year term ending at the 2024 Annual Meeting, but in any event, until his or her successor is elected and qualified, unless ended earlier due to his or her death, resignation, disqualification or removal from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664210</wp:posOffset>
            </wp:positionV>
            <wp:extent cx="6309360" cy="1328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9360" cy="132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00529B"/>
        </w:rPr>
        <w:t>“FOR”</w:t>
      </w:r>
      <w:r>
        <w:rPr>
          <w:rFonts w:ascii="Arial" w:cs="Arial" w:eastAsia="Arial" w:hAnsi="Arial"/>
          <w:sz w:val="14"/>
          <w:szCs w:val="14"/>
          <w:color w:val="auto"/>
        </w:rPr>
        <w:t xml:space="preserve"> each of the director nominees.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See page 14</w:t>
      </w:r>
    </w:p>
    <w:p>
      <w:pPr>
        <w:spacing w:after="0" w:line="200" w:lineRule="exact"/>
        <w:rPr>
          <w:sz w:val="20"/>
          <w:szCs w:val="20"/>
          <w:color w:val="auto"/>
        </w:rPr>
      </w:pPr>
    </w:p>
    <w:p>
      <w:pPr>
        <w:sectPr>
          <w:pgSz w:w="11900" w:h="16838" w:orient="portrait"/>
          <w:cols w:equalWidth="0" w:num="3">
            <w:col w:w="1040" w:space="360"/>
            <w:col w:w="8620" w:space="140"/>
            <w:col w:w="1080"/>
          </w:cols>
          <w:pgMar w:left="320" w:top="130" w:right="3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FFFFFF"/>
        </w:rPr>
        <w:t>Proposal</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72"/>
          <w:szCs w:val="72"/>
          <w:b w:val="1"/>
          <w:bCs w:val="1"/>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822960" cy="1165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96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98" w:lineRule="auto"/>
        <w:rPr>
          <w:sz w:val="20"/>
          <w:szCs w:val="20"/>
          <w:color w:val="auto"/>
        </w:rPr>
      </w:pPr>
      <w:r>
        <w:rPr>
          <w:rFonts w:ascii="Arial" w:cs="Arial" w:eastAsia="Arial" w:hAnsi="Arial"/>
          <w:sz w:val="25"/>
          <w:szCs w:val="25"/>
          <w:b w:val="1"/>
          <w:bCs w:val="1"/>
          <w:color w:val="auto"/>
        </w:rPr>
        <w:t>Advisory Vote on the Frequency of Future Advisory Votes to Approve Named Executive Officer (NEO) Compensation</w:t>
      </w:r>
    </w:p>
    <w:p>
      <w:pPr>
        <w:spacing w:after="0" w:line="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accordance with the Dodd-Frank Wall Street Reform and Consumer Protection Act, shareholders are being asked to vote, on an advisory basis, whether future advisory votes on NEO compensation should occur every one, two or three years. Valuing shareholder feedback, the Board recommends that future advisory votes on NEO compensation continue to occur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483870</wp:posOffset>
            </wp:positionV>
            <wp:extent cx="6309360" cy="1165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936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 xml:space="preserve">The Board of Directors recommends a vote of </w:t>
      </w:r>
      <w:r>
        <w:rPr>
          <w:rFonts w:ascii="Arial" w:cs="Arial" w:eastAsia="Arial" w:hAnsi="Arial"/>
          <w:sz w:val="14"/>
          <w:szCs w:val="14"/>
          <w:b w:val="1"/>
          <w:bCs w:val="1"/>
          <w:color w:val="00529B"/>
        </w:rPr>
        <w:t>“ONE</w:t>
      </w:r>
      <w:r>
        <w:rPr>
          <w:rFonts w:ascii="Arial" w:cs="Arial" w:eastAsia="Arial" w:hAnsi="Arial"/>
          <w:sz w:val="14"/>
          <w:szCs w:val="14"/>
          <w:color w:val="auto"/>
        </w:rPr>
        <w:t xml:space="preserve"> </w:t>
      </w:r>
      <w:r>
        <w:rPr>
          <w:rFonts w:ascii="Arial" w:cs="Arial" w:eastAsia="Arial" w:hAnsi="Arial"/>
          <w:sz w:val="14"/>
          <w:szCs w:val="14"/>
          <w:b w:val="1"/>
          <w:bCs w:val="1"/>
          <w:color w:val="00529B"/>
        </w:rPr>
        <w:t xml:space="preserve">YEAR” </w:t>
      </w:r>
      <w:r>
        <w:rPr>
          <w:rFonts w:ascii="Arial" w:cs="Arial" w:eastAsia="Arial" w:hAnsi="Arial"/>
          <w:sz w:val="14"/>
          <w:szCs w:val="14"/>
          <w:color w:val="000000"/>
        </w:rPr>
        <w:t>for this</w:t>
      </w:r>
      <w:r>
        <w:rPr>
          <w:rFonts w:ascii="Arial" w:cs="Arial" w:eastAsia="Arial" w:hAnsi="Arial"/>
          <w:sz w:val="14"/>
          <w:szCs w:val="14"/>
          <w:b w:val="1"/>
          <w:bCs w:val="1"/>
          <w:color w:val="00529B"/>
        </w:rPr>
        <w:t xml:space="preserve"> </w:t>
      </w:r>
      <w:r>
        <w:rPr>
          <w:rFonts w:ascii="Arial" w:cs="Arial" w:eastAsia="Arial" w:hAnsi="Arial"/>
          <w:sz w:val="14"/>
          <w:szCs w:val="14"/>
          <w:color w:val="000000"/>
        </w:rPr>
        <w:t>proposal.</w:t>
      </w:r>
    </w:p>
    <w:p>
      <w:pPr>
        <w:spacing w:after="0" w:line="290"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00529B"/>
        </w:rPr>
        <w:t>See page 35</w:t>
      </w:r>
    </w:p>
    <w:p>
      <w:pPr>
        <w:spacing w:after="0" w:line="200" w:lineRule="exact"/>
        <w:rPr>
          <w:sz w:val="20"/>
          <w:szCs w:val="20"/>
          <w:color w:val="auto"/>
        </w:rPr>
      </w:pPr>
    </w:p>
    <w:p>
      <w:pPr>
        <w:sectPr>
          <w:pgSz w:w="11900" w:h="16838" w:orient="portrait"/>
          <w:cols w:equalWidth="0" w:num="3">
            <w:col w:w="1040" w:space="400"/>
            <w:col w:w="8480" w:space="240"/>
            <w:col w:w="1080"/>
          </w:cols>
          <w:pgMar w:left="320" w:top="130" w:right="339" w:bottom="1440" w:gutter="0" w:footer="0" w:header="0"/>
          <w:type w:val="continuous"/>
        </w:sectPr>
      </w:pPr>
    </w:p>
    <w:p>
      <w:pPr>
        <w:spacing w:after="0" w:line="304"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FFFFFF"/>
        </w:rPr>
        <w:t>Proposal</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72"/>
          <w:szCs w:val="72"/>
          <w:b w:val="1"/>
          <w:bCs w:val="1"/>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822960" cy="12172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Advisory Vote to Approve NEO Compensation</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executive compensation program for the NEOs includes many best-practice features that are intended to enhance the alignment of compensation with the interests of Occidental’s shareholders. The executive compensation program is described in the Compensation Discussion and Analysis (CD&amp;A) section beginning on page 37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00529B"/>
        </w:rPr>
        <w:t>“FOR”</w:t>
      </w:r>
      <w:r>
        <w:rPr>
          <w:rFonts w:ascii="Arial" w:cs="Arial" w:eastAsia="Arial" w:hAnsi="Arial"/>
          <w:sz w:val="14"/>
          <w:szCs w:val="14"/>
          <w:color w:val="auto"/>
        </w:rPr>
        <w:t xml:space="preserve"> this proposal.</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See page 36</w:t>
      </w:r>
    </w:p>
    <w:p>
      <w:pPr>
        <w:spacing w:after="0" w:line="145" w:lineRule="exact"/>
        <w:rPr>
          <w:sz w:val="20"/>
          <w:szCs w:val="20"/>
          <w:color w:val="auto"/>
        </w:rPr>
      </w:pPr>
    </w:p>
    <w:p>
      <w:pPr>
        <w:sectPr>
          <w:pgSz w:w="11900" w:h="16838" w:orient="portrait"/>
          <w:cols w:equalWidth="0" w:num="3">
            <w:col w:w="1040" w:space="400"/>
            <w:col w:w="8440" w:space="280"/>
            <w:col w:w="1080"/>
          </w:cols>
          <w:pgMar w:left="320" w:top="130" w:right="339" w:bottom="1440" w:gutter="0" w:footer="0" w:header="0"/>
          <w:type w:val="continuous"/>
        </w:sectPr>
      </w:pPr>
    </w:p>
    <w:p>
      <w:pPr>
        <w:spacing w:after="0" w:line="386"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FFFFFF"/>
        </w:rPr>
        <w:t>Proposal</w:t>
      </w:r>
    </w:p>
    <w:p>
      <w:pPr>
        <w:spacing w:after="0" w:line="36" w:lineRule="exact"/>
        <w:rPr>
          <w:sz w:val="20"/>
          <w:szCs w:val="20"/>
          <w:color w:val="auto"/>
        </w:rPr>
      </w:pPr>
    </w:p>
    <w:p>
      <w:pPr>
        <w:jc w:val="center"/>
        <w:ind w:left="280"/>
        <w:spacing w:after="0"/>
        <w:rPr>
          <w:sz w:val="20"/>
          <w:szCs w:val="20"/>
          <w:color w:val="auto"/>
        </w:rPr>
      </w:pPr>
      <w:r>
        <w:rPr>
          <w:rFonts w:ascii="Arial" w:cs="Arial" w:eastAsia="Arial" w:hAnsi="Arial"/>
          <w:sz w:val="72"/>
          <w:szCs w:val="72"/>
          <w:b w:val="1"/>
          <w:bCs w:val="1"/>
          <w:color w:val="FFFFFF"/>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5"/>
        </w:trPr>
        <w:tc>
          <w:tcPr>
            <w:tcW w:w="100" w:type="dxa"/>
            <w:vAlign w:val="bottom"/>
          </w:tcPr>
          <w:p>
            <w:pPr>
              <w:spacing w:after="0"/>
              <w:rPr>
                <w:sz w:val="24"/>
                <w:szCs w:val="24"/>
                <w:color w:val="auto"/>
              </w:rPr>
            </w:pPr>
          </w:p>
        </w:tc>
        <w:tc>
          <w:tcPr>
            <w:tcW w:w="8680" w:type="dxa"/>
            <w:vAlign w:val="bottom"/>
            <w:tcBorders>
              <w:right w:val="single" w:sz="8" w:color="00529B"/>
            </w:tcBorders>
          </w:tcPr>
          <w:p>
            <w:pPr>
              <w:ind w:left="40"/>
              <w:spacing w:after="0"/>
              <w:rPr>
                <w:sz w:val="20"/>
                <w:szCs w:val="20"/>
                <w:color w:val="auto"/>
              </w:rPr>
            </w:pPr>
            <w:r>
              <w:rPr>
                <w:rFonts w:ascii="Arial" w:cs="Arial" w:eastAsia="Arial" w:hAnsi="Arial"/>
                <w:sz w:val="25"/>
                <w:szCs w:val="25"/>
                <w:b w:val="1"/>
                <w:bCs w:val="1"/>
                <w:color w:val="auto"/>
              </w:rPr>
              <w:t>Ratification of Selection of KPMG as Occidental’s Independent Auditor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8680" w:type="dxa"/>
            <w:vAlign w:val="bottom"/>
            <w:tcBorders>
              <w:bottom w:val="single" w:sz="8" w:color="00529B"/>
              <w:right w:val="single" w:sz="8" w:color="00529B"/>
            </w:tcBorders>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The Board of</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680" w:type="dxa"/>
            <w:vAlign w:val="bottom"/>
            <w:tcBorders>
              <w:right w:val="single" w:sz="8" w:color="00529B"/>
            </w:tcBorders>
          </w:tcPr>
          <w:p>
            <w:pPr>
              <w:ind w:left="40"/>
              <w:spacing w:after="0"/>
              <w:rPr>
                <w:sz w:val="20"/>
                <w:szCs w:val="20"/>
                <w:color w:val="auto"/>
              </w:rPr>
            </w:pPr>
            <w:r>
              <w:rPr>
                <w:rFonts w:ascii="Arial" w:cs="Arial" w:eastAsia="Arial" w:hAnsi="Arial"/>
                <w:sz w:val="14"/>
                <w:szCs w:val="14"/>
                <w:color w:val="auto"/>
              </w:rPr>
              <w:t>The Audit Committee of the Board of Directors of Occidental has selected KPMG LLP as independent auditor to audit the consolidated</w:t>
            </w: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680" w:type="dxa"/>
            <w:vAlign w:val="bottom"/>
            <w:tcBorders>
              <w:right w:val="single" w:sz="8" w:color="00529B"/>
            </w:tcBorders>
          </w:tcPr>
          <w:p>
            <w:pPr>
              <w:ind w:left="40"/>
              <w:spacing w:after="0"/>
              <w:rPr>
                <w:sz w:val="20"/>
                <w:szCs w:val="20"/>
                <w:color w:val="auto"/>
              </w:rPr>
            </w:pPr>
            <w:r>
              <w:rPr>
                <w:rFonts w:ascii="Arial" w:cs="Arial" w:eastAsia="Arial" w:hAnsi="Arial"/>
                <w:sz w:val="14"/>
                <w:szCs w:val="14"/>
                <w:color w:val="auto"/>
              </w:rPr>
              <w:t>financial statements of Occidental and its subsidiaries for the year ending December 31, 2023. As a matter of good corporate</w:t>
            </w:r>
          </w:p>
        </w:tc>
        <w:tc>
          <w:tcPr>
            <w:tcW w:w="1160" w:type="dxa"/>
            <w:vAlign w:val="bottom"/>
          </w:tcPr>
          <w:p>
            <w:pPr>
              <w:ind w:left="80"/>
              <w:spacing w:after="0"/>
              <w:rPr>
                <w:sz w:val="20"/>
                <w:szCs w:val="20"/>
                <w:color w:val="auto"/>
              </w:rPr>
            </w:pPr>
            <w:r>
              <w:rPr>
                <w:rFonts w:ascii="Arial" w:cs="Arial" w:eastAsia="Arial" w:hAnsi="Arial"/>
                <w:sz w:val="14"/>
                <w:szCs w:val="14"/>
                <w:color w:val="auto"/>
              </w:rPr>
              <w:t>Directors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680" w:type="dxa"/>
            <w:vAlign w:val="bottom"/>
            <w:tcBorders>
              <w:right w:val="single" w:sz="8" w:color="00529B"/>
            </w:tcBorders>
          </w:tcPr>
          <w:p>
            <w:pPr>
              <w:ind w:left="40"/>
              <w:spacing w:after="0"/>
              <w:rPr>
                <w:sz w:val="20"/>
                <w:szCs w:val="20"/>
                <w:color w:val="auto"/>
              </w:rPr>
            </w:pPr>
            <w:r>
              <w:rPr>
                <w:rFonts w:ascii="Arial" w:cs="Arial" w:eastAsia="Arial" w:hAnsi="Arial"/>
                <w:sz w:val="14"/>
                <w:szCs w:val="14"/>
                <w:color w:val="auto"/>
              </w:rPr>
              <w:t>governance, the Board submits the selection of the independent auditor to our shareholders for ratification.</w:t>
            </w:r>
          </w:p>
        </w:tc>
        <w:tc>
          <w:tcPr>
            <w:tcW w:w="1160" w:type="dxa"/>
            <w:vAlign w:val="bottom"/>
          </w:tcPr>
          <w:p>
            <w:pPr>
              <w:ind w:left="80"/>
              <w:spacing w:after="0"/>
              <w:rPr>
                <w:sz w:val="20"/>
                <w:szCs w:val="20"/>
                <w:color w:val="auto"/>
              </w:rPr>
            </w:pPr>
            <w:r>
              <w:rPr>
                <w:rFonts w:ascii="Arial" w:cs="Arial" w:eastAsia="Arial" w:hAnsi="Arial"/>
                <w:sz w:val="14"/>
                <w:szCs w:val="14"/>
                <w:color w:val="auto"/>
              </w:rPr>
              <w:t>recommends a</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680" w:type="dxa"/>
            <w:vAlign w:val="bottom"/>
            <w:tcBorders>
              <w:right w:val="single" w:sz="8" w:color="00529B"/>
            </w:tcBorders>
          </w:tcPr>
          <w:p>
            <w:pPr>
              <w:spacing w:after="0"/>
              <w:rPr>
                <w:sz w:val="14"/>
                <w:szCs w:val="14"/>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 xml:space="preserve">vote </w:t>
            </w:r>
            <w:r>
              <w:rPr>
                <w:rFonts w:ascii="Arial" w:cs="Arial" w:eastAsia="Arial" w:hAnsi="Arial"/>
                <w:sz w:val="14"/>
                <w:szCs w:val="14"/>
                <w:b w:val="1"/>
                <w:bCs w:val="1"/>
                <w:color w:val="00529B"/>
              </w:rPr>
              <w:t>“FOR”</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8680" w:type="dxa"/>
            <w:vAlign w:val="bottom"/>
            <w:tcBorders>
              <w:right w:val="single" w:sz="8" w:color="00529B"/>
            </w:tcBorders>
          </w:tcPr>
          <w:p>
            <w:pPr>
              <w:spacing w:after="0"/>
              <w:rPr>
                <w:sz w:val="16"/>
                <w:szCs w:val="16"/>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this proposal.</w:t>
            </w:r>
          </w:p>
        </w:tc>
        <w:tc>
          <w:tcPr>
            <w:tcW w:w="0" w:type="dxa"/>
            <w:vAlign w:val="bottom"/>
          </w:tcPr>
          <w:p>
            <w:pPr>
              <w:spacing w:after="0"/>
              <w:rPr>
                <w:sz w:val="1"/>
                <w:szCs w:val="1"/>
                <w:color w:val="auto"/>
              </w:rPr>
            </w:pPr>
          </w:p>
        </w:tc>
      </w:tr>
      <w:tr>
        <w:trPr>
          <w:trHeight w:val="501"/>
        </w:trPr>
        <w:tc>
          <w:tcPr>
            <w:tcW w:w="100" w:type="dxa"/>
            <w:vAlign w:val="bottom"/>
            <w:tcBorders>
              <w:bottom w:val="single" w:sz="8" w:color="00529B"/>
            </w:tcBorders>
          </w:tcPr>
          <w:p>
            <w:pPr>
              <w:spacing w:after="0"/>
              <w:rPr>
                <w:sz w:val="24"/>
                <w:szCs w:val="24"/>
                <w:color w:val="auto"/>
              </w:rPr>
            </w:pPr>
          </w:p>
        </w:tc>
        <w:tc>
          <w:tcPr>
            <w:tcW w:w="8680" w:type="dxa"/>
            <w:vAlign w:val="bottom"/>
            <w:tcBorders>
              <w:bottom w:val="single" w:sz="8" w:color="00529B"/>
              <w:right w:val="single" w:sz="8" w:color="00529B"/>
            </w:tcBorders>
          </w:tcPr>
          <w:p>
            <w:pPr>
              <w:spacing w:after="0"/>
              <w:rPr>
                <w:sz w:val="24"/>
                <w:szCs w:val="24"/>
                <w:color w:val="auto"/>
              </w:rPr>
            </w:pPr>
          </w:p>
        </w:tc>
        <w:tc>
          <w:tcPr>
            <w:tcW w:w="1160" w:type="dxa"/>
            <w:vAlign w:val="bottom"/>
            <w:tcBorders>
              <w:bottom w:val="single" w:sz="8" w:color="00529B"/>
            </w:tcBorders>
          </w:tcPr>
          <w:p>
            <w:pPr>
              <w:ind w:left="80"/>
              <w:spacing w:after="0"/>
              <w:rPr>
                <w:sz w:val="20"/>
                <w:szCs w:val="20"/>
                <w:color w:val="auto"/>
              </w:rPr>
            </w:pPr>
            <w:r>
              <w:rPr>
                <w:rFonts w:ascii="Arial" w:cs="Arial" w:eastAsia="Arial" w:hAnsi="Arial"/>
                <w:sz w:val="14"/>
                <w:szCs w:val="14"/>
                <w:b w:val="1"/>
                <w:bCs w:val="1"/>
                <w:color w:val="00529B"/>
              </w:rPr>
              <w:t>See page 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5634355</wp:posOffset>
            </wp:positionH>
            <wp:positionV relativeFrom="paragraph">
              <wp:posOffset>-1165225</wp:posOffset>
            </wp:positionV>
            <wp:extent cx="29972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43180</wp:posOffset>
            </wp:positionV>
            <wp:extent cx="7132320" cy="1817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040" w:space="260"/>
            <w:col w:w="9940"/>
          </w:cols>
          <w:pgMar w:left="320" w:top="130" w:right="339" w:bottom="1440" w:gutter="0" w:footer="0" w:header="0"/>
          <w:type w:val="continuous"/>
        </w:sectPr>
      </w:pPr>
    </w:p>
    <w:p>
      <w:pPr>
        <w:ind w:left="1440" w:right="400"/>
        <w:spacing w:after="0" w:line="298" w:lineRule="auto"/>
        <w:rPr>
          <w:sz w:val="20"/>
          <w:szCs w:val="20"/>
          <w:color w:val="auto"/>
        </w:rPr>
      </w:pPr>
      <w:r>
        <w:rPr>
          <w:rFonts w:ascii="Arial" w:cs="Arial" w:eastAsia="Arial" w:hAnsi="Arial"/>
          <w:sz w:val="25"/>
          <w:szCs w:val="25"/>
          <w:b w:val="1"/>
          <w:bCs w:val="1"/>
          <w:color w:val="auto"/>
        </w:rPr>
        <w:t>Shareholder Proposal Requesting an Independent Board Chairman Policy</w:t>
      </w:r>
    </w:p>
    <w:p>
      <w:pPr>
        <w:spacing w:after="0" w:line="7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8"/>
          <w:szCs w:val="18"/>
          <w:b w:val="1"/>
          <w:bCs w:val="1"/>
          <w:color w:val="FFFFFF"/>
        </w:rPr>
        <w:t>Proposal</w:t>
      </w:r>
      <w:r>
        <w:rPr>
          <w:sz w:val="20"/>
          <w:szCs w:val="20"/>
          <w:color w:val="auto"/>
        </w:rPr>
        <w:tab/>
      </w:r>
      <w:r>
        <w:rPr>
          <w:rFonts w:ascii="Arial" w:cs="Arial" w:eastAsia="Arial" w:hAnsi="Arial"/>
          <w:sz w:val="14"/>
          <w:szCs w:val="14"/>
          <w:color w:val="auto"/>
        </w:rPr>
        <w:t>Occidental expects this shareholder proposal to be introduced at the 2023 Annual Meeting. The Board of Directors disclaims any</w:t>
      </w:r>
    </w:p>
    <w:p>
      <w:pPr>
        <w:spacing w:after="0" w:line="143" w:lineRule="exact"/>
        <w:rPr>
          <w:sz w:val="20"/>
          <w:szCs w:val="20"/>
          <w:color w:val="auto"/>
        </w:rPr>
      </w:pPr>
    </w:p>
    <w:p>
      <w:pPr>
        <w:ind w:left="1440" w:hanging="984"/>
        <w:spacing w:after="0" w:line="180" w:lineRule="auto"/>
        <w:tabs>
          <w:tab w:leader="none" w:pos="1440" w:val="left"/>
        </w:tabs>
        <w:numPr>
          <w:ilvl w:val="0"/>
          <w:numId w:val="8"/>
        </w:numPr>
        <w:rPr>
          <w:rFonts w:ascii="Arial" w:cs="Arial" w:eastAsia="Arial" w:hAnsi="Arial"/>
          <w:sz w:val="32"/>
          <w:szCs w:val="32"/>
          <w:b w:val="1"/>
          <w:bCs w:val="1"/>
          <w:color w:val="FFFFFF"/>
        </w:rPr>
      </w:pPr>
      <w:r>
        <w:rPr>
          <w:rFonts w:ascii="Arial" w:cs="Arial" w:eastAsia="Arial" w:hAnsi="Arial"/>
          <w:sz w:val="12"/>
          <w:szCs w:val="12"/>
          <w:color w:val="auto"/>
        </w:rPr>
        <w:t xml:space="preserve">changes, are presented in the form received from the shareholder proponent. The shareholder proposal is required to be voted on at the 2023 Annual Meeting only if it is properly presented. Because Occidental’s amended and restated By-laws currently require an Independent Chairman of the Board, the Board believes this proposal is unnecessary, misdirected and not warranted for adoption at </w:t>
      </w:r>
      <w:r>
        <w:rPr>
          <w:rFonts w:ascii="Arial" w:cs="Arial" w:eastAsia="Arial" w:hAnsi="Arial"/>
          <w:sz w:val="17"/>
          <w:szCs w:val="17"/>
          <w:color w:val="auto"/>
          <w:vertAlign w:val="subscript"/>
        </w:rPr>
        <w:t>Occidental and recommends a vote “AGAINST” this proposal.</w:t>
      </w:r>
      <w:r>
        <w:rPr>
          <w:rFonts w:ascii="Arial" w:cs="Arial" w:eastAsia="Arial" w:hAnsi="Arial"/>
          <w:sz w:val="12"/>
          <w:szCs w:val="12"/>
          <w:color w:val="auto"/>
        </w:rPr>
        <w:t>responsibilityforthecontentoftheproposalandforthestatements made in support thereof, which, except for minor formatting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The Board of Directors recommends a vote</w:t>
      </w:r>
    </w:p>
    <w:p>
      <w:pPr>
        <w:spacing w:after="0" w:line="2"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b w:val="1"/>
          <w:bCs w:val="1"/>
          <w:color w:val="B5121B"/>
        </w:rPr>
        <w:t xml:space="preserve">“AGAINST” </w:t>
      </w:r>
      <w:r>
        <w:rPr>
          <w:rFonts w:ascii="Arial" w:cs="Arial" w:eastAsia="Arial" w:hAnsi="Arial"/>
          <w:sz w:val="14"/>
          <w:szCs w:val="14"/>
          <w:color w:val="000000"/>
        </w:rPr>
        <w:t>this proposal, if properly presented.</w:t>
      </w:r>
    </w:p>
    <w:p>
      <w:pPr>
        <w:spacing w:after="0" w:line="217" w:lineRule="exact"/>
        <w:rPr>
          <w:sz w:val="20"/>
          <w:szCs w:val="20"/>
          <w:color w:val="auto"/>
        </w:rPr>
      </w:pPr>
    </w:p>
    <w:p>
      <w:pPr>
        <w:sectPr>
          <w:pgSz w:w="11900" w:h="16838" w:orient="portrait"/>
          <w:cols w:equalWidth="0" w:num="2">
            <w:col w:w="9860" w:space="300"/>
            <w:col w:w="1080"/>
          </w:cols>
          <w:pgMar w:left="320" w:top="130"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B5121B"/>
        </w:rPr>
        <w:t>See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Proxy Statement Summary</w:t>
      </w:r>
    </w:p>
    <w:p>
      <w:pPr>
        <w:spacing w:after="0" w:line="13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Nominees and Composition Highlights</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The Board seeks to achieve a diverse and broadly inclusive membership. Our Board’s director nominees bring varying perspectives to the boardroom by virtue of their diverse backgrounds and experiences, qualifications, skills, genders, ethnicities and tenures on the Board. To better convey the well-roundedness of our Board’s director nominees, we have included a skills matrix on page 21 that identifies the core competencies of each of our Board’s director nominees that contributed to his or her nomination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17220" cy="6172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82550</wp:posOffset>
            </wp:positionV>
            <wp:extent cx="634365" cy="6172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4365" cy="61722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82550</wp:posOffset>
            </wp:positionV>
            <wp:extent cx="617220" cy="617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82550</wp:posOffset>
            </wp:positionV>
            <wp:extent cx="625475" cy="6172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54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20"/>
                <w:szCs w:val="20"/>
                <w:color w:val="auto"/>
              </w:rPr>
            </w:pPr>
            <w:r>
              <w:rPr>
                <w:rFonts w:ascii="Arial" w:cs="Arial" w:eastAsia="Arial" w:hAnsi="Arial"/>
                <w:sz w:val="15"/>
                <w:szCs w:val="15"/>
                <w:b w:val="1"/>
                <w:bCs w:val="1"/>
                <w:color w:val="00529B"/>
              </w:rPr>
              <w:t>JACK B. MOORE</w:t>
            </w:r>
          </w:p>
        </w:tc>
        <w:tc>
          <w:tcPr>
            <w:tcW w:w="2900" w:type="dxa"/>
            <w:vAlign w:val="bottom"/>
          </w:tcPr>
          <w:p>
            <w:pPr>
              <w:ind w:left="180"/>
              <w:spacing w:after="0"/>
              <w:rPr>
                <w:sz w:val="20"/>
                <w:szCs w:val="20"/>
                <w:color w:val="auto"/>
              </w:rPr>
            </w:pPr>
            <w:r>
              <w:rPr>
                <w:rFonts w:ascii="Arial" w:cs="Arial" w:eastAsia="Arial" w:hAnsi="Arial"/>
                <w:sz w:val="15"/>
                <w:szCs w:val="15"/>
                <w:b w:val="1"/>
                <w:bCs w:val="1"/>
                <w:color w:val="00529B"/>
              </w:rPr>
              <w:t>VICKY A. BAILEY</w:t>
            </w:r>
          </w:p>
        </w:tc>
        <w:tc>
          <w:tcPr>
            <w:tcW w:w="2700" w:type="dxa"/>
            <w:vAlign w:val="bottom"/>
          </w:tcPr>
          <w:p>
            <w:pPr>
              <w:ind w:left="100"/>
              <w:spacing w:after="0"/>
              <w:rPr>
                <w:sz w:val="20"/>
                <w:szCs w:val="20"/>
                <w:color w:val="auto"/>
              </w:rPr>
            </w:pPr>
            <w:r>
              <w:rPr>
                <w:rFonts w:ascii="Arial" w:cs="Arial" w:eastAsia="Arial" w:hAnsi="Arial"/>
                <w:sz w:val="15"/>
                <w:szCs w:val="15"/>
                <w:b w:val="1"/>
                <w:bCs w:val="1"/>
                <w:color w:val="00529B"/>
              </w:rPr>
              <w:t>ANDREW GOULD</w:t>
            </w:r>
          </w:p>
        </w:tc>
        <w:tc>
          <w:tcPr>
            <w:tcW w:w="3000" w:type="dxa"/>
            <w:vAlign w:val="bottom"/>
          </w:tcPr>
          <w:p>
            <w:pPr>
              <w:ind w:left="200"/>
              <w:spacing w:after="0"/>
              <w:rPr>
                <w:sz w:val="20"/>
                <w:szCs w:val="20"/>
                <w:color w:val="auto"/>
              </w:rPr>
            </w:pPr>
            <w:r>
              <w:rPr>
                <w:rFonts w:ascii="Arial" w:cs="Arial" w:eastAsia="Arial" w:hAnsi="Arial"/>
                <w:sz w:val="15"/>
                <w:szCs w:val="15"/>
                <w:b w:val="1"/>
                <w:bCs w:val="1"/>
                <w:color w:val="00529B"/>
              </w:rPr>
              <w:t>CARLOS M. GUTIERREZ</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Former President and Chief Executive</w:t>
            </w:r>
          </w:p>
        </w:tc>
        <w:tc>
          <w:tcPr>
            <w:tcW w:w="2900" w:type="dxa"/>
            <w:vAlign w:val="bottom"/>
          </w:tcPr>
          <w:p>
            <w:pPr>
              <w:ind w:left="180"/>
              <w:spacing w:after="0"/>
              <w:rPr>
                <w:sz w:val="20"/>
                <w:szCs w:val="20"/>
                <w:color w:val="auto"/>
              </w:rPr>
            </w:pPr>
            <w:r>
              <w:rPr>
                <w:rFonts w:ascii="Arial" w:cs="Arial" w:eastAsia="Arial" w:hAnsi="Arial"/>
                <w:sz w:val="14"/>
                <w:szCs w:val="14"/>
                <w:color w:val="auto"/>
              </w:rPr>
              <w:t>Former Assistant Secretary,</w:t>
            </w:r>
          </w:p>
        </w:tc>
        <w:tc>
          <w:tcPr>
            <w:tcW w:w="2700" w:type="dxa"/>
            <w:vAlign w:val="bottom"/>
          </w:tcPr>
          <w:p>
            <w:pPr>
              <w:ind w:left="100"/>
              <w:spacing w:after="0"/>
              <w:rPr>
                <w:sz w:val="20"/>
                <w:szCs w:val="20"/>
                <w:color w:val="auto"/>
              </w:rPr>
            </w:pPr>
            <w:r>
              <w:rPr>
                <w:rFonts w:ascii="Arial" w:cs="Arial" w:eastAsia="Arial" w:hAnsi="Arial"/>
                <w:sz w:val="14"/>
                <w:szCs w:val="14"/>
                <w:color w:val="auto"/>
              </w:rPr>
              <w:t>Former Chairman and</w:t>
            </w:r>
          </w:p>
        </w:tc>
        <w:tc>
          <w:tcPr>
            <w:tcW w:w="3000" w:type="dxa"/>
            <w:vAlign w:val="bottom"/>
          </w:tcPr>
          <w:p>
            <w:pPr>
              <w:ind w:left="200"/>
              <w:spacing w:after="0"/>
              <w:rPr>
                <w:sz w:val="20"/>
                <w:szCs w:val="20"/>
                <w:color w:val="auto"/>
              </w:rPr>
            </w:pPr>
            <w:r>
              <w:rPr>
                <w:rFonts w:ascii="Arial" w:cs="Arial" w:eastAsia="Arial" w:hAnsi="Arial"/>
                <w:sz w:val="14"/>
                <w:szCs w:val="14"/>
                <w:color w:val="auto"/>
              </w:rPr>
              <w:t>Co-Founder, Executive Chairman and CEO,</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Officer, Cameron International</w:t>
            </w:r>
          </w:p>
        </w:tc>
        <w:tc>
          <w:tcPr>
            <w:tcW w:w="2900" w:type="dxa"/>
            <w:vAlign w:val="bottom"/>
          </w:tcPr>
          <w:p>
            <w:pPr>
              <w:ind w:left="180"/>
              <w:spacing w:after="0"/>
              <w:rPr>
                <w:sz w:val="20"/>
                <w:szCs w:val="20"/>
                <w:color w:val="auto"/>
              </w:rPr>
            </w:pPr>
            <w:r>
              <w:rPr>
                <w:rFonts w:ascii="Arial" w:cs="Arial" w:eastAsia="Arial" w:hAnsi="Arial"/>
                <w:sz w:val="14"/>
                <w:szCs w:val="14"/>
                <w:color w:val="auto"/>
              </w:rPr>
              <w:t>Domestic Policy and International Affairs,</w:t>
            </w:r>
          </w:p>
        </w:tc>
        <w:tc>
          <w:tcPr>
            <w:tcW w:w="2700" w:type="dxa"/>
            <w:vAlign w:val="bottom"/>
          </w:tcPr>
          <w:p>
            <w:pPr>
              <w:ind w:left="100"/>
              <w:spacing w:after="0"/>
              <w:rPr>
                <w:sz w:val="20"/>
                <w:szCs w:val="20"/>
                <w:color w:val="auto"/>
              </w:rPr>
            </w:pPr>
            <w:r>
              <w:rPr>
                <w:rFonts w:ascii="Arial" w:cs="Arial" w:eastAsia="Arial" w:hAnsi="Arial"/>
                <w:sz w:val="14"/>
                <w:szCs w:val="14"/>
                <w:color w:val="auto"/>
              </w:rPr>
              <w:t>Chief Executive Officer, Schlumberger</w:t>
            </w:r>
          </w:p>
        </w:tc>
        <w:tc>
          <w:tcPr>
            <w:tcW w:w="3000" w:type="dxa"/>
            <w:vAlign w:val="bottom"/>
          </w:tcPr>
          <w:p>
            <w:pPr>
              <w:ind w:left="200"/>
              <w:spacing w:after="0"/>
              <w:rPr>
                <w:sz w:val="20"/>
                <w:szCs w:val="20"/>
                <w:color w:val="auto"/>
              </w:rPr>
            </w:pPr>
            <w:r>
              <w:rPr>
                <w:rFonts w:ascii="Arial" w:cs="Arial" w:eastAsia="Arial" w:hAnsi="Arial"/>
                <w:sz w:val="14"/>
                <w:szCs w:val="14"/>
                <w:color w:val="auto"/>
              </w:rPr>
              <w:t>EmPath, Inc.</w:t>
            </w:r>
          </w:p>
        </w:tc>
        <w:tc>
          <w:tcPr>
            <w:tcW w:w="0" w:type="dxa"/>
            <w:vAlign w:val="bottom"/>
          </w:tcPr>
          <w:p>
            <w:pPr>
              <w:spacing w:after="0"/>
              <w:rPr>
                <w:sz w:val="1"/>
                <w:szCs w:val="1"/>
                <w:color w:val="auto"/>
              </w:rPr>
            </w:pPr>
          </w:p>
        </w:tc>
      </w:tr>
      <w:tr>
        <w:trPr>
          <w:trHeight w:val="190"/>
        </w:trPr>
        <w:tc>
          <w:tcPr>
            <w:tcW w:w="2640" w:type="dxa"/>
            <w:vAlign w:val="bottom"/>
            <w:vMerge w:val="restart"/>
          </w:tcPr>
          <w:p>
            <w:pPr>
              <w:spacing w:after="0"/>
              <w:rPr>
                <w:sz w:val="20"/>
                <w:szCs w:val="20"/>
                <w:color w:val="auto"/>
              </w:rPr>
            </w:pPr>
            <w:r>
              <w:rPr>
                <w:rFonts w:ascii="Arial" w:cs="Arial" w:eastAsia="Arial" w:hAnsi="Arial"/>
                <w:sz w:val="15"/>
                <w:szCs w:val="15"/>
                <w:b w:val="1"/>
                <w:bCs w:val="1"/>
                <w:color w:val="00529B"/>
              </w:rPr>
              <w:t>INDEPENDENT</w:t>
            </w:r>
          </w:p>
        </w:tc>
        <w:tc>
          <w:tcPr>
            <w:tcW w:w="2900" w:type="dxa"/>
            <w:vAlign w:val="bottom"/>
          </w:tcPr>
          <w:p>
            <w:pPr>
              <w:ind w:left="180"/>
              <w:spacing w:after="0"/>
              <w:rPr>
                <w:sz w:val="20"/>
                <w:szCs w:val="20"/>
                <w:color w:val="auto"/>
              </w:rPr>
            </w:pPr>
            <w:r>
              <w:rPr>
                <w:rFonts w:ascii="Arial" w:cs="Arial" w:eastAsia="Arial" w:hAnsi="Arial"/>
                <w:sz w:val="14"/>
                <w:szCs w:val="14"/>
                <w:color w:val="auto"/>
              </w:rPr>
              <w:t>U.S. Department of Energy</w:t>
            </w:r>
          </w:p>
        </w:tc>
        <w:tc>
          <w:tcPr>
            <w:tcW w:w="2700" w:type="dxa"/>
            <w:vAlign w:val="bottom"/>
            <w:vMerge w:val="restart"/>
          </w:tcPr>
          <w:p>
            <w:pPr>
              <w:ind w:left="100"/>
              <w:spacing w:after="0"/>
              <w:rPr>
                <w:sz w:val="20"/>
                <w:szCs w:val="20"/>
                <w:color w:val="auto"/>
              </w:rPr>
            </w:pPr>
            <w:r>
              <w:rPr>
                <w:rFonts w:ascii="Arial" w:cs="Arial" w:eastAsia="Arial" w:hAnsi="Arial"/>
                <w:sz w:val="15"/>
                <w:szCs w:val="15"/>
                <w:b w:val="1"/>
                <w:bCs w:val="1"/>
                <w:color w:val="00529B"/>
              </w:rPr>
              <w:t>DIRECTOR SINCE:</w:t>
            </w:r>
          </w:p>
        </w:tc>
        <w:tc>
          <w:tcPr>
            <w:tcW w:w="300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DIRECTOR SINCE:</w:t>
            </w:r>
          </w:p>
        </w:tc>
        <w:tc>
          <w:tcPr>
            <w:tcW w:w="0" w:type="dxa"/>
            <w:vAlign w:val="bottom"/>
          </w:tcPr>
          <w:p>
            <w:pPr>
              <w:spacing w:after="0"/>
              <w:rPr>
                <w:sz w:val="1"/>
                <w:szCs w:val="1"/>
                <w:color w:val="auto"/>
              </w:rPr>
            </w:pPr>
          </w:p>
        </w:tc>
      </w:tr>
      <w:tr>
        <w:trPr>
          <w:trHeight w:val="110"/>
        </w:trPr>
        <w:tc>
          <w:tcPr>
            <w:tcW w:w="264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rPr>
                <w:sz w:val="20"/>
                <w:szCs w:val="20"/>
                <w:color w:val="auto"/>
              </w:rPr>
            </w:pPr>
            <w:r>
              <w:rPr>
                <w:rFonts w:ascii="Arial" w:cs="Arial" w:eastAsia="Arial" w:hAnsi="Arial"/>
                <w:sz w:val="15"/>
                <w:szCs w:val="15"/>
                <w:b w:val="1"/>
                <w:bCs w:val="1"/>
                <w:color w:val="00529B"/>
              </w:rPr>
              <w:t>CHAIRMAN SINCE:</w:t>
            </w:r>
          </w:p>
        </w:tc>
        <w:tc>
          <w:tcPr>
            <w:tcW w:w="2900" w:type="dxa"/>
            <w:vAlign w:val="bottom"/>
          </w:tcPr>
          <w:p>
            <w:pPr>
              <w:ind w:left="180"/>
              <w:spacing w:after="0"/>
              <w:rPr>
                <w:sz w:val="20"/>
                <w:szCs w:val="20"/>
                <w:color w:val="auto"/>
              </w:rPr>
            </w:pPr>
            <w:r>
              <w:rPr>
                <w:rFonts w:ascii="Arial" w:cs="Arial" w:eastAsia="Arial" w:hAnsi="Arial"/>
                <w:sz w:val="14"/>
                <w:szCs w:val="14"/>
                <w:color w:val="auto"/>
              </w:rPr>
              <w:t>President, Anderson Stratton</w:t>
            </w:r>
          </w:p>
        </w:tc>
        <w:tc>
          <w:tcPr>
            <w:tcW w:w="2700" w:type="dxa"/>
            <w:vAlign w:val="bottom"/>
          </w:tcPr>
          <w:p>
            <w:pPr>
              <w:ind w:left="100"/>
              <w:spacing w:after="0"/>
              <w:rPr>
                <w:sz w:val="20"/>
                <w:szCs w:val="20"/>
                <w:color w:val="auto"/>
              </w:rPr>
            </w:pPr>
            <w:r>
              <w:rPr>
                <w:rFonts w:ascii="Arial" w:cs="Arial" w:eastAsia="Arial" w:hAnsi="Arial"/>
                <w:sz w:val="14"/>
                <w:szCs w:val="14"/>
                <w:color w:val="auto"/>
              </w:rPr>
              <w:t>2020</w:t>
            </w:r>
          </w:p>
        </w:tc>
        <w:tc>
          <w:tcPr>
            <w:tcW w:w="3000" w:type="dxa"/>
            <w:vAlign w:val="bottom"/>
          </w:tcPr>
          <w:p>
            <w:pPr>
              <w:ind w:left="20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4"/>
                <w:szCs w:val="14"/>
                <w:color w:val="auto"/>
              </w:rPr>
              <w:t>2022</w:t>
            </w:r>
          </w:p>
        </w:tc>
        <w:tc>
          <w:tcPr>
            <w:tcW w:w="2900" w:type="dxa"/>
            <w:vAlign w:val="bottom"/>
          </w:tcPr>
          <w:p>
            <w:pPr>
              <w:ind w:left="180"/>
              <w:spacing w:after="0"/>
              <w:rPr>
                <w:sz w:val="20"/>
                <w:szCs w:val="20"/>
                <w:color w:val="auto"/>
              </w:rPr>
            </w:pPr>
            <w:r>
              <w:rPr>
                <w:rFonts w:ascii="Arial" w:cs="Arial" w:eastAsia="Arial" w:hAnsi="Arial"/>
                <w:sz w:val="14"/>
                <w:szCs w:val="14"/>
                <w:color w:val="auto"/>
              </w:rPr>
              <w:t>International, LLC</w:t>
            </w:r>
          </w:p>
        </w:tc>
        <w:tc>
          <w:tcPr>
            <w:tcW w:w="2700" w:type="dxa"/>
            <w:vAlign w:val="bottom"/>
            <w:vMerge w:val="restart"/>
          </w:tcPr>
          <w:p>
            <w:pPr>
              <w:ind w:left="100"/>
              <w:spacing w:after="0"/>
              <w:rPr>
                <w:sz w:val="20"/>
                <w:szCs w:val="20"/>
                <w:color w:val="auto"/>
              </w:rPr>
            </w:pPr>
            <w:r>
              <w:rPr>
                <w:rFonts w:ascii="Arial" w:cs="Arial" w:eastAsia="Arial" w:hAnsi="Arial"/>
                <w:sz w:val="15"/>
                <w:szCs w:val="15"/>
                <w:b w:val="1"/>
                <w:bCs w:val="1"/>
                <w:color w:val="00529B"/>
              </w:rPr>
              <w:t>COMMITTEE MEMBERSHIP:</w:t>
            </w:r>
          </w:p>
        </w:tc>
        <w:tc>
          <w:tcPr>
            <w:tcW w:w="300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COMMITTEE MEMBERSHIP:</w:t>
            </w:r>
          </w:p>
        </w:tc>
        <w:tc>
          <w:tcPr>
            <w:tcW w:w="0" w:type="dxa"/>
            <w:vAlign w:val="bottom"/>
          </w:tcPr>
          <w:p>
            <w:pPr>
              <w:spacing w:after="0"/>
              <w:rPr>
                <w:sz w:val="1"/>
                <w:szCs w:val="1"/>
                <w:color w:val="auto"/>
              </w:rPr>
            </w:pPr>
          </w:p>
        </w:tc>
      </w:tr>
      <w:tr>
        <w:trPr>
          <w:trHeight w:val="158"/>
        </w:trPr>
        <w:tc>
          <w:tcPr>
            <w:tcW w:w="2640" w:type="dxa"/>
            <w:vAlign w:val="bottom"/>
            <w:vMerge w:val="restart"/>
          </w:tcPr>
          <w:p>
            <w:pPr>
              <w:spacing w:after="0"/>
              <w:rPr>
                <w:sz w:val="20"/>
                <w:szCs w:val="20"/>
                <w:color w:val="auto"/>
              </w:rPr>
            </w:pPr>
            <w:r>
              <w:rPr>
                <w:rFonts w:ascii="Arial" w:cs="Arial" w:eastAsia="Arial" w:hAnsi="Arial"/>
                <w:sz w:val="15"/>
                <w:szCs w:val="15"/>
                <w:b w:val="1"/>
                <w:bCs w:val="1"/>
                <w:color w:val="00529B"/>
              </w:rPr>
              <w:t>DIRECTOR SINCE:</w:t>
            </w:r>
          </w:p>
        </w:tc>
        <w:tc>
          <w:tcPr>
            <w:tcW w:w="2900" w:type="dxa"/>
            <w:vAlign w:val="bottom"/>
            <w:vMerge w:val="restart"/>
          </w:tcPr>
          <w:p>
            <w:pPr>
              <w:ind w:left="180"/>
              <w:spacing w:after="0"/>
              <w:rPr>
                <w:sz w:val="20"/>
                <w:szCs w:val="20"/>
                <w:color w:val="auto"/>
              </w:rPr>
            </w:pPr>
            <w:r>
              <w:rPr>
                <w:rFonts w:ascii="Arial" w:cs="Arial" w:eastAsia="Arial" w:hAnsi="Arial"/>
                <w:sz w:val="15"/>
                <w:szCs w:val="15"/>
                <w:b w:val="1"/>
                <w:bCs w:val="1"/>
                <w:color w:val="00529B"/>
              </w:rPr>
              <w:t>DIRECTOR SINCE:</w:t>
            </w:r>
          </w:p>
        </w:tc>
        <w:tc>
          <w:tcPr>
            <w:tcW w:w="2700" w:type="dxa"/>
            <w:vAlign w:val="bottom"/>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4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4"/>
                <w:szCs w:val="14"/>
                <w:color w:val="auto"/>
              </w:rPr>
              <w:t>2016</w:t>
            </w:r>
          </w:p>
        </w:tc>
        <w:tc>
          <w:tcPr>
            <w:tcW w:w="2900" w:type="dxa"/>
            <w:vAlign w:val="bottom"/>
          </w:tcPr>
          <w:p>
            <w:pPr>
              <w:ind w:left="180"/>
              <w:spacing w:after="0"/>
              <w:rPr>
                <w:sz w:val="20"/>
                <w:szCs w:val="20"/>
                <w:color w:val="auto"/>
              </w:rPr>
            </w:pPr>
            <w:r>
              <w:rPr>
                <w:rFonts w:ascii="Arial" w:cs="Arial" w:eastAsia="Arial" w:hAnsi="Arial"/>
                <w:sz w:val="14"/>
                <w:szCs w:val="14"/>
                <w:color w:val="auto"/>
              </w:rPr>
              <w:t>2022</w:t>
            </w:r>
          </w:p>
        </w:tc>
        <w:tc>
          <w:tcPr>
            <w:tcW w:w="2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640" w:type="dxa"/>
            <w:vAlign w:val="bottom"/>
          </w:tcPr>
          <w:p>
            <w:pPr>
              <w:spacing w:after="0"/>
              <w:rPr>
                <w:sz w:val="20"/>
                <w:szCs w:val="20"/>
                <w:color w:val="auto"/>
              </w:rPr>
            </w:pPr>
            <w:r>
              <w:rPr>
                <w:rFonts w:ascii="Arial" w:cs="Arial" w:eastAsia="Arial" w:hAnsi="Arial"/>
                <w:sz w:val="15"/>
                <w:szCs w:val="15"/>
                <w:b w:val="1"/>
                <w:bCs w:val="1"/>
                <w:color w:val="00529B"/>
              </w:rPr>
              <w:t>COMMITTEE MEMBERSHIP:</w:t>
            </w:r>
          </w:p>
        </w:tc>
        <w:tc>
          <w:tcPr>
            <w:tcW w:w="2900" w:type="dxa"/>
            <w:vAlign w:val="bottom"/>
          </w:tcPr>
          <w:p>
            <w:pPr>
              <w:ind w:left="180"/>
              <w:spacing w:after="0"/>
              <w:rPr>
                <w:sz w:val="20"/>
                <w:szCs w:val="20"/>
                <w:color w:val="auto"/>
              </w:rPr>
            </w:pPr>
            <w:r>
              <w:rPr>
                <w:rFonts w:ascii="Arial" w:cs="Arial" w:eastAsia="Arial" w:hAnsi="Arial"/>
                <w:sz w:val="15"/>
                <w:szCs w:val="15"/>
                <w:b w:val="1"/>
                <w:bCs w:val="1"/>
                <w:color w:val="00529B"/>
              </w:rPr>
              <w:t>COMMITTEE MEMBERSHIP:</w:t>
            </w:r>
          </w:p>
        </w:tc>
        <w:tc>
          <w:tcPr>
            <w:tcW w:w="2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8257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2575" cy="12890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76200</wp:posOffset>
            </wp:positionV>
            <wp:extent cx="33401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01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-326390</wp:posOffset>
            </wp:positionV>
            <wp:extent cx="49720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7205"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-326390</wp:posOffset>
            </wp:positionV>
            <wp:extent cx="49720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72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617220" cy="6254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 cy="62547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316230</wp:posOffset>
            </wp:positionV>
            <wp:extent cx="617220" cy="625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 cy="62547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316230</wp:posOffset>
            </wp:positionV>
            <wp:extent cx="617220" cy="6254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 cy="62547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316230</wp:posOffset>
            </wp:positionV>
            <wp:extent cx="617220" cy="6254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722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20"/>
                <w:szCs w:val="20"/>
                <w:color w:val="auto"/>
              </w:rPr>
            </w:pPr>
            <w:r>
              <w:rPr>
                <w:rFonts w:ascii="Arial" w:cs="Arial" w:eastAsia="Arial" w:hAnsi="Arial"/>
                <w:sz w:val="15"/>
                <w:szCs w:val="15"/>
                <w:b w:val="1"/>
                <w:bCs w:val="1"/>
                <w:color w:val="00529B"/>
              </w:rPr>
              <w:t>VICKI HOLLUB</w:t>
            </w:r>
          </w:p>
        </w:tc>
        <w:tc>
          <w:tcPr>
            <w:tcW w:w="2820" w:type="dxa"/>
            <w:vAlign w:val="bottom"/>
          </w:tcPr>
          <w:p>
            <w:pPr>
              <w:ind w:left="200"/>
              <w:spacing w:after="0"/>
              <w:rPr>
                <w:sz w:val="20"/>
                <w:szCs w:val="20"/>
                <w:color w:val="auto"/>
              </w:rPr>
            </w:pPr>
            <w:r>
              <w:rPr>
                <w:rFonts w:ascii="Arial" w:cs="Arial" w:eastAsia="Arial" w:hAnsi="Arial"/>
                <w:sz w:val="15"/>
                <w:szCs w:val="15"/>
                <w:b w:val="1"/>
                <w:bCs w:val="1"/>
                <w:color w:val="00529B"/>
              </w:rPr>
              <w:t>WILLIAM R. KLESSE</w:t>
            </w:r>
          </w:p>
        </w:tc>
        <w:tc>
          <w:tcPr>
            <w:tcW w:w="2800" w:type="dxa"/>
            <w:vAlign w:val="bottom"/>
          </w:tcPr>
          <w:p>
            <w:pPr>
              <w:ind w:left="200"/>
              <w:spacing w:after="0"/>
              <w:rPr>
                <w:sz w:val="20"/>
                <w:szCs w:val="20"/>
                <w:color w:val="auto"/>
              </w:rPr>
            </w:pPr>
            <w:r>
              <w:rPr>
                <w:rFonts w:ascii="Arial" w:cs="Arial" w:eastAsia="Arial" w:hAnsi="Arial"/>
                <w:sz w:val="15"/>
                <w:szCs w:val="15"/>
                <w:b w:val="1"/>
                <w:bCs w:val="1"/>
                <w:color w:val="00529B"/>
              </w:rPr>
              <w:t>CLAIRE O’NEILL</w:t>
            </w:r>
          </w:p>
        </w:tc>
        <w:tc>
          <w:tcPr>
            <w:tcW w:w="2940" w:type="dxa"/>
            <w:vAlign w:val="bottom"/>
          </w:tcPr>
          <w:p>
            <w:pPr>
              <w:ind w:left="200"/>
              <w:spacing w:after="0"/>
              <w:rPr>
                <w:sz w:val="20"/>
                <w:szCs w:val="20"/>
                <w:color w:val="auto"/>
              </w:rPr>
            </w:pPr>
            <w:r>
              <w:rPr>
                <w:rFonts w:ascii="Arial" w:cs="Arial" w:eastAsia="Arial" w:hAnsi="Arial"/>
                <w:sz w:val="15"/>
                <w:szCs w:val="15"/>
                <w:b w:val="1"/>
                <w:bCs w:val="1"/>
                <w:color w:val="00529B"/>
              </w:rPr>
              <w:t>AVEDICK B. POLADIAN</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President and Chief Executive Officer,</w:t>
            </w:r>
          </w:p>
        </w:tc>
        <w:tc>
          <w:tcPr>
            <w:tcW w:w="2820" w:type="dxa"/>
            <w:vAlign w:val="bottom"/>
          </w:tcPr>
          <w:p>
            <w:pPr>
              <w:ind w:left="200"/>
              <w:spacing w:after="0"/>
              <w:rPr>
                <w:sz w:val="20"/>
                <w:szCs w:val="20"/>
                <w:color w:val="auto"/>
              </w:rPr>
            </w:pPr>
            <w:r>
              <w:rPr>
                <w:rFonts w:ascii="Arial" w:cs="Arial" w:eastAsia="Arial" w:hAnsi="Arial"/>
                <w:sz w:val="14"/>
                <w:szCs w:val="14"/>
                <w:color w:val="auto"/>
              </w:rPr>
              <w:t>Former Chief Executive Officer and</w:t>
            </w:r>
          </w:p>
        </w:tc>
        <w:tc>
          <w:tcPr>
            <w:tcW w:w="2800" w:type="dxa"/>
            <w:vAlign w:val="bottom"/>
          </w:tcPr>
          <w:p>
            <w:pPr>
              <w:ind w:left="200"/>
              <w:spacing w:after="0"/>
              <w:rPr>
                <w:sz w:val="20"/>
                <w:szCs w:val="20"/>
                <w:color w:val="auto"/>
              </w:rPr>
            </w:pPr>
            <w:r>
              <w:rPr>
                <w:rFonts w:ascii="Arial" w:cs="Arial" w:eastAsia="Arial" w:hAnsi="Arial"/>
                <w:sz w:val="14"/>
                <w:szCs w:val="14"/>
                <w:color w:val="auto"/>
              </w:rPr>
              <w:t>Former Member of Parliament and</w:t>
            </w:r>
          </w:p>
        </w:tc>
        <w:tc>
          <w:tcPr>
            <w:tcW w:w="2940" w:type="dxa"/>
            <w:vAlign w:val="bottom"/>
          </w:tcPr>
          <w:p>
            <w:pPr>
              <w:ind w:left="200"/>
              <w:spacing w:after="0"/>
              <w:rPr>
                <w:sz w:val="20"/>
                <w:szCs w:val="20"/>
                <w:color w:val="auto"/>
              </w:rPr>
            </w:pPr>
            <w:r>
              <w:rPr>
                <w:rFonts w:ascii="Arial" w:cs="Arial" w:eastAsia="Arial" w:hAnsi="Arial"/>
                <w:sz w:val="14"/>
                <w:szCs w:val="14"/>
                <w:color w:val="auto"/>
              </w:rPr>
              <w:t>Former Executive Vice President and Chief</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Occidental</w:t>
            </w:r>
          </w:p>
        </w:tc>
        <w:tc>
          <w:tcPr>
            <w:tcW w:w="2820" w:type="dxa"/>
            <w:vAlign w:val="bottom"/>
          </w:tcPr>
          <w:p>
            <w:pPr>
              <w:ind w:left="200"/>
              <w:spacing w:after="0"/>
              <w:rPr>
                <w:sz w:val="20"/>
                <w:szCs w:val="20"/>
                <w:color w:val="auto"/>
              </w:rPr>
            </w:pPr>
            <w:r>
              <w:rPr>
                <w:rFonts w:ascii="Arial" w:cs="Arial" w:eastAsia="Arial" w:hAnsi="Arial"/>
                <w:sz w:val="14"/>
                <w:szCs w:val="14"/>
                <w:color w:val="auto"/>
              </w:rPr>
              <w:t>Chairman of the Board, Valero Energy</w:t>
            </w:r>
          </w:p>
        </w:tc>
        <w:tc>
          <w:tcPr>
            <w:tcW w:w="2800" w:type="dxa"/>
            <w:vAlign w:val="bottom"/>
          </w:tcPr>
          <w:p>
            <w:pPr>
              <w:ind w:left="200"/>
              <w:spacing w:after="0"/>
              <w:rPr>
                <w:sz w:val="20"/>
                <w:szCs w:val="20"/>
                <w:color w:val="auto"/>
              </w:rPr>
            </w:pPr>
            <w:r>
              <w:rPr>
                <w:rFonts w:ascii="Arial" w:cs="Arial" w:eastAsia="Arial" w:hAnsi="Arial"/>
                <w:sz w:val="14"/>
                <w:szCs w:val="14"/>
                <w:color w:val="auto"/>
              </w:rPr>
              <w:t>Minister for Energy and Clean Growth</w:t>
            </w:r>
          </w:p>
        </w:tc>
        <w:tc>
          <w:tcPr>
            <w:tcW w:w="2940" w:type="dxa"/>
            <w:vAlign w:val="bottom"/>
          </w:tcPr>
          <w:p>
            <w:pPr>
              <w:ind w:left="200"/>
              <w:spacing w:after="0"/>
              <w:rPr>
                <w:sz w:val="20"/>
                <w:szCs w:val="20"/>
                <w:color w:val="auto"/>
              </w:rPr>
            </w:pPr>
            <w:r>
              <w:rPr>
                <w:rFonts w:ascii="Arial" w:cs="Arial" w:eastAsia="Arial" w:hAnsi="Arial"/>
                <w:sz w:val="14"/>
                <w:szCs w:val="14"/>
                <w:color w:val="auto"/>
              </w:rPr>
              <w:t>Operating Officer, Lowe Enterprises</w:t>
            </w:r>
          </w:p>
        </w:tc>
        <w:tc>
          <w:tcPr>
            <w:tcW w:w="0" w:type="dxa"/>
            <w:vAlign w:val="bottom"/>
          </w:tcPr>
          <w:p>
            <w:pPr>
              <w:spacing w:after="0"/>
              <w:rPr>
                <w:sz w:val="1"/>
                <w:szCs w:val="1"/>
                <w:color w:val="auto"/>
              </w:rPr>
            </w:pPr>
          </w:p>
        </w:tc>
      </w:tr>
      <w:tr>
        <w:trPr>
          <w:trHeight w:val="190"/>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00529B"/>
              </w:rPr>
              <w:t>DIRECTOR SINCE:</w:t>
            </w:r>
          </w:p>
        </w:tc>
        <w:tc>
          <w:tcPr>
            <w:tcW w:w="282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DIRECTOR SINCE:</w:t>
            </w:r>
          </w:p>
        </w:tc>
        <w:tc>
          <w:tcPr>
            <w:tcW w:w="2800" w:type="dxa"/>
            <w:vAlign w:val="bottom"/>
          </w:tcPr>
          <w:p>
            <w:pPr>
              <w:ind w:left="200"/>
              <w:spacing w:after="0"/>
              <w:rPr>
                <w:sz w:val="20"/>
                <w:szCs w:val="20"/>
                <w:color w:val="auto"/>
              </w:rPr>
            </w:pPr>
            <w:r>
              <w:rPr>
                <w:rFonts w:ascii="Arial" w:cs="Arial" w:eastAsia="Arial" w:hAnsi="Arial"/>
                <w:sz w:val="14"/>
                <w:szCs w:val="14"/>
                <w:color w:val="auto"/>
              </w:rPr>
              <w:t>(UK Govt)</w:t>
            </w:r>
          </w:p>
        </w:tc>
        <w:tc>
          <w:tcPr>
            <w:tcW w:w="294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DIRECTOR SINCE:</w:t>
            </w:r>
          </w:p>
        </w:tc>
        <w:tc>
          <w:tcPr>
            <w:tcW w:w="0" w:type="dxa"/>
            <w:vAlign w:val="bottom"/>
          </w:tcPr>
          <w:p>
            <w:pPr>
              <w:spacing w:after="0"/>
              <w:rPr>
                <w:sz w:val="1"/>
                <w:szCs w:val="1"/>
                <w:color w:val="auto"/>
              </w:rPr>
            </w:pPr>
          </w:p>
        </w:tc>
      </w:tr>
      <w:tr>
        <w:trPr>
          <w:trHeight w:val="120"/>
        </w:trPr>
        <w:tc>
          <w:tcPr>
            <w:tcW w:w="262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280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DIRECTOR SINCE:</w:t>
            </w: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2015</w:t>
            </w:r>
          </w:p>
        </w:tc>
        <w:tc>
          <w:tcPr>
            <w:tcW w:w="2820" w:type="dxa"/>
            <w:vAlign w:val="bottom"/>
          </w:tcPr>
          <w:p>
            <w:pPr>
              <w:ind w:left="200"/>
              <w:spacing w:after="0"/>
              <w:rPr>
                <w:sz w:val="20"/>
                <w:szCs w:val="20"/>
                <w:color w:val="auto"/>
              </w:rPr>
            </w:pPr>
            <w:r>
              <w:rPr>
                <w:rFonts w:ascii="Arial" w:cs="Arial" w:eastAsia="Arial" w:hAnsi="Arial"/>
                <w:sz w:val="14"/>
                <w:szCs w:val="14"/>
                <w:color w:val="auto"/>
              </w:rPr>
              <w:t>2013</w:t>
            </w:r>
          </w:p>
        </w:tc>
        <w:tc>
          <w:tcPr>
            <w:tcW w:w="2800" w:type="dxa"/>
            <w:vAlign w:val="bottom"/>
            <w:vMerge w:val="continue"/>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282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COMMITTEE MEMBERSHIP:</w:t>
            </w:r>
          </w:p>
        </w:tc>
        <w:tc>
          <w:tcPr>
            <w:tcW w:w="2800" w:type="dxa"/>
            <w:vAlign w:val="bottom"/>
          </w:tcPr>
          <w:p>
            <w:pPr>
              <w:ind w:left="200"/>
              <w:spacing w:after="0"/>
              <w:rPr>
                <w:sz w:val="20"/>
                <w:szCs w:val="20"/>
                <w:color w:val="auto"/>
              </w:rPr>
            </w:pPr>
            <w:r>
              <w:rPr>
                <w:rFonts w:ascii="Arial" w:cs="Arial" w:eastAsia="Arial" w:hAnsi="Arial"/>
                <w:sz w:val="14"/>
                <w:szCs w:val="14"/>
                <w:color w:val="auto"/>
              </w:rPr>
              <w:t>2023</w:t>
            </w:r>
          </w:p>
        </w:tc>
        <w:tc>
          <w:tcPr>
            <w:tcW w:w="294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COMMITTEE MEMBERSHIP:</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2800" w:type="dxa"/>
            <w:vAlign w:val="bottom"/>
            <w:vMerge w:val="restart"/>
          </w:tcPr>
          <w:p>
            <w:pPr>
              <w:ind w:left="200"/>
              <w:spacing w:after="0"/>
              <w:rPr>
                <w:sz w:val="20"/>
                <w:szCs w:val="20"/>
                <w:color w:val="auto"/>
              </w:rPr>
            </w:pPr>
            <w:r>
              <w:rPr>
                <w:rFonts w:ascii="Arial" w:cs="Arial" w:eastAsia="Arial" w:hAnsi="Arial"/>
                <w:sz w:val="15"/>
                <w:szCs w:val="15"/>
                <w:b w:val="1"/>
                <w:bCs w:val="1"/>
                <w:color w:val="00529B"/>
              </w:rPr>
              <w:t>COMMITTEE MEMBERSHIP:</w:t>
            </w:r>
          </w:p>
        </w:tc>
        <w:tc>
          <w:tcPr>
            <w:tcW w:w="2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-34925</wp:posOffset>
            </wp:positionV>
            <wp:extent cx="29146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465"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67310</wp:posOffset>
            </wp:positionV>
            <wp:extent cx="33401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010" cy="12890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-34925</wp:posOffset>
            </wp:positionV>
            <wp:extent cx="45402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4025" cy="1289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349"/>
        </w:trPr>
        <w:tc>
          <w:tcPr>
            <w:tcW w:w="2660" w:type="dxa"/>
            <w:vAlign w:val="bottom"/>
          </w:tcPr>
          <w:p>
            <w:pPr>
              <w:spacing w:after="0"/>
              <w:rPr>
                <w:sz w:val="24"/>
                <w:szCs w:val="24"/>
                <w:color w:val="auto"/>
              </w:rPr>
            </w:pPr>
          </w:p>
        </w:tc>
        <w:tc>
          <w:tcPr>
            <w:tcW w:w="2960" w:type="dxa"/>
            <w:vAlign w:val="bottom"/>
            <w:tcBorders>
              <w:right w:val="single" w:sz="8" w:color="062E87"/>
            </w:tcBorders>
          </w:tcPr>
          <w:p>
            <w:pPr>
              <w:spacing w:after="0"/>
              <w:rPr>
                <w:sz w:val="24"/>
                <w:szCs w:val="24"/>
                <w:color w:val="auto"/>
              </w:rPr>
            </w:pPr>
          </w:p>
        </w:tc>
        <w:tc>
          <w:tcPr>
            <w:tcW w:w="5600" w:type="dxa"/>
            <w:vAlign w:val="bottom"/>
            <w:tcBorders>
              <w:top w:val="single" w:sz="8" w:color="062E87"/>
              <w:right w:val="single" w:sz="8" w:color="062E87"/>
            </w:tcBorders>
            <w:gridSpan w:val="2"/>
          </w:tcPr>
          <w:p>
            <w:pPr>
              <w:ind w:left="100"/>
              <w:spacing w:after="0"/>
              <w:rPr>
                <w:sz w:val="20"/>
                <w:szCs w:val="20"/>
                <w:color w:val="auto"/>
              </w:rPr>
            </w:pPr>
            <w:r>
              <w:rPr>
                <w:rFonts w:ascii="Arial" w:cs="Arial" w:eastAsia="Arial" w:hAnsi="Arial"/>
                <w:sz w:val="18"/>
                <w:szCs w:val="18"/>
                <w:b w:val="1"/>
                <w:bCs w:val="1"/>
                <w:color w:val="4472C4"/>
              </w:rPr>
              <w:t>BOARD COMMITTEES:</w:t>
            </w:r>
          </w:p>
        </w:tc>
        <w:tc>
          <w:tcPr>
            <w:tcW w:w="0" w:type="dxa"/>
            <w:vAlign w:val="bottom"/>
          </w:tcPr>
          <w:p>
            <w:pPr>
              <w:spacing w:after="0"/>
              <w:rPr>
                <w:sz w:val="1"/>
                <w:szCs w:val="1"/>
                <w:color w:val="auto"/>
              </w:rPr>
            </w:pPr>
          </w:p>
        </w:tc>
      </w:tr>
      <w:tr>
        <w:trPr>
          <w:trHeight w:val="271"/>
        </w:trPr>
        <w:tc>
          <w:tcPr>
            <w:tcW w:w="2660" w:type="dxa"/>
            <w:vAlign w:val="bottom"/>
          </w:tcPr>
          <w:p>
            <w:pPr>
              <w:spacing w:after="0"/>
              <w:rPr>
                <w:sz w:val="23"/>
                <w:szCs w:val="23"/>
                <w:color w:val="auto"/>
              </w:rPr>
            </w:pPr>
          </w:p>
        </w:tc>
        <w:tc>
          <w:tcPr>
            <w:tcW w:w="2960" w:type="dxa"/>
            <w:vAlign w:val="bottom"/>
            <w:tcBorders>
              <w:right w:val="single" w:sz="8" w:color="062E87"/>
            </w:tcBorders>
          </w:tcPr>
          <w:p>
            <w:pPr>
              <w:spacing w:after="0"/>
              <w:rPr>
                <w:sz w:val="23"/>
                <w:szCs w:val="23"/>
                <w:color w:val="auto"/>
              </w:rPr>
            </w:pPr>
          </w:p>
        </w:tc>
        <w:tc>
          <w:tcPr>
            <w:tcW w:w="1020" w:type="dxa"/>
            <w:vAlign w:val="bottom"/>
          </w:tcPr>
          <w:p>
            <w:pPr>
              <w:ind w:left="680"/>
              <w:spacing w:after="0"/>
              <w:rPr>
                <w:sz w:val="20"/>
                <w:szCs w:val="20"/>
                <w:color w:val="auto"/>
              </w:rPr>
            </w:pPr>
            <w:r>
              <w:rPr>
                <w:rFonts w:ascii="Arial" w:cs="Arial" w:eastAsia="Arial" w:hAnsi="Arial"/>
                <w:sz w:val="13"/>
                <w:szCs w:val="13"/>
                <w:color w:val="auto"/>
              </w:rPr>
              <w:t>Audit</w:t>
            </w:r>
          </w:p>
        </w:tc>
        <w:tc>
          <w:tcPr>
            <w:tcW w:w="4580" w:type="dxa"/>
            <w:vAlign w:val="bottom"/>
            <w:tcBorders>
              <w:right w:val="single" w:sz="8" w:color="062E87"/>
            </w:tcBorders>
          </w:tcPr>
          <w:p>
            <w:pPr>
              <w:spacing w:after="0"/>
              <w:rPr>
                <w:sz w:val="23"/>
                <w:szCs w:val="23"/>
                <w:color w:val="auto"/>
              </w:rPr>
            </w:pP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2960" w:type="dxa"/>
            <w:vAlign w:val="bottom"/>
            <w:tcBorders>
              <w:right w:val="single" w:sz="8" w:color="062E87"/>
            </w:tcBorders>
          </w:tcPr>
          <w:p>
            <w:pPr>
              <w:spacing w:after="0"/>
              <w:rPr>
                <w:sz w:val="24"/>
                <w:szCs w:val="24"/>
                <w:color w:val="auto"/>
              </w:rPr>
            </w:pPr>
          </w:p>
        </w:tc>
        <w:tc>
          <w:tcPr>
            <w:tcW w:w="5600" w:type="dxa"/>
            <w:vAlign w:val="bottom"/>
            <w:tcBorders>
              <w:right w:val="single" w:sz="8" w:color="062E87"/>
            </w:tcBorders>
            <w:gridSpan w:val="2"/>
          </w:tcPr>
          <w:p>
            <w:pPr>
              <w:ind w:left="680"/>
              <w:spacing w:after="0"/>
              <w:rPr>
                <w:sz w:val="20"/>
                <w:szCs w:val="20"/>
                <w:color w:val="auto"/>
              </w:rPr>
            </w:pPr>
            <w:r>
              <w:rPr>
                <w:rFonts w:ascii="Arial" w:cs="Arial" w:eastAsia="Arial" w:hAnsi="Arial"/>
                <w:sz w:val="13"/>
                <w:szCs w:val="13"/>
                <w:color w:val="auto"/>
              </w:rPr>
              <w:t>Corporate Governance and Nominating</w:t>
            </w:r>
          </w:p>
        </w:tc>
        <w:tc>
          <w:tcPr>
            <w:tcW w:w="0" w:type="dxa"/>
            <w:vAlign w:val="bottom"/>
          </w:tcPr>
          <w:p>
            <w:pPr>
              <w:spacing w:after="0"/>
              <w:rPr>
                <w:sz w:val="1"/>
                <w:szCs w:val="1"/>
                <w:color w:val="auto"/>
              </w:rPr>
            </w:pPr>
          </w:p>
        </w:tc>
      </w:tr>
      <w:tr>
        <w:trPr>
          <w:trHeight w:val="294"/>
        </w:trPr>
        <w:tc>
          <w:tcPr>
            <w:tcW w:w="2660" w:type="dxa"/>
            <w:vAlign w:val="bottom"/>
          </w:tcPr>
          <w:p>
            <w:pPr>
              <w:spacing w:after="0"/>
              <w:rPr>
                <w:sz w:val="20"/>
                <w:szCs w:val="20"/>
                <w:color w:val="auto"/>
              </w:rPr>
            </w:pPr>
            <w:r>
              <w:rPr>
                <w:rFonts w:ascii="Arial" w:cs="Arial" w:eastAsia="Arial" w:hAnsi="Arial"/>
                <w:sz w:val="15"/>
                <w:szCs w:val="15"/>
                <w:b w:val="1"/>
                <w:bCs w:val="1"/>
                <w:color w:val="00529B"/>
              </w:rPr>
              <w:t>KEN ROBINSON</w:t>
            </w:r>
          </w:p>
        </w:tc>
        <w:tc>
          <w:tcPr>
            <w:tcW w:w="2960" w:type="dxa"/>
            <w:vAlign w:val="bottom"/>
            <w:tcBorders>
              <w:right w:val="single" w:sz="8" w:color="062E87"/>
            </w:tcBorders>
          </w:tcPr>
          <w:p>
            <w:pPr>
              <w:ind w:left="100"/>
              <w:spacing w:after="0"/>
              <w:rPr>
                <w:sz w:val="20"/>
                <w:szCs w:val="20"/>
                <w:color w:val="auto"/>
              </w:rPr>
            </w:pPr>
            <w:r>
              <w:rPr>
                <w:rFonts w:ascii="Arial" w:cs="Arial" w:eastAsia="Arial" w:hAnsi="Arial"/>
                <w:sz w:val="15"/>
                <w:szCs w:val="15"/>
                <w:b w:val="1"/>
                <w:bCs w:val="1"/>
                <w:color w:val="00529B"/>
              </w:rPr>
              <w:t>ROBERT M. SHEARER</w:t>
            </w:r>
          </w:p>
        </w:tc>
        <w:tc>
          <w:tcPr>
            <w:tcW w:w="5600" w:type="dxa"/>
            <w:vAlign w:val="bottom"/>
            <w:tcBorders>
              <w:right w:val="single" w:sz="8" w:color="062E87"/>
            </w:tcBorders>
            <w:gridSpan w:val="2"/>
            <w:vMerge w:val="restart"/>
          </w:tcPr>
          <w:p>
            <w:pPr>
              <w:ind w:left="680"/>
              <w:spacing w:after="0"/>
              <w:rPr>
                <w:sz w:val="20"/>
                <w:szCs w:val="20"/>
                <w:color w:val="auto"/>
              </w:rPr>
            </w:pPr>
            <w:r>
              <w:rPr>
                <w:rFonts w:ascii="Arial" w:cs="Arial" w:eastAsia="Arial" w:hAnsi="Arial"/>
                <w:sz w:val="13"/>
                <w:szCs w:val="13"/>
                <w:color w:val="auto"/>
              </w:rPr>
              <w:t>Environmental, Health and Safety</w:t>
            </w:r>
          </w:p>
        </w:tc>
        <w:tc>
          <w:tcPr>
            <w:tcW w:w="0" w:type="dxa"/>
            <w:vAlign w:val="bottom"/>
          </w:tcPr>
          <w:p>
            <w:pPr>
              <w:spacing w:after="0"/>
              <w:rPr>
                <w:sz w:val="1"/>
                <w:szCs w:val="1"/>
                <w:color w:val="auto"/>
              </w:rPr>
            </w:pPr>
          </w:p>
        </w:tc>
      </w:tr>
      <w:tr>
        <w:trPr>
          <w:trHeight w:val="162"/>
        </w:trPr>
        <w:tc>
          <w:tcPr>
            <w:tcW w:w="2660" w:type="dxa"/>
            <w:vAlign w:val="bottom"/>
          </w:tcPr>
          <w:p>
            <w:pPr>
              <w:spacing w:after="0" w:line="162" w:lineRule="exact"/>
              <w:rPr>
                <w:sz w:val="20"/>
                <w:szCs w:val="20"/>
                <w:color w:val="auto"/>
              </w:rPr>
            </w:pPr>
            <w:r>
              <w:rPr>
                <w:rFonts w:ascii="Arial" w:cs="Arial" w:eastAsia="Arial" w:hAnsi="Arial"/>
                <w:sz w:val="15"/>
                <w:szCs w:val="15"/>
                <w:color w:val="auto"/>
              </w:rPr>
              <w:t>Former Senior Vice President of Audit</w:t>
            </w:r>
          </w:p>
        </w:tc>
        <w:tc>
          <w:tcPr>
            <w:tcW w:w="2960" w:type="dxa"/>
            <w:vAlign w:val="bottom"/>
            <w:tcBorders>
              <w:right w:val="single" w:sz="8" w:color="062E87"/>
            </w:tcBorders>
          </w:tcPr>
          <w:p>
            <w:pPr>
              <w:ind w:left="100"/>
              <w:spacing w:after="0" w:line="162" w:lineRule="exact"/>
              <w:rPr>
                <w:sz w:val="20"/>
                <w:szCs w:val="20"/>
                <w:color w:val="auto"/>
              </w:rPr>
            </w:pPr>
            <w:r>
              <w:rPr>
                <w:rFonts w:ascii="Arial" w:cs="Arial" w:eastAsia="Arial" w:hAnsi="Arial"/>
                <w:sz w:val="15"/>
                <w:szCs w:val="15"/>
                <w:color w:val="auto"/>
              </w:rPr>
              <w:t>Former Managing Director, BlackRock</w:t>
            </w:r>
          </w:p>
        </w:tc>
        <w:tc>
          <w:tcPr>
            <w:tcW w:w="5600" w:type="dxa"/>
            <w:vAlign w:val="bottom"/>
            <w:tcBorders>
              <w:right w:val="single" w:sz="8" w:color="062E87"/>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5"/>
                <w:szCs w:val="15"/>
                <w:color w:val="auto"/>
              </w:rPr>
              <w:t>and Controls, Exelon Corporation</w:t>
            </w:r>
          </w:p>
        </w:tc>
        <w:tc>
          <w:tcPr>
            <w:tcW w:w="2960" w:type="dxa"/>
            <w:vAlign w:val="bottom"/>
            <w:tcBorders>
              <w:right w:val="single" w:sz="8" w:color="062E87"/>
            </w:tcBorders>
          </w:tcPr>
          <w:p>
            <w:pPr>
              <w:ind w:left="100"/>
              <w:spacing w:after="0"/>
              <w:rPr>
                <w:sz w:val="20"/>
                <w:szCs w:val="20"/>
                <w:color w:val="auto"/>
              </w:rPr>
            </w:pPr>
            <w:r>
              <w:rPr>
                <w:rFonts w:ascii="Arial" w:cs="Arial" w:eastAsia="Arial" w:hAnsi="Arial"/>
                <w:sz w:val="15"/>
                <w:szCs w:val="15"/>
                <w:color w:val="auto"/>
              </w:rPr>
              <w:t>Advisors, LLC</w:t>
            </w:r>
          </w:p>
        </w:tc>
        <w:tc>
          <w:tcPr>
            <w:tcW w:w="1020" w:type="dxa"/>
            <w:vAlign w:val="bottom"/>
          </w:tcPr>
          <w:p>
            <w:pPr>
              <w:spacing w:after="0"/>
              <w:rPr>
                <w:sz w:val="17"/>
                <w:szCs w:val="17"/>
                <w:color w:val="auto"/>
              </w:rPr>
            </w:pPr>
          </w:p>
        </w:tc>
        <w:tc>
          <w:tcPr>
            <w:tcW w:w="4580" w:type="dxa"/>
            <w:vAlign w:val="bottom"/>
            <w:tcBorders>
              <w:right w:val="single" w:sz="8" w:color="062E87"/>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60" w:type="dxa"/>
            <w:vAlign w:val="bottom"/>
            <w:vMerge w:val="restart"/>
          </w:tcPr>
          <w:p>
            <w:pPr>
              <w:spacing w:after="0"/>
              <w:rPr>
                <w:sz w:val="20"/>
                <w:szCs w:val="20"/>
                <w:color w:val="auto"/>
              </w:rPr>
            </w:pPr>
            <w:r>
              <w:rPr>
                <w:rFonts w:ascii="Arial" w:cs="Arial" w:eastAsia="Arial" w:hAnsi="Arial"/>
                <w:sz w:val="15"/>
                <w:szCs w:val="15"/>
                <w:b w:val="1"/>
                <w:bCs w:val="1"/>
                <w:color w:val="00529B"/>
              </w:rPr>
              <w:t>DIRECTOR SINCE:</w:t>
            </w:r>
          </w:p>
        </w:tc>
        <w:tc>
          <w:tcPr>
            <w:tcW w:w="2960" w:type="dxa"/>
            <w:vAlign w:val="bottom"/>
            <w:tcBorders>
              <w:right w:val="single" w:sz="8" w:color="062E87"/>
            </w:tcBorders>
            <w:vMerge w:val="restart"/>
          </w:tcPr>
          <w:p>
            <w:pPr>
              <w:ind w:left="100"/>
              <w:spacing w:after="0"/>
              <w:rPr>
                <w:sz w:val="20"/>
                <w:szCs w:val="20"/>
                <w:color w:val="auto"/>
              </w:rPr>
            </w:pPr>
            <w:r>
              <w:rPr>
                <w:rFonts w:ascii="Arial" w:cs="Arial" w:eastAsia="Arial" w:hAnsi="Arial"/>
                <w:sz w:val="15"/>
                <w:szCs w:val="15"/>
                <w:b w:val="1"/>
                <w:bCs w:val="1"/>
                <w:color w:val="00529B"/>
              </w:rPr>
              <w:t>DIRECTOR SINCE:</w:t>
            </w:r>
          </w:p>
        </w:tc>
        <w:tc>
          <w:tcPr>
            <w:tcW w:w="5600" w:type="dxa"/>
            <w:vAlign w:val="bottom"/>
            <w:tcBorders>
              <w:right w:val="single" w:sz="8" w:color="062E87"/>
            </w:tcBorders>
            <w:gridSpan w:val="2"/>
          </w:tcPr>
          <w:p>
            <w:pPr>
              <w:ind w:left="680"/>
              <w:spacing w:after="0"/>
              <w:rPr>
                <w:sz w:val="20"/>
                <w:szCs w:val="20"/>
                <w:color w:val="auto"/>
              </w:rPr>
            </w:pPr>
            <w:r>
              <w:rPr>
                <w:rFonts w:ascii="Arial" w:cs="Arial" w:eastAsia="Arial" w:hAnsi="Arial"/>
                <w:sz w:val="13"/>
                <w:szCs w:val="13"/>
                <w:color w:val="auto"/>
              </w:rPr>
              <w:t>Executive Compensation</w:t>
            </w:r>
          </w:p>
        </w:tc>
        <w:tc>
          <w:tcPr>
            <w:tcW w:w="0" w:type="dxa"/>
            <w:vAlign w:val="bottom"/>
          </w:tcPr>
          <w:p>
            <w:pPr>
              <w:spacing w:after="0"/>
              <w:rPr>
                <w:sz w:val="1"/>
                <w:szCs w:val="1"/>
                <w:color w:val="auto"/>
              </w:rPr>
            </w:pPr>
          </w:p>
        </w:tc>
      </w:tr>
      <w:tr>
        <w:trPr>
          <w:trHeight w:val="78"/>
        </w:trPr>
        <w:tc>
          <w:tcPr>
            <w:tcW w:w="2660" w:type="dxa"/>
            <w:vAlign w:val="bottom"/>
            <w:vMerge w:val="continue"/>
          </w:tcPr>
          <w:p>
            <w:pPr>
              <w:spacing w:after="0"/>
              <w:rPr>
                <w:sz w:val="6"/>
                <w:szCs w:val="6"/>
                <w:color w:val="auto"/>
              </w:rPr>
            </w:pPr>
          </w:p>
        </w:tc>
        <w:tc>
          <w:tcPr>
            <w:tcW w:w="2960" w:type="dxa"/>
            <w:vAlign w:val="bottom"/>
            <w:tcBorders>
              <w:right w:val="single" w:sz="8" w:color="062E87"/>
            </w:tcBorders>
            <w:vMerge w:val="continue"/>
          </w:tcPr>
          <w:p>
            <w:pPr>
              <w:spacing w:after="0"/>
              <w:rPr>
                <w:sz w:val="6"/>
                <w:szCs w:val="6"/>
                <w:color w:val="auto"/>
              </w:rPr>
            </w:pPr>
          </w:p>
        </w:tc>
        <w:tc>
          <w:tcPr>
            <w:tcW w:w="1020" w:type="dxa"/>
            <w:vAlign w:val="bottom"/>
          </w:tcPr>
          <w:p>
            <w:pPr>
              <w:spacing w:after="0"/>
              <w:rPr>
                <w:sz w:val="6"/>
                <w:szCs w:val="6"/>
                <w:color w:val="auto"/>
              </w:rPr>
            </w:pPr>
          </w:p>
        </w:tc>
        <w:tc>
          <w:tcPr>
            <w:tcW w:w="4580" w:type="dxa"/>
            <w:vAlign w:val="bottom"/>
            <w:tcBorders>
              <w:right w:val="single" w:sz="8" w:color="062E87"/>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5"/>
                <w:szCs w:val="15"/>
                <w:color w:val="auto"/>
              </w:rPr>
              <w:t>2023</w:t>
            </w:r>
          </w:p>
        </w:tc>
        <w:tc>
          <w:tcPr>
            <w:tcW w:w="2960" w:type="dxa"/>
            <w:vAlign w:val="bottom"/>
            <w:tcBorders>
              <w:right w:val="single" w:sz="8" w:color="062E87"/>
            </w:tcBorders>
          </w:tcPr>
          <w:p>
            <w:pPr>
              <w:ind w:left="100"/>
              <w:spacing w:after="0"/>
              <w:rPr>
                <w:sz w:val="20"/>
                <w:szCs w:val="20"/>
                <w:color w:val="auto"/>
              </w:rPr>
            </w:pPr>
            <w:r>
              <w:rPr>
                <w:rFonts w:ascii="Arial" w:cs="Arial" w:eastAsia="Arial" w:hAnsi="Arial"/>
                <w:sz w:val="15"/>
                <w:szCs w:val="15"/>
                <w:color w:val="auto"/>
              </w:rPr>
              <w:t>2019</w:t>
            </w:r>
          </w:p>
        </w:tc>
        <w:tc>
          <w:tcPr>
            <w:tcW w:w="5600" w:type="dxa"/>
            <w:vAlign w:val="bottom"/>
            <w:tcBorders>
              <w:right w:val="single" w:sz="8" w:color="062E87"/>
            </w:tcBorders>
            <w:gridSpan w:val="2"/>
            <w:vMerge w:val="restart"/>
          </w:tcPr>
          <w:p>
            <w:pPr>
              <w:ind w:left="680"/>
              <w:spacing w:after="0"/>
              <w:rPr>
                <w:sz w:val="20"/>
                <w:szCs w:val="20"/>
                <w:color w:val="auto"/>
              </w:rPr>
            </w:pPr>
            <w:r>
              <w:rPr>
                <w:rFonts w:ascii="Arial" w:cs="Arial" w:eastAsia="Arial" w:hAnsi="Arial"/>
                <w:sz w:val="13"/>
                <w:szCs w:val="13"/>
                <w:color w:val="auto"/>
              </w:rPr>
              <w:t>Sustainability and Shareholder Engagement</w:t>
            </w: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2960" w:type="dxa"/>
            <w:vAlign w:val="bottom"/>
            <w:tcBorders>
              <w:right w:val="single" w:sz="8" w:color="062E87"/>
            </w:tcBorders>
            <w:vMerge w:val="restart"/>
          </w:tcPr>
          <w:p>
            <w:pPr>
              <w:ind w:left="100"/>
              <w:spacing w:after="0"/>
              <w:rPr>
                <w:sz w:val="20"/>
                <w:szCs w:val="20"/>
                <w:color w:val="auto"/>
              </w:rPr>
            </w:pPr>
            <w:r>
              <w:rPr>
                <w:rFonts w:ascii="Arial" w:cs="Arial" w:eastAsia="Arial" w:hAnsi="Arial"/>
                <w:sz w:val="15"/>
                <w:szCs w:val="15"/>
                <w:b w:val="1"/>
                <w:bCs w:val="1"/>
                <w:color w:val="00529B"/>
              </w:rPr>
              <w:t>COMMITTEE MEMBERSHIP:</w:t>
            </w:r>
          </w:p>
        </w:tc>
        <w:tc>
          <w:tcPr>
            <w:tcW w:w="5600" w:type="dxa"/>
            <w:vAlign w:val="bottom"/>
            <w:tcBorders>
              <w:right w:val="single" w:sz="8" w:color="062E87"/>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2960" w:type="dxa"/>
            <w:vAlign w:val="bottom"/>
            <w:tcBorders>
              <w:right w:val="single" w:sz="8" w:color="062E87"/>
            </w:tcBorders>
            <w:vMerge w:val="continue"/>
          </w:tcPr>
          <w:p>
            <w:pPr>
              <w:spacing w:after="0"/>
              <w:rPr>
                <w:sz w:val="16"/>
                <w:szCs w:val="16"/>
                <w:color w:val="auto"/>
              </w:rPr>
            </w:pPr>
          </w:p>
        </w:tc>
        <w:tc>
          <w:tcPr>
            <w:tcW w:w="1020" w:type="dxa"/>
            <w:vAlign w:val="bottom"/>
          </w:tcPr>
          <w:p>
            <w:pPr>
              <w:spacing w:after="0"/>
              <w:rPr>
                <w:sz w:val="16"/>
                <w:szCs w:val="16"/>
                <w:color w:val="auto"/>
              </w:rPr>
            </w:pPr>
          </w:p>
        </w:tc>
        <w:tc>
          <w:tcPr>
            <w:tcW w:w="4580" w:type="dxa"/>
            <w:vAlign w:val="bottom"/>
            <w:tcBorders>
              <w:right w:val="single" w:sz="8" w:color="062E87"/>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2960" w:type="dxa"/>
            <w:vAlign w:val="bottom"/>
            <w:tcBorders>
              <w:right w:val="single" w:sz="8" w:color="062E87"/>
            </w:tcBorders>
          </w:tcPr>
          <w:p>
            <w:pPr>
              <w:spacing w:after="0"/>
              <w:rPr>
                <w:sz w:val="17"/>
                <w:szCs w:val="17"/>
                <w:color w:val="auto"/>
              </w:rPr>
            </w:pPr>
          </w:p>
        </w:tc>
        <w:tc>
          <w:tcPr>
            <w:tcW w:w="1020" w:type="dxa"/>
            <w:vAlign w:val="bottom"/>
          </w:tcPr>
          <w:p>
            <w:pPr>
              <w:ind w:left="380"/>
              <w:spacing w:after="0"/>
              <w:rPr>
                <w:sz w:val="20"/>
                <w:szCs w:val="20"/>
                <w:color w:val="auto"/>
              </w:rPr>
            </w:pPr>
            <w:r>
              <w:rPr>
                <w:rFonts w:ascii="Arial" w:cs="Arial" w:eastAsia="Arial" w:hAnsi="Arial"/>
                <w:sz w:val="13"/>
                <w:szCs w:val="13"/>
                <w:color w:val="auto"/>
              </w:rPr>
              <w:t>Chair</w:t>
            </w:r>
          </w:p>
        </w:tc>
        <w:tc>
          <w:tcPr>
            <w:tcW w:w="4580" w:type="dxa"/>
            <w:vAlign w:val="bottom"/>
            <w:tcBorders>
              <w:right w:val="single" w:sz="8" w:color="062E87"/>
            </w:tcBorders>
          </w:tcPr>
          <w:p>
            <w:pPr>
              <w:ind w:left="60"/>
              <w:spacing w:after="0"/>
              <w:rPr>
                <w:sz w:val="20"/>
                <w:szCs w:val="20"/>
                <w:color w:val="auto"/>
              </w:rPr>
            </w:pPr>
            <w:r>
              <w:rPr>
                <w:rFonts w:ascii="Arial" w:cs="Arial" w:eastAsia="Arial" w:hAnsi="Arial"/>
                <w:sz w:val="13"/>
                <w:szCs w:val="13"/>
                <w:color w:val="auto"/>
              </w:rPr>
              <w:t>Member</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2960" w:type="dxa"/>
            <w:vAlign w:val="bottom"/>
            <w:tcBorders>
              <w:right w:val="single" w:sz="8" w:color="062E87"/>
            </w:tcBorders>
          </w:tcPr>
          <w:p>
            <w:pPr>
              <w:spacing w:after="0"/>
              <w:rPr>
                <w:sz w:val="9"/>
                <w:szCs w:val="9"/>
                <w:color w:val="auto"/>
              </w:rPr>
            </w:pPr>
          </w:p>
        </w:tc>
        <w:tc>
          <w:tcPr>
            <w:tcW w:w="1020" w:type="dxa"/>
            <w:vAlign w:val="bottom"/>
            <w:tcBorders>
              <w:bottom w:val="single" w:sz="8" w:color="062E87"/>
            </w:tcBorders>
          </w:tcPr>
          <w:p>
            <w:pPr>
              <w:spacing w:after="0"/>
              <w:rPr>
                <w:sz w:val="9"/>
                <w:szCs w:val="9"/>
                <w:color w:val="auto"/>
              </w:rPr>
            </w:pPr>
          </w:p>
        </w:tc>
        <w:tc>
          <w:tcPr>
            <w:tcW w:w="4580" w:type="dxa"/>
            <w:vAlign w:val="bottom"/>
            <w:tcBorders>
              <w:bottom w:val="single" w:sz="8" w:color="062E87"/>
              <w:right w:val="single" w:sz="8" w:color="062E87"/>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-1799590</wp:posOffset>
            </wp:positionV>
            <wp:extent cx="600075" cy="625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0075" cy="62547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-1799590</wp:posOffset>
            </wp:positionV>
            <wp:extent cx="617220" cy="6254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 cy="62547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-128270</wp:posOffset>
            </wp:positionV>
            <wp:extent cx="49720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7205"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-1568450</wp:posOffset>
            </wp:positionV>
            <wp:extent cx="222885"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-1285240</wp:posOffset>
            </wp:positionV>
            <wp:extent cx="22288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222885"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-736600</wp:posOffset>
            </wp:positionV>
            <wp:extent cx="22288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-462280</wp:posOffset>
            </wp:positionV>
            <wp:extent cx="222885"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2885" cy="18034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-196850</wp:posOffset>
            </wp:positionV>
            <wp:extent cx="12890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-196850</wp:posOffset>
            </wp:positionV>
            <wp:extent cx="12890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80"/>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Proxy Statement Summary</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2900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00" cy="163195"/>
                    </a:xfrm>
                    <a:prstGeom prst="rect">
                      <a:avLst/>
                    </a:prstGeom>
                    <a:noFill/>
                  </pic:spPr>
                </pic:pic>
              </a:graphicData>
            </a:graphic>
          </wp:anchor>
        </w:drawing>
      </w:r>
    </w:p>
    <w:p>
      <w:pPr>
        <w:spacing w:after="0" w:line="238" w:lineRule="exact"/>
        <w:rPr>
          <w:sz w:val="20"/>
          <w:szCs w:val="20"/>
          <w:color w:val="auto"/>
        </w:rPr>
      </w:pPr>
    </w:p>
    <w:p>
      <w:pPr>
        <w:ind w:right="180"/>
        <w:spacing w:after="0" w:line="236" w:lineRule="auto"/>
        <w:rPr>
          <w:sz w:val="20"/>
          <w:szCs w:val="20"/>
          <w:color w:val="auto"/>
        </w:rPr>
      </w:pPr>
      <w:r>
        <w:rPr>
          <w:rFonts w:ascii="Arial" w:cs="Arial" w:eastAsia="Arial" w:hAnsi="Arial"/>
          <w:sz w:val="15"/>
          <w:szCs w:val="15"/>
          <w:color w:val="auto"/>
        </w:rPr>
        <w:t>Occidental’s governance policies require that independent directors comprise at least two-thirds of the members of the Board (a policy that exceeds New York Stock Exchange (NYSE) requirements). The Board has affirmatively determined that each of our Board’s director nominees, other than Ms. Hollub,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577340" cy="1183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773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2900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00" cy="163195"/>
                    </a:xfrm>
                    <a:prstGeom prst="rect">
                      <a:avLst/>
                    </a:prstGeom>
                    <a:noFill/>
                  </pic:spPr>
                </pic:pic>
              </a:graphicData>
            </a:graphic>
          </wp:anchor>
        </w:drawing>
      </w:r>
    </w:p>
    <w:p>
      <w:pPr>
        <w:spacing w:after="0" w:line="238"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auto"/>
        </w:rPr>
        <w:t>The average tenure of our Board’s director nominees is approximately 6.0 years, which we believe reflects a balance of company experience and new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877060" cy="1371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7706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2900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00" cy="163195"/>
                    </a:xfrm>
                    <a:prstGeom prst="rect">
                      <a:avLst/>
                    </a:prstGeom>
                    <a:noFill/>
                  </pic:spPr>
                </pic:pic>
              </a:graphicData>
            </a:graphic>
          </wp:anchor>
        </w:drawing>
      </w:r>
    </w:p>
    <w:p>
      <w:pPr>
        <w:spacing w:after="0" w:line="238" w:lineRule="exact"/>
        <w:rPr>
          <w:sz w:val="20"/>
          <w:szCs w:val="20"/>
          <w:color w:val="auto"/>
        </w:rPr>
      </w:pPr>
    </w:p>
    <w:p>
      <w:pPr>
        <w:ind w:right="320"/>
        <w:spacing w:after="0" w:line="238" w:lineRule="auto"/>
        <w:rPr>
          <w:sz w:val="20"/>
          <w:szCs w:val="20"/>
          <w:color w:val="auto"/>
        </w:rPr>
      </w:pPr>
      <w:r>
        <w:rPr>
          <w:rFonts w:ascii="Arial" w:cs="Arial" w:eastAsia="Arial" w:hAnsi="Arial"/>
          <w:sz w:val="15"/>
          <w:szCs w:val="15"/>
          <w:color w:val="auto"/>
        </w:rPr>
        <w:t>The Board recognizes the importance of having a diverse and broadly inclusive membership. As part of its commitment to diversity and Board refreshment, the Board recently elected Ms. O’Neill and Mr. Robinson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1822450</wp:posOffset>
            </wp:positionV>
            <wp:extent cx="672084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2640330" cy="1491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40330" cy="149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right="1320"/>
        <w:spacing w:after="0" w:line="305" w:lineRule="auto"/>
        <w:rPr>
          <w:sz w:val="20"/>
          <w:szCs w:val="20"/>
          <w:color w:val="auto"/>
        </w:rPr>
      </w:pPr>
      <w:r>
        <w:rPr>
          <w:rFonts w:ascii="Arial" w:cs="Arial" w:eastAsia="Arial" w:hAnsi="Arial"/>
          <w:sz w:val="35"/>
          <w:szCs w:val="3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-624840</wp:posOffset>
            </wp:positionV>
            <wp:extent cx="3540125" cy="6763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40125" cy="6763385"/>
                    </a:xfrm>
                    <a:prstGeom prst="rect">
                      <a:avLst/>
                    </a:prstGeom>
                    <a:noFill/>
                  </pic:spPr>
                </pic:pic>
              </a:graphicData>
            </a:graphic>
          </wp:anchor>
        </w:drawing>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529B"/>
        </w:rPr>
        <w:t>RELATING TO THE BOARD</w:t>
      </w:r>
    </w:p>
    <w:p>
      <w:pPr>
        <w:spacing w:after="0" w:line="145" w:lineRule="exact"/>
        <w:rPr>
          <w:sz w:val="20"/>
          <w:szCs w:val="20"/>
          <w:color w:val="auto"/>
        </w:rPr>
      </w:pPr>
    </w:p>
    <w:p>
      <w:pPr>
        <w:ind w:left="480" w:hanging="191"/>
        <w:spacing w:after="0"/>
        <w:tabs>
          <w:tab w:leader="none" w:pos="480" w:val="left"/>
        </w:tabs>
        <w:numPr>
          <w:ilvl w:val="0"/>
          <w:numId w:val="9"/>
        </w:numPr>
        <w:rPr>
          <w:rFonts w:ascii="Arial" w:cs="Arial" w:eastAsia="Arial" w:hAnsi="Arial"/>
          <w:sz w:val="15"/>
          <w:szCs w:val="15"/>
          <w:color w:val="00529B"/>
        </w:rPr>
      </w:pPr>
      <w:r>
        <w:rPr>
          <w:rFonts w:ascii="Arial" w:cs="Arial" w:eastAsia="Arial" w:hAnsi="Arial"/>
          <w:sz w:val="15"/>
          <w:szCs w:val="15"/>
          <w:color w:val="auto"/>
        </w:rPr>
        <w:t>Independent Chairman of the Board</w:t>
      </w:r>
    </w:p>
    <w:p>
      <w:pPr>
        <w:spacing w:after="0" w:line="151" w:lineRule="exact"/>
        <w:rPr>
          <w:rFonts w:ascii="Arial" w:cs="Arial" w:eastAsia="Arial" w:hAnsi="Arial"/>
          <w:sz w:val="15"/>
          <w:szCs w:val="15"/>
          <w:color w:val="00529B"/>
        </w:rPr>
      </w:pPr>
    </w:p>
    <w:p>
      <w:pPr>
        <w:ind w:left="460" w:right="240" w:hanging="171"/>
        <w:spacing w:after="0" w:line="264" w:lineRule="auto"/>
        <w:tabs>
          <w:tab w:leader="none" w:pos="474" w:val="left"/>
        </w:tabs>
        <w:numPr>
          <w:ilvl w:val="0"/>
          <w:numId w:val="9"/>
        </w:numPr>
        <w:rPr>
          <w:rFonts w:ascii="Arial" w:cs="Arial" w:eastAsia="Arial" w:hAnsi="Arial"/>
          <w:sz w:val="15"/>
          <w:szCs w:val="15"/>
          <w:color w:val="00529B"/>
        </w:rPr>
      </w:pPr>
      <w:r>
        <w:rPr>
          <w:rFonts w:ascii="Arial" w:cs="Arial" w:eastAsia="Arial" w:hAnsi="Arial"/>
          <w:sz w:val="15"/>
          <w:szCs w:val="15"/>
          <w:color w:val="auto"/>
        </w:rPr>
        <w:t>Annual elections of the entire Board by a majority of votes cast (for uncontested elections)</w:t>
      </w:r>
    </w:p>
    <w:p>
      <w:pPr>
        <w:spacing w:after="0" w:line="93" w:lineRule="exact"/>
        <w:rPr>
          <w:rFonts w:ascii="Arial" w:cs="Arial" w:eastAsia="Arial" w:hAnsi="Arial"/>
          <w:sz w:val="15"/>
          <w:szCs w:val="15"/>
          <w:color w:val="00529B"/>
        </w:rPr>
      </w:pPr>
    </w:p>
    <w:p>
      <w:pPr>
        <w:ind w:left="460" w:right="760" w:hanging="171"/>
        <w:spacing w:after="0" w:line="264" w:lineRule="auto"/>
        <w:tabs>
          <w:tab w:leader="none" w:pos="474" w:val="left"/>
        </w:tabs>
        <w:numPr>
          <w:ilvl w:val="0"/>
          <w:numId w:val="9"/>
        </w:numPr>
        <w:rPr>
          <w:rFonts w:ascii="Arial" w:cs="Arial" w:eastAsia="Arial" w:hAnsi="Arial"/>
          <w:sz w:val="15"/>
          <w:szCs w:val="15"/>
          <w:color w:val="00529B"/>
        </w:rPr>
      </w:pPr>
      <w:r>
        <w:rPr>
          <w:rFonts w:ascii="Arial" w:cs="Arial" w:eastAsia="Arial" w:hAnsi="Arial"/>
          <w:sz w:val="15"/>
          <w:szCs w:val="15"/>
          <w:color w:val="auto"/>
        </w:rPr>
        <w:t>Mandatory resignation if a majority vote is not received (for uncontested elections)</w:t>
      </w:r>
    </w:p>
    <w:p>
      <w:pPr>
        <w:spacing w:after="0" w:line="93" w:lineRule="exact"/>
        <w:rPr>
          <w:rFonts w:ascii="Arial" w:cs="Arial" w:eastAsia="Arial" w:hAnsi="Arial"/>
          <w:sz w:val="15"/>
          <w:szCs w:val="15"/>
          <w:color w:val="00529B"/>
        </w:rPr>
      </w:pPr>
    </w:p>
    <w:p>
      <w:pPr>
        <w:ind w:left="480" w:hanging="191"/>
        <w:spacing w:after="0"/>
        <w:tabs>
          <w:tab w:leader="none" w:pos="480" w:val="left"/>
        </w:tabs>
        <w:numPr>
          <w:ilvl w:val="0"/>
          <w:numId w:val="9"/>
        </w:numPr>
        <w:rPr>
          <w:rFonts w:ascii="Arial" w:cs="Arial" w:eastAsia="Arial" w:hAnsi="Arial"/>
          <w:sz w:val="15"/>
          <w:szCs w:val="15"/>
          <w:color w:val="00529B"/>
        </w:rPr>
      </w:pPr>
      <w:r>
        <w:rPr>
          <w:rFonts w:ascii="Arial" w:cs="Arial" w:eastAsia="Arial" w:hAnsi="Arial"/>
          <w:sz w:val="15"/>
          <w:szCs w:val="15"/>
          <w:color w:val="auto"/>
        </w:rPr>
        <w:t>Demonstrated commitment to Board refreshment</w:t>
      </w:r>
    </w:p>
    <w:p>
      <w:pPr>
        <w:spacing w:after="0" w:line="151" w:lineRule="exact"/>
        <w:rPr>
          <w:rFonts w:ascii="Arial" w:cs="Arial" w:eastAsia="Arial" w:hAnsi="Arial"/>
          <w:sz w:val="15"/>
          <w:szCs w:val="15"/>
          <w:color w:val="00529B"/>
        </w:rPr>
      </w:pPr>
    </w:p>
    <w:p>
      <w:pPr>
        <w:ind w:left="460" w:right="640" w:hanging="171"/>
        <w:spacing w:after="0" w:line="264" w:lineRule="auto"/>
        <w:tabs>
          <w:tab w:leader="none" w:pos="474" w:val="left"/>
        </w:tabs>
        <w:numPr>
          <w:ilvl w:val="0"/>
          <w:numId w:val="9"/>
        </w:numPr>
        <w:rPr>
          <w:rFonts w:ascii="Arial" w:cs="Arial" w:eastAsia="Arial" w:hAnsi="Arial"/>
          <w:sz w:val="15"/>
          <w:szCs w:val="15"/>
          <w:color w:val="00529B"/>
        </w:rPr>
      </w:pPr>
      <w:r>
        <w:rPr>
          <w:rFonts w:ascii="Arial" w:cs="Arial" w:eastAsia="Arial" w:hAnsi="Arial"/>
          <w:sz w:val="15"/>
          <w:szCs w:val="15"/>
          <w:color w:val="auto"/>
        </w:rPr>
        <w:t>Tenure policy that seeks to maintain an average tenure of 10 years or less for non-employee directors</w:t>
      </w:r>
    </w:p>
    <w:p>
      <w:pPr>
        <w:spacing w:after="0" w:line="93" w:lineRule="exact"/>
        <w:rPr>
          <w:rFonts w:ascii="Arial" w:cs="Arial" w:eastAsia="Arial" w:hAnsi="Arial"/>
          <w:sz w:val="15"/>
          <w:szCs w:val="15"/>
          <w:color w:val="00529B"/>
        </w:rPr>
      </w:pPr>
    </w:p>
    <w:p>
      <w:pPr>
        <w:ind w:left="480" w:hanging="191"/>
        <w:spacing w:after="0"/>
        <w:tabs>
          <w:tab w:leader="none" w:pos="480" w:val="left"/>
        </w:tabs>
        <w:numPr>
          <w:ilvl w:val="0"/>
          <w:numId w:val="9"/>
        </w:numPr>
        <w:rPr>
          <w:rFonts w:ascii="Arial" w:cs="Arial" w:eastAsia="Arial" w:hAnsi="Arial"/>
          <w:sz w:val="15"/>
          <w:szCs w:val="15"/>
          <w:color w:val="00529B"/>
        </w:rPr>
      </w:pPr>
      <w:r>
        <w:rPr>
          <w:rFonts w:ascii="Arial" w:cs="Arial" w:eastAsia="Arial" w:hAnsi="Arial"/>
          <w:sz w:val="15"/>
          <w:szCs w:val="15"/>
          <w:color w:val="auto"/>
        </w:rPr>
        <w:t>Board committees composed entirely of independent directors</w:t>
      </w:r>
    </w:p>
    <w:p>
      <w:pPr>
        <w:spacing w:after="0" w:line="138" w:lineRule="exact"/>
        <w:rPr>
          <w:rFonts w:ascii="Arial" w:cs="Arial" w:eastAsia="Arial" w:hAnsi="Arial"/>
          <w:sz w:val="15"/>
          <w:szCs w:val="15"/>
          <w:color w:val="00529B"/>
        </w:rPr>
      </w:pPr>
    </w:p>
    <w:p>
      <w:pPr>
        <w:ind w:left="460" w:right="440" w:hanging="171"/>
        <w:spacing w:after="0" w:line="264" w:lineRule="auto"/>
        <w:tabs>
          <w:tab w:leader="none" w:pos="474" w:val="left"/>
        </w:tabs>
        <w:numPr>
          <w:ilvl w:val="0"/>
          <w:numId w:val="9"/>
        </w:numPr>
        <w:rPr>
          <w:rFonts w:ascii="Arial" w:cs="Arial" w:eastAsia="Arial" w:hAnsi="Arial"/>
          <w:sz w:val="15"/>
          <w:szCs w:val="15"/>
          <w:color w:val="00529B"/>
        </w:rPr>
      </w:pPr>
      <w:r>
        <w:rPr>
          <w:rFonts w:ascii="Arial" w:cs="Arial" w:eastAsia="Arial" w:hAnsi="Arial"/>
          <w:sz w:val="15"/>
          <w:szCs w:val="15"/>
          <w:color w:val="auto"/>
        </w:rPr>
        <w:t>Meaningful director stock ownership guidelines (6x annual cash retainer) with holding requirement</w:t>
      </w:r>
    </w:p>
    <w:p>
      <w:pPr>
        <w:spacing w:after="0" w:line="106" w:lineRule="exact"/>
        <w:rPr>
          <w:rFonts w:ascii="Arial" w:cs="Arial" w:eastAsia="Arial" w:hAnsi="Arial"/>
          <w:sz w:val="15"/>
          <w:szCs w:val="15"/>
          <w:color w:val="00529B"/>
        </w:rPr>
      </w:pPr>
    </w:p>
    <w:p>
      <w:pPr>
        <w:ind w:left="460" w:right="420" w:hanging="171"/>
        <w:spacing w:after="0" w:line="264" w:lineRule="auto"/>
        <w:tabs>
          <w:tab w:leader="none" w:pos="474" w:val="left"/>
        </w:tabs>
        <w:numPr>
          <w:ilvl w:val="0"/>
          <w:numId w:val="9"/>
        </w:numPr>
        <w:rPr>
          <w:rFonts w:ascii="Arial" w:cs="Arial" w:eastAsia="Arial" w:hAnsi="Arial"/>
          <w:sz w:val="15"/>
          <w:szCs w:val="15"/>
          <w:color w:val="00529B"/>
        </w:rPr>
      </w:pPr>
      <w:r>
        <w:rPr>
          <w:rFonts w:ascii="Arial" w:cs="Arial" w:eastAsia="Arial" w:hAnsi="Arial"/>
          <w:sz w:val="15"/>
          <w:szCs w:val="15"/>
          <w:color w:val="auto"/>
        </w:rPr>
        <w:t>Annual evaluations of the Board, each committee and individual directors</w:t>
      </w:r>
    </w:p>
    <w:p>
      <w:pPr>
        <w:spacing w:after="0" w:line="93" w:lineRule="exact"/>
        <w:rPr>
          <w:rFonts w:ascii="Arial" w:cs="Arial" w:eastAsia="Arial" w:hAnsi="Arial"/>
          <w:sz w:val="15"/>
          <w:szCs w:val="15"/>
          <w:color w:val="00529B"/>
        </w:rPr>
      </w:pPr>
    </w:p>
    <w:p>
      <w:pPr>
        <w:ind w:left="460" w:right="280" w:hanging="171"/>
        <w:spacing w:after="0" w:line="244" w:lineRule="auto"/>
        <w:tabs>
          <w:tab w:leader="none" w:pos="474" w:val="left"/>
        </w:tabs>
        <w:numPr>
          <w:ilvl w:val="0"/>
          <w:numId w:val="9"/>
        </w:numPr>
        <w:rPr>
          <w:rFonts w:ascii="Arial" w:cs="Arial" w:eastAsia="Arial" w:hAnsi="Arial"/>
          <w:sz w:val="15"/>
          <w:szCs w:val="15"/>
          <w:color w:val="00529B"/>
        </w:rPr>
      </w:pPr>
      <w:r>
        <w:rPr>
          <w:rFonts w:ascii="Arial" w:cs="Arial" w:eastAsia="Arial" w:hAnsi="Arial"/>
          <w:sz w:val="15"/>
          <w:szCs w:val="15"/>
          <w:color w:val="auto"/>
        </w:rPr>
        <w:t>One meeting dedicated to strategy discussions every year with an expanded management group, in addition to ongoing strategy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3351530" cy="2322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529B"/>
        </w:rPr>
        <w:t>RELATING TO SHAREHOLDER RIGHTS</w:t>
      </w:r>
    </w:p>
    <w:p>
      <w:pPr>
        <w:spacing w:after="0" w:line="145" w:lineRule="exact"/>
        <w:rPr>
          <w:sz w:val="20"/>
          <w:szCs w:val="20"/>
          <w:color w:val="auto"/>
        </w:rPr>
      </w:pPr>
    </w:p>
    <w:p>
      <w:pPr>
        <w:ind w:left="480" w:hanging="191"/>
        <w:spacing w:after="0"/>
        <w:tabs>
          <w:tab w:leader="none" w:pos="480"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Ability of shareholders to call a special meeting at a 15% threshold</w:t>
      </w:r>
    </w:p>
    <w:p>
      <w:pPr>
        <w:spacing w:after="0" w:line="151" w:lineRule="exact"/>
        <w:rPr>
          <w:rFonts w:ascii="Arial" w:cs="Arial" w:eastAsia="Arial" w:hAnsi="Arial"/>
          <w:sz w:val="15"/>
          <w:szCs w:val="15"/>
          <w:color w:val="00529B"/>
        </w:rPr>
      </w:pPr>
    </w:p>
    <w:p>
      <w:pPr>
        <w:ind w:left="460" w:right="240" w:hanging="171"/>
        <w:spacing w:after="0" w:line="264" w:lineRule="auto"/>
        <w:tabs>
          <w:tab w:leader="none" w:pos="474"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Ability of shareholders to propose an action by written consent at a 15% threshold</w:t>
      </w:r>
    </w:p>
    <w:p>
      <w:pPr>
        <w:spacing w:after="0" w:line="93" w:lineRule="exact"/>
        <w:rPr>
          <w:rFonts w:ascii="Arial" w:cs="Arial" w:eastAsia="Arial" w:hAnsi="Arial"/>
          <w:sz w:val="15"/>
          <w:szCs w:val="15"/>
          <w:color w:val="00529B"/>
        </w:rPr>
      </w:pPr>
    </w:p>
    <w:p>
      <w:pPr>
        <w:ind w:left="460" w:right="440" w:hanging="171"/>
        <w:spacing w:after="0" w:line="268" w:lineRule="auto"/>
        <w:tabs>
          <w:tab w:leader="none" w:pos="474"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Shareholder right to proxy access (3% for 3 years, up to 20% of the Board)</w:t>
      </w:r>
      <w:r>
        <w:rPr>
          <w:rFonts w:ascii="Arial" w:cs="Arial" w:eastAsia="Arial" w:hAnsi="Arial"/>
          <w:sz w:val="25"/>
          <w:szCs w:val="25"/>
          <w:color w:val="auto"/>
          <w:vertAlign w:val="superscript"/>
        </w:rPr>
        <w:t>(1)</w:t>
      </w:r>
    </w:p>
    <w:p>
      <w:pPr>
        <w:ind w:left="480" w:hanging="191"/>
        <w:spacing w:after="0"/>
        <w:tabs>
          <w:tab w:leader="none" w:pos="480"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Confidential Voting Policy</w:t>
      </w:r>
    </w:p>
    <w:p>
      <w:pPr>
        <w:spacing w:after="0" w:line="150" w:lineRule="exact"/>
        <w:rPr>
          <w:rFonts w:ascii="Arial" w:cs="Arial" w:eastAsia="Arial" w:hAnsi="Arial"/>
          <w:sz w:val="15"/>
          <w:szCs w:val="15"/>
          <w:color w:val="00529B"/>
        </w:rPr>
      </w:pPr>
    </w:p>
    <w:p>
      <w:pPr>
        <w:ind w:left="460" w:right="520" w:hanging="171"/>
        <w:spacing w:after="0" w:line="264" w:lineRule="auto"/>
        <w:tabs>
          <w:tab w:leader="none" w:pos="474"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Nominating Policy to consider properly submitted shareholder-recommended director nominees</w:t>
      </w:r>
    </w:p>
    <w:p>
      <w:pPr>
        <w:spacing w:after="0" w:line="93" w:lineRule="exact"/>
        <w:rPr>
          <w:rFonts w:ascii="Arial" w:cs="Arial" w:eastAsia="Arial" w:hAnsi="Arial"/>
          <w:sz w:val="15"/>
          <w:szCs w:val="15"/>
          <w:color w:val="00529B"/>
        </w:rPr>
      </w:pPr>
    </w:p>
    <w:p>
      <w:pPr>
        <w:ind w:left="480" w:hanging="191"/>
        <w:spacing w:after="0"/>
        <w:tabs>
          <w:tab w:leader="none" w:pos="480"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No supermajority voting requirements</w:t>
      </w:r>
    </w:p>
    <w:p>
      <w:pPr>
        <w:spacing w:after="0" w:line="138" w:lineRule="exact"/>
        <w:rPr>
          <w:rFonts w:ascii="Arial" w:cs="Arial" w:eastAsia="Arial" w:hAnsi="Arial"/>
          <w:sz w:val="15"/>
          <w:szCs w:val="15"/>
          <w:color w:val="00529B"/>
        </w:rPr>
      </w:pPr>
    </w:p>
    <w:p>
      <w:pPr>
        <w:ind w:left="460" w:right="460" w:hanging="171"/>
        <w:spacing w:after="0" w:line="264" w:lineRule="auto"/>
        <w:tabs>
          <w:tab w:leader="none" w:pos="474" w:val="left"/>
        </w:tabs>
        <w:numPr>
          <w:ilvl w:val="1"/>
          <w:numId w:val="10"/>
        </w:numPr>
        <w:rPr>
          <w:rFonts w:ascii="Arial" w:cs="Arial" w:eastAsia="Arial" w:hAnsi="Arial"/>
          <w:sz w:val="15"/>
          <w:szCs w:val="15"/>
          <w:color w:val="00529B"/>
        </w:rPr>
      </w:pPr>
      <w:r>
        <w:rPr>
          <w:rFonts w:ascii="Arial" w:cs="Arial" w:eastAsia="Arial" w:hAnsi="Arial"/>
          <w:sz w:val="15"/>
          <w:szCs w:val="15"/>
          <w:color w:val="auto"/>
        </w:rPr>
        <w:t>Active independent director participation in and oversight of the shareholder engagement program</w:t>
      </w:r>
    </w:p>
    <w:p>
      <w:pPr>
        <w:spacing w:after="0" w:line="335" w:lineRule="exact"/>
        <w:rPr>
          <w:rFonts w:ascii="Arial" w:cs="Arial" w:eastAsia="Arial" w:hAnsi="Arial"/>
          <w:sz w:val="15"/>
          <w:szCs w:val="15"/>
          <w:color w:val="00529B"/>
        </w:rPr>
      </w:pPr>
    </w:p>
    <w:p>
      <w:pPr>
        <w:ind w:left="280" w:hanging="279"/>
        <w:spacing w:after="0" w:line="283" w:lineRule="auto"/>
        <w:tabs>
          <w:tab w:leader="none" w:pos="280" w:val="left"/>
        </w:tabs>
        <w:numPr>
          <w:ilvl w:val="0"/>
          <w:numId w:val="10"/>
        </w:numPr>
        <w:rPr>
          <w:rFonts w:ascii="Arial" w:cs="Arial" w:eastAsia="Arial" w:hAnsi="Arial"/>
          <w:sz w:val="10"/>
          <w:szCs w:val="10"/>
          <w:color w:val="auto"/>
        </w:rPr>
      </w:pPr>
      <w:r>
        <w:rPr>
          <w:rFonts w:ascii="Arial" w:cs="Arial" w:eastAsia="Arial" w:hAnsi="Arial"/>
          <w:sz w:val="12"/>
          <w:szCs w:val="12"/>
          <w:color w:val="auto"/>
        </w:rPr>
        <w:t xml:space="preserve">For more information, see </w:t>
      </w:r>
      <w:r>
        <w:rPr>
          <w:rFonts w:ascii="Arial" w:cs="Arial" w:eastAsia="Arial" w:hAnsi="Arial"/>
          <w:sz w:val="12"/>
          <w:szCs w:val="12"/>
          <w:i w:val="1"/>
          <w:iCs w:val="1"/>
          <w:color w:val="auto"/>
        </w:rPr>
        <w:t>"Corporate Governance - Director Selection and Recruitment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Proxy Access for Shareholder Nominated Director Candidates" </w:t>
      </w:r>
      <w:r>
        <w:rPr>
          <w:rFonts w:ascii="Arial" w:cs="Arial" w:eastAsia="Arial" w:hAnsi="Arial"/>
          <w:sz w:val="12"/>
          <w:szCs w:val="12"/>
          <w:color w:val="auto"/>
        </w:rPr>
        <w:t>on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559435</wp:posOffset>
            </wp:positionV>
            <wp:extent cx="257175"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2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Proxy Statement Summary</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Shareholder Engagement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Occidental is committed to regular and transparent communication and engagement with its shareholders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98425</wp:posOffset>
            </wp:positionV>
            <wp:extent cx="6000750" cy="44405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00750" cy="44405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both"/>
        <w:ind w:left="1080" w:right="60"/>
        <w:spacing w:after="0" w:line="235" w:lineRule="auto"/>
        <w:rPr>
          <w:sz w:val="20"/>
          <w:szCs w:val="20"/>
          <w:color w:val="auto"/>
        </w:rPr>
      </w:pPr>
      <w:r>
        <w:rPr>
          <w:rFonts w:ascii="Arial" w:cs="Arial" w:eastAsia="Arial" w:hAnsi="Arial"/>
          <w:sz w:val="15"/>
          <w:szCs w:val="15"/>
          <w:color w:val="auto"/>
        </w:rPr>
        <w:t>In 2022, we engaged with shareholders representing approximately</w:t>
      </w:r>
    </w:p>
    <w:p>
      <w:pPr>
        <w:ind w:left="1080"/>
        <w:spacing w:after="0" w:line="237" w:lineRule="auto"/>
        <w:rPr>
          <w:sz w:val="20"/>
          <w:szCs w:val="20"/>
          <w:color w:val="auto"/>
        </w:rPr>
      </w:pPr>
      <w:r>
        <w:rPr>
          <w:rFonts w:ascii="Arial" w:cs="Arial" w:eastAsia="Arial" w:hAnsi="Arial"/>
          <w:sz w:val="41"/>
          <w:szCs w:val="41"/>
          <w:b w:val="1"/>
          <w:bCs w:val="1"/>
          <w:color w:val="00529B"/>
        </w:rPr>
        <w:t>4x</w:t>
      </w:r>
    </w:p>
    <w:p>
      <w:pPr>
        <w:ind w:left="1080"/>
        <w:spacing w:after="0"/>
        <w:rPr>
          <w:sz w:val="20"/>
          <w:szCs w:val="20"/>
          <w:color w:val="auto"/>
        </w:rPr>
      </w:pPr>
      <w:r>
        <w:rPr>
          <w:rFonts w:ascii="Arial" w:cs="Arial" w:eastAsia="Arial" w:hAnsi="Arial"/>
          <w:sz w:val="15"/>
          <w:szCs w:val="15"/>
          <w:color w:val="auto"/>
        </w:rPr>
        <w:t>our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hanging="172"/>
        <w:spacing w:after="0" w:line="230" w:lineRule="auto"/>
        <w:tabs>
          <w:tab w:leader="none" w:pos="1267"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average shares outstanding in 2022. Includes each shareholder engagement, except engagements with direct board representation or common equity ownership of over 15% where engagement was counted once.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3" w:right="613"/>
        <w:spacing w:after="0" w:line="281" w:lineRule="auto"/>
        <w:rPr>
          <w:sz w:val="20"/>
          <w:szCs w:val="20"/>
          <w:color w:val="auto"/>
        </w:rPr>
      </w:pPr>
      <w:r>
        <w:rPr>
          <w:rFonts w:ascii="Arial" w:cs="Arial" w:eastAsia="Arial" w:hAnsi="Arial"/>
          <w:sz w:val="18"/>
          <w:szCs w:val="18"/>
          <w:b w:val="1"/>
          <w:bCs w:val="1"/>
          <w:color w:val="00529B"/>
        </w:rPr>
        <w:t>HOW WE ENGAGED WITH OUR SHAREHOLDERS:</w:t>
      </w:r>
    </w:p>
    <w:p>
      <w:pPr>
        <w:spacing w:after="0" w:line="41" w:lineRule="exact"/>
        <w:rPr>
          <w:sz w:val="20"/>
          <w:szCs w:val="20"/>
          <w:color w:val="auto"/>
        </w:rPr>
      </w:pPr>
    </w:p>
    <w:p>
      <w:pPr>
        <w:ind w:left="183" w:right="253" w:hanging="183"/>
        <w:spacing w:after="0" w:line="232" w:lineRule="auto"/>
        <w:tabs>
          <w:tab w:leader="none" w:pos="197" w:val="left"/>
        </w:tabs>
        <w:numPr>
          <w:ilvl w:val="0"/>
          <w:numId w:val="12"/>
        </w:numPr>
        <w:rPr>
          <w:rFonts w:ascii="Arial" w:cs="Arial" w:eastAsia="Arial" w:hAnsi="Arial"/>
          <w:sz w:val="15"/>
          <w:szCs w:val="15"/>
          <w:color w:val="00529B"/>
        </w:rPr>
      </w:pPr>
      <w:r>
        <w:rPr>
          <w:rFonts w:ascii="Arial" w:cs="Arial" w:eastAsia="Arial" w:hAnsi="Arial"/>
          <w:sz w:val="15"/>
          <w:szCs w:val="15"/>
          <w:b w:val="1"/>
          <w:bCs w:val="1"/>
          <w:color w:val="auto"/>
        </w:rPr>
        <w:t xml:space="preserve">We proactively engage with our largest shareholders </w:t>
      </w:r>
      <w:r>
        <w:rPr>
          <w:rFonts w:ascii="Arial" w:cs="Arial" w:eastAsia="Arial" w:hAnsi="Arial"/>
          <w:sz w:val="15"/>
          <w:szCs w:val="15"/>
          <w:color w:val="auto"/>
        </w:rPr>
        <w:t>throughout the year,</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broad-based engagements in the fall/winter to discuss environmental, social and governance (ESG) matters and in advance of the annual meeting to discuss agenda items and any other topics of interest.</w:t>
      </w:r>
    </w:p>
    <w:p>
      <w:pPr>
        <w:spacing w:after="0" w:line="56" w:lineRule="exact"/>
        <w:rPr>
          <w:rFonts w:ascii="Arial" w:cs="Arial" w:eastAsia="Arial" w:hAnsi="Arial"/>
          <w:sz w:val="15"/>
          <w:szCs w:val="15"/>
          <w:color w:val="00529B"/>
        </w:rPr>
      </w:pPr>
    </w:p>
    <w:p>
      <w:pPr>
        <w:ind w:left="183" w:right="493" w:hanging="183"/>
        <w:spacing w:after="0" w:line="238" w:lineRule="auto"/>
        <w:tabs>
          <w:tab w:leader="none" w:pos="197" w:val="left"/>
        </w:tabs>
        <w:numPr>
          <w:ilvl w:val="0"/>
          <w:numId w:val="12"/>
        </w:numPr>
        <w:rPr>
          <w:rFonts w:ascii="Arial" w:cs="Arial" w:eastAsia="Arial" w:hAnsi="Arial"/>
          <w:sz w:val="15"/>
          <w:szCs w:val="15"/>
          <w:color w:val="00529B"/>
        </w:rPr>
      </w:pPr>
      <w:r>
        <w:rPr>
          <w:rFonts w:ascii="Arial" w:cs="Arial" w:eastAsia="Arial" w:hAnsi="Arial"/>
          <w:sz w:val="15"/>
          <w:szCs w:val="15"/>
          <w:b w:val="1"/>
          <w:bCs w:val="1"/>
          <w:color w:val="auto"/>
        </w:rPr>
        <w:t>We regularly conduct roadshows targeting engagement with specific investors and participate in industry conferences to engage with a broad group of investors.</w:t>
      </w:r>
    </w:p>
    <w:p>
      <w:pPr>
        <w:spacing w:after="0" w:line="51" w:lineRule="exact"/>
        <w:rPr>
          <w:rFonts w:ascii="Arial" w:cs="Arial" w:eastAsia="Arial" w:hAnsi="Arial"/>
          <w:sz w:val="15"/>
          <w:szCs w:val="15"/>
          <w:color w:val="00529B"/>
        </w:rPr>
      </w:pPr>
    </w:p>
    <w:p>
      <w:pPr>
        <w:ind w:left="183" w:right="373" w:hanging="183"/>
        <w:spacing w:after="0" w:line="250" w:lineRule="auto"/>
        <w:tabs>
          <w:tab w:leader="none" w:pos="197" w:val="left"/>
        </w:tabs>
        <w:numPr>
          <w:ilvl w:val="0"/>
          <w:numId w:val="12"/>
        </w:numPr>
        <w:rPr>
          <w:rFonts w:ascii="Arial" w:cs="Arial" w:eastAsia="Arial" w:hAnsi="Arial"/>
          <w:sz w:val="15"/>
          <w:szCs w:val="15"/>
          <w:color w:val="00529B"/>
        </w:rPr>
      </w:pPr>
      <w:r>
        <w:rPr>
          <w:rFonts w:ascii="Arial" w:cs="Arial" w:eastAsia="Arial" w:hAnsi="Arial"/>
          <w:sz w:val="15"/>
          <w:szCs w:val="15"/>
          <w:color w:val="auto"/>
        </w:rPr>
        <w:t xml:space="preserve">We also engage with investors through </w:t>
      </w:r>
      <w:r>
        <w:rPr>
          <w:rFonts w:ascii="Arial" w:cs="Arial" w:eastAsia="Arial" w:hAnsi="Arial"/>
          <w:sz w:val="15"/>
          <w:szCs w:val="15"/>
          <w:b w:val="1"/>
          <w:bCs w:val="1"/>
          <w:color w:val="auto"/>
        </w:rPr>
        <w:t>virtual and in-person meetings, phone calls and emails</w:t>
      </w:r>
      <w:r>
        <w:rPr>
          <w:rFonts w:ascii="Arial" w:cs="Arial" w:eastAsia="Arial" w:hAnsi="Arial"/>
          <w:sz w:val="15"/>
          <w:szCs w:val="15"/>
          <w:color w:val="auto"/>
        </w:rPr>
        <w:t>.</w:t>
      </w:r>
    </w:p>
    <w:p>
      <w:pPr>
        <w:spacing w:after="0" w:line="25" w:lineRule="exact"/>
        <w:rPr>
          <w:rFonts w:ascii="Arial" w:cs="Arial" w:eastAsia="Arial" w:hAnsi="Arial"/>
          <w:sz w:val="15"/>
          <w:szCs w:val="15"/>
          <w:color w:val="00529B"/>
        </w:rPr>
      </w:pPr>
    </w:p>
    <w:p>
      <w:pPr>
        <w:ind w:left="183" w:right="393" w:hanging="183"/>
        <w:spacing w:after="0" w:line="246" w:lineRule="auto"/>
        <w:tabs>
          <w:tab w:leader="none" w:pos="197" w:val="left"/>
        </w:tabs>
        <w:numPr>
          <w:ilvl w:val="0"/>
          <w:numId w:val="12"/>
        </w:numPr>
        <w:rPr>
          <w:rFonts w:ascii="Arial" w:cs="Arial" w:eastAsia="Arial" w:hAnsi="Arial"/>
          <w:sz w:val="15"/>
          <w:szCs w:val="15"/>
          <w:color w:val="00529B"/>
        </w:rPr>
      </w:pPr>
      <w:r>
        <w:rPr>
          <w:rFonts w:ascii="Arial" w:cs="Arial" w:eastAsia="Arial" w:hAnsi="Arial"/>
          <w:sz w:val="15"/>
          <w:szCs w:val="15"/>
          <w:b w:val="1"/>
          <w:bCs w:val="1"/>
          <w:color w:val="auto"/>
        </w:rPr>
        <w:t xml:space="preserve">We regularly report our shareholders’ views to the Board </w:t>
      </w:r>
      <w:r>
        <w:rPr>
          <w:rFonts w:ascii="Arial" w:cs="Arial" w:eastAsia="Arial" w:hAnsi="Arial"/>
          <w:sz w:val="15"/>
          <w:szCs w:val="15"/>
          <w:color w:val="auto"/>
        </w:rPr>
        <w:t>and respond to</w:t>
      </w:r>
      <w:r>
        <w:rPr>
          <w:rFonts w:ascii="Arial" w:cs="Arial" w:eastAsia="Arial" w:hAnsi="Arial"/>
          <w:sz w:val="15"/>
          <w:szCs w:val="15"/>
          <w:b w:val="1"/>
          <w:bCs w:val="1"/>
          <w:color w:val="auto"/>
        </w:rPr>
        <w:t xml:space="preserve"> </w:t>
      </w:r>
      <w:r>
        <w:rPr>
          <w:rFonts w:ascii="Arial" w:cs="Arial" w:eastAsia="Arial" w:hAnsi="Arial"/>
          <w:sz w:val="15"/>
          <w:szCs w:val="15"/>
          <w:color w:val="auto"/>
        </w:rPr>
        <w:t>feedback.</w:t>
      </w:r>
    </w:p>
    <w:p>
      <w:pPr>
        <w:spacing w:after="0" w:line="50" w:lineRule="exact"/>
        <w:rPr>
          <w:rFonts w:ascii="Arial" w:cs="Arial" w:eastAsia="Arial" w:hAnsi="Arial"/>
          <w:sz w:val="15"/>
          <w:szCs w:val="15"/>
          <w:color w:val="00529B"/>
        </w:rPr>
      </w:pPr>
    </w:p>
    <w:p>
      <w:pPr>
        <w:ind w:left="183" w:right="513" w:hanging="183"/>
        <w:spacing w:after="0" w:line="267" w:lineRule="auto"/>
        <w:tabs>
          <w:tab w:leader="none" w:pos="197" w:val="left"/>
        </w:tabs>
        <w:numPr>
          <w:ilvl w:val="0"/>
          <w:numId w:val="12"/>
        </w:numPr>
        <w:rPr>
          <w:rFonts w:ascii="Arial" w:cs="Arial" w:eastAsia="Arial" w:hAnsi="Arial"/>
          <w:sz w:val="15"/>
          <w:szCs w:val="15"/>
          <w:color w:val="00529B"/>
        </w:rPr>
      </w:pPr>
      <w:r>
        <w:rPr>
          <w:rFonts w:ascii="Arial" w:cs="Arial" w:eastAsia="Arial" w:hAnsi="Arial"/>
          <w:sz w:val="15"/>
          <w:szCs w:val="15"/>
          <w:b w:val="1"/>
          <w:bCs w:val="1"/>
          <w:color w:val="auto"/>
        </w:rPr>
        <w:t xml:space="preserve">Independent directors </w:t>
      </w:r>
      <w:r>
        <w:rPr>
          <w:rFonts w:ascii="Arial" w:cs="Arial" w:eastAsia="Arial" w:hAnsi="Arial"/>
          <w:sz w:val="15"/>
          <w:szCs w:val="15"/>
          <w:color w:val="auto"/>
        </w:rPr>
        <w:t>participated in</w:t>
      </w:r>
      <w:r>
        <w:rPr>
          <w:rFonts w:ascii="Arial" w:cs="Arial" w:eastAsia="Arial" w:hAnsi="Arial"/>
          <w:sz w:val="15"/>
          <w:szCs w:val="15"/>
          <w:b w:val="1"/>
          <w:bCs w:val="1"/>
          <w:color w:val="auto"/>
        </w:rPr>
        <w:t xml:space="preserve"> </w:t>
      </w:r>
      <w:r>
        <w:rPr>
          <w:rFonts w:ascii="Arial" w:cs="Arial" w:eastAsia="Arial" w:hAnsi="Arial"/>
          <w:sz w:val="15"/>
          <w:szCs w:val="15"/>
          <w:color w:val="auto"/>
        </w:rPr>
        <w:t>many of our engagement meetings.</w:t>
      </w:r>
    </w:p>
    <w:p>
      <w:pPr>
        <w:spacing w:after="0" w:line="34" w:lineRule="exact"/>
        <w:rPr>
          <w:rFonts w:ascii="Arial" w:cs="Arial" w:eastAsia="Arial" w:hAnsi="Arial"/>
          <w:sz w:val="15"/>
          <w:szCs w:val="15"/>
          <w:color w:val="00529B"/>
        </w:rPr>
      </w:pPr>
    </w:p>
    <w:p>
      <w:pPr>
        <w:ind w:left="183" w:right="253" w:hanging="183"/>
        <w:spacing w:after="0" w:line="234" w:lineRule="auto"/>
        <w:tabs>
          <w:tab w:leader="none" w:pos="197" w:val="left"/>
        </w:tabs>
        <w:numPr>
          <w:ilvl w:val="0"/>
          <w:numId w:val="12"/>
        </w:numPr>
        <w:rPr>
          <w:rFonts w:ascii="Arial" w:cs="Arial" w:eastAsia="Arial" w:hAnsi="Arial"/>
          <w:sz w:val="15"/>
          <w:szCs w:val="15"/>
          <w:color w:val="00529B"/>
        </w:rPr>
      </w:pPr>
      <w:r>
        <w:rPr>
          <w:rFonts w:ascii="Arial" w:cs="Arial" w:eastAsia="Arial" w:hAnsi="Arial"/>
          <w:sz w:val="15"/>
          <w:szCs w:val="15"/>
          <w:b w:val="1"/>
          <w:bCs w:val="1"/>
          <w:color w:val="auto"/>
        </w:rPr>
        <w:t xml:space="preserve">The Board’s Sustainability and Shareholder Engagement Committee oversees our shareholder engagement program </w:t>
      </w:r>
      <w:r>
        <w:rPr>
          <w:rFonts w:ascii="Arial" w:cs="Arial" w:eastAsia="Arial" w:hAnsi="Arial"/>
          <w:sz w:val="15"/>
          <w:szCs w:val="15"/>
          <w:color w:val="auto"/>
        </w:rPr>
        <w:t>and provides an avenue for</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 feedback to be communicated directly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529B"/>
        </w:rPr>
        <w:t>TOPICS DISCUSSED</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529B"/>
        </w:rPr>
        <w:t>WITH OUR</w:t>
      </w:r>
    </w:p>
    <w:p>
      <w:pPr>
        <w:ind w:left="7"/>
        <w:spacing w:after="0"/>
        <w:rPr>
          <w:sz w:val="20"/>
          <w:szCs w:val="20"/>
          <w:color w:val="auto"/>
        </w:rPr>
      </w:pPr>
      <w:r>
        <w:rPr>
          <w:rFonts w:ascii="Arial" w:cs="Arial" w:eastAsia="Arial" w:hAnsi="Arial"/>
          <w:sz w:val="18"/>
          <w:szCs w:val="18"/>
          <w:b w:val="1"/>
          <w:bCs w:val="1"/>
          <w:color w:val="00529B"/>
        </w:rPr>
        <w:t>SHAREHOLDERS:</w:t>
      </w:r>
    </w:p>
    <w:p>
      <w:pPr>
        <w:spacing w:after="0" w:line="100" w:lineRule="exact"/>
        <w:rPr>
          <w:sz w:val="20"/>
          <w:szCs w:val="20"/>
          <w:color w:val="auto"/>
        </w:rPr>
      </w:pPr>
    </w:p>
    <w:p>
      <w:pPr>
        <w:ind w:left="187" w:right="124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Shareholder return framework and cash flow priorities</w:t>
      </w:r>
    </w:p>
    <w:p>
      <w:pPr>
        <w:spacing w:after="0" w:line="39" w:lineRule="exact"/>
        <w:rPr>
          <w:rFonts w:ascii="Arial" w:cs="Arial" w:eastAsia="Arial" w:hAnsi="Arial"/>
          <w:sz w:val="15"/>
          <w:szCs w:val="15"/>
          <w:color w:val="00529B"/>
        </w:rPr>
      </w:pPr>
    </w:p>
    <w:p>
      <w:pPr>
        <w:ind w:left="187" w:right="1180" w:hanging="187"/>
        <w:spacing w:after="0" w:line="238"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Actions to strengthen the company’s balance sheet, including debt reduction and potential for preferred equity redemption</w:t>
      </w:r>
    </w:p>
    <w:p>
      <w:pPr>
        <w:spacing w:after="0" w:line="58" w:lineRule="exact"/>
        <w:rPr>
          <w:rFonts w:ascii="Arial" w:cs="Arial" w:eastAsia="Arial" w:hAnsi="Arial"/>
          <w:sz w:val="15"/>
          <w:szCs w:val="15"/>
          <w:color w:val="00529B"/>
        </w:rPr>
      </w:pPr>
    </w:p>
    <w:p>
      <w:pPr>
        <w:ind w:left="187" w:hanging="187"/>
        <w:spacing w:after="0"/>
        <w:tabs>
          <w:tab w:leader="none" w:pos="187"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Capital spending and activity levels</w:t>
      </w:r>
    </w:p>
    <w:p>
      <w:pPr>
        <w:spacing w:after="0" w:line="70" w:lineRule="exact"/>
        <w:rPr>
          <w:rFonts w:ascii="Arial" w:cs="Arial" w:eastAsia="Arial" w:hAnsi="Arial"/>
          <w:sz w:val="15"/>
          <w:szCs w:val="15"/>
          <w:color w:val="00529B"/>
        </w:rPr>
      </w:pPr>
    </w:p>
    <w:p>
      <w:pPr>
        <w:ind w:left="187" w:right="188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Oil &amp; gas inventory and operational differentiation</w:t>
      </w:r>
    </w:p>
    <w:p>
      <w:pPr>
        <w:spacing w:after="0" w:line="39" w:lineRule="exact"/>
        <w:rPr>
          <w:rFonts w:ascii="Arial" w:cs="Arial" w:eastAsia="Arial" w:hAnsi="Arial"/>
          <w:sz w:val="15"/>
          <w:szCs w:val="15"/>
          <w:color w:val="00529B"/>
        </w:rPr>
      </w:pPr>
    </w:p>
    <w:p>
      <w:pPr>
        <w:ind w:left="187" w:right="122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Oxy Low Carbon Ventures (OLCV) updates</w:t>
      </w:r>
    </w:p>
    <w:p>
      <w:pPr>
        <w:spacing w:after="0" w:line="39" w:lineRule="exact"/>
        <w:rPr>
          <w:rFonts w:ascii="Arial" w:cs="Arial" w:eastAsia="Arial" w:hAnsi="Arial"/>
          <w:sz w:val="15"/>
          <w:szCs w:val="15"/>
          <w:color w:val="00529B"/>
        </w:rPr>
      </w:pPr>
    </w:p>
    <w:p>
      <w:pPr>
        <w:ind w:left="187" w:right="1220" w:hanging="187"/>
        <w:spacing w:after="0" w:line="233"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Our pathway to achieve net-zero emissions in our operations and energy use (Scope 1 and 2) before 2040 and in our value chain, including the use of our products (Scope 3), with an ambition to do so before 2050</w:t>
      </w:r>
    </w:p>
    <w:p>
      <w:pPr>
        <w:spacing w:after="0" w:line="42" w:lineRule="exact"/>
        <w:rPr>
          <w:rFonts w:ascii="Arial" w:cs="Arial" w:eastAsia="Arial" w:hAnsi="Arial"/>
          <w:sz w:val="15"/>
          <w:szCs w:val="15"/>
          <w:color w:val="00529B"/>
        </w:rPr>
      </w:pPr>
    </w:p>
    <w:p>
      <w:pPr>
        <w:ind w:left="187" w:right="128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Climate, sustainability and human capital matters</w:t>
      </w:r>
    </w:p>
    <w:p>
      <w:pPr>
        <w:spacing w:after="0" w:line="39" w:lineRule="exact"/>
        <w:rPr>
          <w:rFonts w:ascii="Arial" w:cs="Arial" w:eastAsia="Arial" w:hAnsi="Arial"/>
          <w:sz w:val="15"/>
          <w:szCs w:val="15"/>
          <w:color w:val="00529B"/>
        </w:rPr>
      </w:pPr>
    </w:p>
    <w:p>
      <w:pPr>
        <w:ind w:left="187" w:right="200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Board composition and refreshment</w:t>
      </w:r>
    </w:p>
    <w:p>
      <w:pPr>
        <w:spacing w:after="0" w:line="39" w:lineRule="exact"/>
        <w:rPr>
          <w:rFonts w:ascii="Arial" w:cs="Arial" w:eastAsia="Arial" w:hAnsi="Arial"/>
          <w:sz w:val="15"/>
          <w:szCs w:val="15"/>
          <w:color w:val="00529B"/>
        </w:rPr>
      </w:pPr>
    </w:p>
    <w:p>
      <w:pPr>
        <w:ind w:left="187" w:right="130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Board oversight of the company’s strategy</w:t>
      </w:r>
    </w:p>
    <w:p>
      <w:pPr>
        <w:spacing w:after="0" w:line="25" w:lineRule="exact"/>
        <w:rPr>
          <w:rFonts w:ascii="Arial" w:cs="Arial" w:eastAsia="Arial" w:hAnsi="Arial"/>
          <w:sz w:val="15"/>
          <w:szCs w:val="15"/>
          <w:color w:val="00529B"/>
        </w:rPr>
      </w:pPr>
    </w:p>
    <w:p>
      <w:pPr>
        <w:ind w:left="187" w:hanging="187"/>
        <w:spacing w:after="0"/>
        <w:tabs>
          <w:tab w:leader="none" w:pos="187"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Board oversight of risk</w:t>
      </w:r>
    </w:p>
    <w:p>
      <w:pPr>
        <w:spacing w:after="0" w:line="84" w:lineRule="exact"/>
        <w:rPr>
          <w:rFonts w:ascii="Arial" w:cs="Arial" w:eastAsia="Arial" w:hAnsi="Arial"/>
          <w:sz w:val="15"/>
          <w:szCs w:val="15"/>
          <w:color w:val="00529B"/>
        </w:rPr>
      </w:pPr>
    </w:p>
    <w:p>
      <w:pPr>
        <w:ind w:left="187" w:right="1340" w:hanging="187"/>
        <w:spacing w:after="0" w:line="264" w:lineRule="auto"/>
        <w:tabs>
          <w:tab w:leader="none" w:pos="200" w:val="left"/>
        </w:tabs>
        <w:numPr>
          <w:ilvl w:val="0"/>
          <w:numId w:val="13"/>
        </w:numPr>
        <w:rPr>
          <w:rFonts w:ascii="Arial" w:cs="Arial" w:eastAsia="Arial" w:hAnsi="Arial"/>
          <w:sz w:val="15"/>
          <w:szCs w:val="15"/>
          <w:color w:val="00529B"/>
        </w:rPr>
      </w:pPr>
      <w:r>
        <w:rPr>
          <w:rFonts w:ascii="Arial" w:cs="Arial" w:eastAsia="Arial" w:hAnsi="Arial"/>
          <w:sz w:val="15"/>
          <w:szCs w:val="15"/>
          <w:color w:val="auto"/>
        </w:rPr>
        <w:t>Design and structure of our executive compensation program</w:t>
      </w:r>
    </w:p>
    <w:p>
      <w:pPr>
        <w:spacing w:after="0" w:line="200" w:lineRule="exact"/>
        <w:rPr>
          <w:sz w:val="20"/>
          <w:szCs w:val="20"/>
          <w:color w:val="auto"/>
        </w:rPr>
      </w:pPr>
    </w:p>
    <w:p>
      <w:pPr>
        <w:sectPr>
          <w:pgSz w:w="11900" w:h="16838" w:orient="portrait"/>
          <w:cols w:equalWidth="0" w:num="3">
            <w:col w:w="2920" w:space="517"/>
            <w:col w:w="3316" w:space="720"/>
            <w:col w:w="3767"/>
          </w:cols>
          <w:pgMar w:left="320" w:top="130" w:right="339" w:bottom="1440" w:gutter="0" w:footer="0" w:header="0"/>
          <w:type w:val="continuous"/>
        </w:sect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Proxy Statement Summary</w:t>
      </w:r>
    </w:p>
    <w:p>
      <w:pPr>
        <w:spacing w:after="0" w:line="150"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b w:val="1"/>
          <w:bCs w:val="1"/>
          <w:color w:val="auto"/>
        </w:rPr>
        <w:t xml:space="preserve">Meaningful Dialogue with Shareholders on Climate and Sustainability Matters. </w:t>
      </w:r>
      <w:r>
        <w:rPr>
          <w:rFonts w:ascii="Arial" w:cs="Arial" w:eastAsia="Arial" w:hAnsi="Arial"/>
          <w:sz w:val="15"/>
          <w:szCs w:val="15"/>
          <w:color w:val="auto"/>
        </w:rPr>
        <w:t>Occidental uses engagement with shareholders, as well as other stakeholders, to</w:t>
      </w:r>
      <w:r>
        <w:rPr>
          <w:rFonts w:ascii="Arial" w:cs="Arial" w:eastAsia="Arial" w:hAnsi="Arial"/>
          <w:sz w:val="15"/>
          <w:szCs w:val="15"/>
          <w:b w:val="1"/>
          <w:bCs w:val="1"/>
          <w:color w:val="auto"/>
        </w:rPr>
        <w:t xml:space="preserve"> </w:t>
      </w:r>
      <w:r>
        <w:rPr>
          <w:rFonts w:ascii="Arial" w:cs="Arial" w:eastAsia="Arial" w:hAnsi="Arial"/>
          <w:sz w:val="15"/>
          <w:szCs w:val="15"/>
          <w:color w:val="auto"/>
        </w:rPr>
        <w:t>have meaningful dialogue on ESG matters, including climate and sustainability. During our recent series of off-season engagements in the fall/winter, we continued to discuss climate and sustainability matters, including Occidental’s net-zero pathway and significant milestones on that pathway thus far, with a majority of the shareholders participating. We also regularly engage with stakeholders, such as Climate Action 100+, an investor-led initiative that includes many of our largest shareholders, on our net-zero strategy, sustainability practices and reporting and other climate-related matters. These conversations give us a better understanding of shareholder and stakeholder interests and have helped shape our greenhouse gas (GHG) emissions reductions and net-zero targets and enhance Occidental’s climate-related disclosure. For example, guided by shareholder input, Occidental expanded our discussion of our net-zero strategy, climate-related policy positions, advocacy and engagement, alignment with recommendations of the Task Force on Climate-related Financial Disclosures, and the independent limited assurance verification process with respect to our GHG emissions estimates, among other topics, in our 2022 Climate Report.</w:t>
      </w:r>
    </w:p>
    <w:p>
      <w:pPr>
        <w:spacing w:after="0" w:line="114"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During the 2022 proxy season, we engaged with shareholders regarding the proposal Follow This submitted on behalf of Benta B.V. requesting that Occidental set and publish quantitative targets covering the short-, medium- and long-term GHG emissions of the company’s operations and the use of our energy products (Scope 1, 2 and 3) that are aligned with the Paris Agreement. We discussed our belief that Occidental had already set and disclosed quantitative short-, medium- and long-term goals for Occidental’s Scope 1, 2 and 3 emissions that are aligned with the goals of the Paris Agreement. We also detailed how our medium-term Scope 1, 2 and 3 target reflects a trajectory toward our long-term net-zero goals consistent with the ramp up of the commercialization of carbon capture, utilization and storage (CCUS) and DAC technologies assumed in a range of external scenarios (including the International Energy Agency (IEA) Net-Zero Emissions scenario). Through our conversations, we learned that shareholders were generally supportive of Occidental’s net-zero strategy and the targets and goals along its pathway. Follow This’s proposal was not adopted by the shareholders, receiving less than 17% of the votes cast. We continued our engagement with Follow This in September 2022 and continue to actively engage with shareholders regarding our decarbonization strategy and performance.</w:t>
      </w:r>
    </w:p>
    <w:p>
      <w:pPr>
        <w:spacing w:after="0" w:line="112"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Occidental is committed to being a part of the climate solution and, in conjunction with our ongoing engagement with shareholders and other stakeholders, will continue to develop and implement policies and practices to reduce GHG emissions. We were the first U.S.-based global oil and gas company to include Scope 3 emissions within the scope of our net-zero goals. Occidental also achieved zero routine flaring during 2022 across Occidental’s U.S. oil and gas operations, eight years ahead of the World Bank’s 2030 target, and began construction on Occidental’s first DAC facility, which is the first commercial-scale DAC plant in the Permian Basin.</w:t>
      </w:r>
    </w:p>
    <w:p>
      <w:pPr>
        <w:spacing w:after="0" w:line="2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2022 Business Performance Highlights</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Overview</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Occidental’s principal businesses consist of three segments: oil and gas, chemical and midstream and marketing. The oil and gas segment explores for, develops and produces oil (including condensate), natural gas liquids (NGL) and natural gas. The chemical segment (OxyChem) primarily manufactures and markets basic</w:t>
      </w:r>
    </w:p>
    <w:p>
      <w:pPr>
        <w:spacing w:after="0" w:line="1" w:lineRule="exact"/>
        <w:rPr>
          <w:sz w:val="20"/>
          <w:szCs w:val="20"/>
          <w:color w:val="auto"/>
        </w:rPr>
      </w:pPr>
    </w:p>
    <w:p>
      <w:pPr>
        <w:ind w:right="80"/>
        <w:spacing w:after="0" w:line="212" w:lineRule="auto"/>
        <w:rPr>
          <w:sz w:val="20"/>
          <w:szCs w:val="20"/>
          <w:color w:val="auto"/>
        </w:rPr>
      </w:pPr>
      <w:r>
        <w:rPr>
          <w:rFonts w:ascii="Arial" w:cs="Arial" w:eastAsia="Arial" w:hAnsi="Arial"/>
          <w:sz w:val="15"/>
          <w:szCs w:val="15"/>
          <w:color w:val="auto"/>
        </w:rPr>
        <w:t>chemicals and vinyls. The midstream and marketing segment purchases, markets, gathers, processes, transports and stores oil, NGL, natural gas, CO</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and power. It also optimizes its transportation and storage capacity, and invests in entities that conduct similar activities, such as Western Midstream Partners, L.P. Within the midstream and marketing segment, the OLCV business seeks to leverage Occidental’s legacy of carbon management expertise to develop CCUS projects, including the commercialization of DAC technology, and invests in other low-carbon technologies intended to reduce GHG emissions from its operations and strategically partner with other industries to help reduce their emissions.</w:t>
      </w:r>
    </w:p>
    <w:p>
      <w:pPr>
        <w:spacing w:after="0" w:line="126"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We conduct operations internationally, with assets primarily in the United States, the Middle East and North Africa. We are one of the largest oil producers in the U.S., including a leading producer in the Permian and DJ basins, and offshore Gulf of Mexico. We are regarded as a premier partner in Oman, the United Arab Emirates and Algeria.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Proxy Statement Summary</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2022 Performance Highlights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For information regarding the relationship between our performance highlights and the executive compensation program, please see “Compensation Discussion and Analysis,” beginning on page 37.</w:t>
      </w:r>
    </w:p>
    <w:p>
      <w:pPr>
        <w:sectPr>
          <w:pgSz w:w="11900" w:h="16838" w:orient="portrait"/>
          <w:cols w:equalWidth="0" w:num="1">
            <w:col w:w="11240"/>
          </w:cols>
          <w:pgMar w:left="320" w:top="130" w:right="339" w:bottom="1440" w:gutter="0" w:footer="0" w:header="0"/>
        </w:sect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00529B"/>
        </w:rPr>
        <w:t>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-289560</wp:posOffset>
            </wp:positionV>
            <wp:extent cx="308610" cy="360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8610" cy="360045"/>
                    </a:xfrm>
                    <a:prstGeom prst="rect">
                      <a:avLst/>
                    </a:prstGeom>
                    <a:noFill/>
                  </pic:spPr>
                </pic:pic>
              </a:graphicData>
            </a:graphic>
          </wp:anchor>
        </w:drawing>
      </w:r>
    </w:p>
    <w:p>
      <w:pPr>
        <w:spacing w:after="0" w:line="343" w:lineRule="exact"/>
        <w:rPr>
          <w:sz w:val="20"/>
          <w:szCs w:val="20"/>
          <w:color w:val="auto"/>
        </w:rPr>
      </w:pPr>
    </w:p>
    <w:p>
      <w:pPr>
        <w:ind w:left="200" w:hanging="179"/>
        <w:spacing w:after="0" w:line="244" w:lineRule="auto"/>
        <w:tabs>
          <w:tab w:leader="none" w:pos="214" w:val="left"/>
        </w:tabs>
        <w:numPr>
          <w:ilvl w:val="0"/>
          <w:numId w:val="14"/>
        </w:numPr>
        <w:rPr>
          <w:rFonts w:ascii="Arial" w:cs="Arial" w:eastAsia="Arial" w:hAnsi="Arial"/>
          <w:sz w:val="15"/>
          <w:szCs w:val="15"/>
          <w:color w:val="00529B"/>
        </w:rPr>
      </w:pPr>
      <w:r>
        <w:rPr>
          <w:rFonts w:ascii="Arial" w:cs="Arial" w:eastAsia="Arial" w:hAnsi="Arial"/>
          <w:sz w:val="15"/>
          <w:szCs w:val="15"/>
          <w:color w:val="auto"/>
        </w:rPr>
        <w:t>Completed Front-End Engineering and Design (FEED) and commenced construction of the company’s first DAC facility, which is expected to be commercially operational in 2025</w:t>
      </w:r>
    </w:p>
    <w:p>
      <w:pPr>
        <w:spacing w:after="0" w:line="121" w:lineRule="exact"/>
        <w:rPr>
          <w:rFonts w:ascii="Arial" w:cs="Arial" w:eastAsia="Arial" w:hAnsi="Arial"/>
          <w:sz w:val="15"/>
          <w:szCs w:val="15"/>
          <w:color w:val="00529B"/>
        </w:rPr>
      </w:pPr>
    </w:p>
    <w:p>
      <w:pPr>
        <w:ind w:left="220" w:hanging="199"/>
        <w:spacing w:after="0"/>
        <w:tabs>
          <w:tab w:leader="none" w:pos="220" w:val="left"/>
        </w:tabs>
        <w:numPr>
          <w:ilvl w:val="0"/>
          <w:numId w:val="14"/>
        </w:numPr>
        <w:rPr>
          <w:rFonts w:ascii="Arial" w:cs="Arial" w:eastAsia="Arial" w:hAnsi="Arial"/>
          <w:sz w:val="15"/>
          <w:szCs w:val="15"/>
          <w:color w:val="00529B"/>
        </w:rPr>
      </w:pPr>
      <w:r>
        <w:rPr>
          <w:rFonts w:ascii="Arial" w:cs="Arial" w:eastAsia="Arial" w:hAnsi="Arial"/>
          <w:sz w:val="15"/>
          <w:szCs w:val="15"/>
          <w:color w:val="auto"/>
        </w:rPr>
        <w:t>Started pre-FEED activities for Occidental’s second DAC plant</w:t>
      </w:r>
    </w:p>
    <w:p>
      <w:pPr>
        <w:spacing w:after="0" w:line="138" w:lineRule="exact"/>
        <w:rPr>
          <w:rFonts w:ascii="Arial" w:cs="Arial" w:eastAsia="Arial" w:hAnsi="Arial"/>
          <w:sz w:val="15"/>
          <w:szCs w:val="15"/>
          <w:color w:val="00529B"/>
        </w:rPr>
      </w:pPr>
    </w:p>
    <w:p>
      <w:pPr>
        <w:ind w:left="200" w:right="160" w:hanging="179"/>
        <w:spacing w:after="0" w:line="264" w:lineRule="auto"/>
        <w:tabs>
          <w:tab w:leader="none" w:pos="214" w:val="left"/>
        </w:tabs>
        <w:numPr>
          <w:ilvl w:val="0"/>
          <w:numId w:val="14"/>
        </w:numPr>
        <w:rPr>
          <w:rFonts w:ascii="Arial" w:cs="Arial" w:eastAsia="Arial" w:hAnsi="Arial"/>
          <w:sz w:val="15"/>
          <w:szCs w:val="15"/>
          <w:color w:val="00529B"/>
        </w:rPr>
      </w:pPr>
      <w:r>
        <w:rPr>
          <w:rFonts w:ascii="Arial" w:cs="Arial" w:eastAsia="Arial" w:hAnsi="Arial"/>
          <w:sz w:val="15"/>
          <w:szCs w:val="15"/>
          <w:color w:val="auto"/>
        </w:rPr>
        <w:t>Secured over 400 square miles of pore space and land for Gulf Coast sequestration hubs</w:t>
      </w:r>
    </w:p>
    <w:p>
      <w:pPr>
        <w:spacing w:after="0" w:line="93" w:lineRule="exact"/>
        <w:rPr>
          <w:rFonts w:ascii="Arial" w:cs="Arial" w:eastAsia="Arial" w:hAnsi="Arial"/>
          <w:sz w:val="15"/>
          <w:szCs w:val="15"/>
          <w:color w:val="00529B"/>
        </w:rPr>
      </w:pPr>
    </w:p>
    <w:p>
      <w:pPr>
        <w:ind w:left="220" w:hanging="199"/>
        <w:spacing w:after="0"/>
        <w:tabs>
          <w:tab w:leader="none" w:pos="220" w:val="left"/>
        </w:tabs>
        <w:numPr>
          <w:ilvl w:val="0"/>
          <w:numId w:val="14"/>
        </w:numPr>
        <w:rPr>
          <w:rFonts w:ascii="Arial" w:cs="Arial" w:eastAsia="Arial" w:hAnsi="Arial"/>
          <w:sz w:val="15"/>
          <w:szCs w:val="15"/>
          <w:color w:val="00529B"/>
        </w:rPr>
      </w:pPr>
      <w:r>
        <w:rPr>
          <w:rFonts w:ascii="Arial" w:cs="Arial" w:eastAsia="Arial" w:hAnsi="Arial"/>
          <w:sz w:val="15"/>
          <w:szCs w:val="15"/>
          <w:color w:val="auto"/>
        </w:rPr>
        <w:t>Filed permit applications for multiple Class VI sequestration wells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3"/>
        <w:spacing w:after="0"/>
        <w:rPr>
          <w:sz w:val="20"/>
          <w:szCs w:val="20"/>
          <w:color w:val="auto"/>
        </w:rPr>
      </w:pPr>
      <w:r>
        <w:rPr>
          <w:sz w:val="1"/>
          <w:szCs w:val="1"/>
          <w:color w:val="auto"/>
        </w:rPr>
        <w:drawing>
          <wp:inline distT="0" distB="0" distL="0" distR="0">
            <wp:extent cx="360045" cy="37719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0045" cy="377190"/>
                    </a:xfrm>
                    <a:prstGeom prst="rect">
                      <a:avLst/>
                    </a:prstGeom>
                    <a:noFill/>
                    <a:ln>
                      <a:noFill/>
                    </a:ln>
                  </pic:spPr>
                </pic:pic>
              </a:graphicData>
            </a:graphic>
          </wp:inline>
        </w:drawing>
      </w:r>
      <w:r>
        <w:rPr>
          <w:rFonts w:ascii="Arial" w:cs="Arial" w:eastAsia="Arial" w:hAnsi="Arial"/>
          <w:sz w:val="27"/>
          <w:szCs w:val="27"/>
          <w:b w:val="1"/>
          <w:bCs w:val="1"/>
          <w:color w:val="00529B"/>
        </w:rPr>
        <w:t xml:space="preserve"> Operational</w:t>
      </w:r>
    </w:p>
    <w:p>
      <w:pPr>
        <w:spacing w:after="0" w:line="253" w:lineRule="exact"/>
        <w:rPr>
          <w:sz w:val="20"/>
          <w:szCs w:val="20"/>
          <w:color w:val="auto"/>
        </w:rPr>
      </w:pPr>
    </w:p>
    <w:p>
      <w:pPr>
        <w:ind w:left="183" w:right="280" w:hanging="183"/>
        <w:spacing w:after="0" w:line="244" w:lineRule="auto"/>
        <w:tabs>
          <w:tab w:leader="none" w:pos="197" w:val="left"/>
        </w:tabs>
        <w:numPr>
          <w:ilvl w:val="0"/>
          <w:numId w:val="15"/>
        </w:numPr>
        <w:rPr>
          <w:rFonts w:ascii="Arial" w:cs="Arial" w:eastAsia="Arial" w:hAnsi="Arial"/>
          <w:sz w:val="15"/>
          <w:szCs w:val="15"/>
          <w:color w:val="00529B"/>
        </w:rPr>
      </w:pPr>
      <w:r>
        <w:rPr>
          <w:rFonts w:ascii="Arial" w:cs="Arial" w:eastAsia="Arial" w:hAnsi="Arial"/>
          <w:sz w:val="15"/>
          <w:szCs w:val="15"/>
          <w:color w:val="auto"/>
        </w:rPr>
        <w:t>Set record Delaware Basin well productivity with average 30-day initial production of more than 3,000 barrels of oil equivalent per day (Boed) for the 191 wells online in 2022</w:t>
      </w:r>
    </w:p>
    <w:p>
      <w:pPr>
        <w:spacing w:after="0" w:line="121" w:lineRule="exact"/>
        <w:rPr>
          <w:rFonts w:ascii="Arial" w:cs="Arial" w:eastAsia="Arial" w:hAnsi="Arial"/>
          <w:sz w:val="15"/>
          <w:szCs w:val="15"/>
          <w:color w:val="00529B"/>
        </w:rPr>
      </w:pPr>
    </w:p>
    <w:p>
      <w:pPr>
        <w:ind w:left="203" w:hanging="203"/>
        <w:spacing w:after="0"/>
        <w:tabs>
          <w:tab w:leader="none" w:pos="203" w:val="left"/>
        </w:tabs>
        <w:numPr>
          <w:ilvl w:val="0"/>
          <w:numId w:val="15"/>
        </w:numPr>
        <w:rPr>
          <w:rFonts w:ascii="Arial" w:cs="Arial" w:eastAsia="Arial" w:hAnsi="Arial"/>
          <w:sz w:val="15"/>
          <w:szCs w:val="15"/>
          <w:color w:val="00529B"/>
        </w:rPr>
      </w:pPr>
      <w:r>
        <w:rPr>
          <w:rFonts w:ascii="Arial" w:cs="Arial" w:eastAsia="Arial" w:hAnsi="Arial"/>
          <w:sz w:val="15"/>
          <w:szCs w:val="15"/>
          <w:color w:val="auto"/>
        </w:rPr>
        <w:t>Permian production grew by 90 thousand Boed</w:t>
      </w:r>
    </w:p>
    <w:p>
      <w:pPr>
        <w:spacing w:after="0" w:line="138" w:lineRule="exact"/>
        <w:rPr>
          <w:rFonts w:ascii="Arial" w:cs="Arial" w:eastAsia="Arial" w:hAnsi="Arial"/>
          <w:sz w:val="15"/>
          <w:szCs w:val="15"/>
          <w:color w:val="00529B"/>
        </w:rPr>
      </w:pPr>
    </w:p>
    <w:p>
      <w:pPr>
        <w:ind w:left="183" w:right="300" w:hanging="183"/>
        <w:spacing w:after="0" w:line="244" w:lineRule="auto"/>
        <w:tabs>
          <w:tab w:leader="none" w:pos="197" w:val="left"/>
        </w:tabs>
        <w:numPr>
          <w:ilvl w:val="0"/>
          <w:numId w:val="15"/>
        </w:numPr>
        <w:rPr>
          <w:rFonts w:ascii="Arial" w:cs="Arial" w:eastAsia="Arial" w:hAnsi="Arial"/>
          <w:sz w:val="15"/>
          <w:szCs w:val="15"/>
          <w:color w:val="00529B"/>
        </w:rPr>
      </w:pPr>
      <w:r>
        <w:rPr>
          <w:rFonts w:ascii="Arial" w:cs="Arial" w:eastAsia="Arial" w:hAnsi="Arial"/>
          <w:sz w:val="15"/>
          <w:szCs w:val="15"/>
          <w:color w:val="auto"/>
        </w:rPr>
        <w:t>Ended 2022 with proved reserves of approximately 3.8 billion barrels of oil equivalent (Boe), reflecting an increase of approximately 0.3 billion Boe over year-end 2021</w:t>
      </w:r>
    </w:p>
    <w:p>
      <w:pPr>
        <w:spacing w:after="0" w:line="108" w:lineRule="exact"/>
        <w:rPr>
          <w:rFonts w:ascii="Arial" w:cs="Arial" w:eastAsia="Arial" w:hAnsi="Arial"/>
          <w:sz w:val="15"/>
          <w:szCs w:val="15"/>
          <w:color w:val="00529B"/>
        </w:rPr>
      </w:pPr>
    </w:p>
    <w:p>
      <w:pPr>
        <w:ind w:left="203" w:hanging="203"/>
        <w:spacing w:after="0"/>
        <w:tabs>
          <w:tab w:leader="none" w:pos="203" w:val="left"/>
        </w:tabs>
        <w:numPr>
          <w:ilvl w:val="0"/>
          <w:numId w:val="15"/>
        </w:numPr>
        <w:rPr>
          <w:rFonts w:ascii="Arial" w:cs="Arial" w:eastAsia="Arial" w:hAnsi="Arial"/>
          <w:sz w:val="15"/>
          <w:szCs w:val="15"/>
          <w:color w:val="00529B"/>
        </w:rPr>
      </w:pPr>
      <w:r>
        <w:rPr>
          <w:rFonts w:ascii="Arial" w:cs="Arial" w:eastAsia="Arial" w:hAnsi="Arial"/>
          <w:sz w:val="15"/>
          <w:szCs w:val="15"/>
          <w:color w:val="auto"/>
        </w:rPr>
        <w:t>Gulf of Mexico tie-back execution drove multiple production milestones</w:t>
      </w:r>
    </w:p>
    <w:p>
      <w:pPr>
        <w:spacing w:after="0" w:line="151" w:lineRule="exact"/>
        <w:rPr>
          <w:rFonts w:ascii="Arial" w:cs="Arial" w:eastAsia="Arial" w:hAnsi="Arial"/>
          <w:sz w:val="15"/>
          <w:szCs w:val="15"/>
          <w:color w:val="00529B"/>
        </w:rPr>
      </w:pPr>
    </w:p>
    <w:p>
      <w:pPr>
        <w:ind w:left="203" w:hanging="203"/>
        <w:spacing w:after="0"/>
        <w:tabs>
          <w:tab w:leader="none" w:pos="203" w:val="left"/>
        </w:tabs>
        <w:numPr>
          <w:ilvl w:val="0"/>
          <w:numId w:val="15"/>
        </w:numPr>
        <w:rPr>
          <w:rFonts w:ascii="Arial" w:cs="Arial" w:eastAsia="Arial" w:hAnsi="Arial"/>
          <w:sz w:val="15"/>
          <w:szCs w:val="15"/>
          <w:color w:val="00529B"/>
        </w:rPr>
      </w:pPr>
      <w:r>
        <w:rPr>
          <w:rFonts w:ascii="Arial" w:cs="Arial" w:eastAsia="Arial" w:hAnsi="Arial"/>
          <w:sz w:val="15"/>
          <w:szCs w:val="15"/>
          <w:color w:val="auto"/>
        </w:rPr>
        <w:t>OxyChem generated record pre-tax earnings of $2.5 billion</w:t>
      </w:r>
    </w:p>
    <w:p>
      <w:pPr>
        <w:spacing w:after="0" w:line="152" w:lineRule="exact"/>
        <w:rPr>
          <w:sz w:val="20"/>
          <w:szCs w:val="20"/>
          <w:color w:val="auto"/>
        </w:rPr>
      </w:pPr>
    </w:p>
    <w:p>
      <w:pPr>
        <w:sectPr>
          <w:pgSz w:w="11900" w:h="16838" w:orient="portrait"/>
          <w:cols w:equalWidth="0" w:num="2">
            <w:col w:w="5080" w:space="517"/>
            <w:col w:w="5643"/>
          </w:cols>
          <w:pgMar w:left="320" w:top="130" w:right="339" w:bottom="1440" w:gutter="0" w:footer="0" w:header="0"/>
          <w:type w:val="continuous"/>
        </w:sectPr>
      </w:pPr>
    </w:p>
    <w:p>
      <w:pPr>
        <w:ind w:left="20"/>
        <w:spacing w:after="0"/>
        <w:rPr>
          <w:sz w:val="20"/>
          <w:szCs w:val="20"/>
          <w:color w:val="auto"/>
        </w:rPr>
      </w:pPr>
      <w:r>
        <w:rPr>
          <w:sz w:val="1"/>
          <w:szCs w:val="1"/>
          <w:color w:val="auto"/>
        </w:rPr>
        <w:drawing>
          <wp:inline distT="0" distB="0" distL="0" distR="0">
            <wp:extent cx="360045" cy="36893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0045" cy="368935"/>
                    </a:xfrm>
                    <a:prstGeom prst="rect">
                      <a:avLst/>
                    </a:prstGeom>
                    <a:noFill/>
                    <a:ln>
                      <a:noFill/>
                    </a:ln>
                  </pic:spPr>
                </pic:pic>
              </a:graphicData>
            </a:graphic>
          </wp:inline>
        </w:drawing>
      </w:r>
      <w:r>
        <w:rPr>
          <w:rFonts w:ascii="Arial" w:cs="Arial" w:eastAsia="Arial" w:hAnsi="Arial"/>
          <w:sz w:val="27"/>
          <w:szCs w:val="27"/>
          <w:b w:val="1"/>
          <w:bCs w:val="1"/>
          <w:color w:val="00529B"/>
        </w:rPr>
        <w:t xml:space="preserve"> Financial</w:t>
      </w:r>
    </w:p>
    <w:p>
      <w:pPr>
        <w:spacing w:after="0" w:line="253" w:lineRule="exact"/>
        <w:rPr>
          <w:sz w:val="20"/>
          <w:szCs w:val="20"/>
          <w:color w:val="auto"/>
        </w:rPr>
      </w:pPr>
    </w:p>
    <w:p>
      <w:pPr>
        <w:ind w:left="200" w:right="20" w:hanging="179"/>
        <w:spacing w:after="0" w:line="274" w:lineRule="auto"/>
        <w:tabs>
          <w:tab w:leader="none" w:pos="214" w:val="left"/>
        </w:tabs>
        <w:numPr>
          <w:ilvl w:val="0"/>
          <w:numId w:val="16"/>
        </w:numPr>
        <w:rPr>
          <w:rFonts w:ascii="Arial" w:cs="Arial" w:eastAsia="Arial" w:hAnsi="Arial"/>
          <w:sz w:val="15"/>
          <w:szCs w:val="15"/>
          <w:color w:val="00529B"/>
        </w:rPr>
      </w:pPr>
      <w:r>
        <w:rPr>
          <w:rFonts w:ascii="Arial" w:cs="Arial" w:eastAsia="Arial" w:hAnsi="Arial"/>
          <w:sz w:val="15"/>
          <w:szCs w:val="15"/>
          <w:color w:val="auto"/>
        </w:rPr>
        <w:t>Generated operating cash flow from continuing operations of $16.8 billion and record free cash flow before working capital of $13.6 billion</w:t>
      </w:r>
      <w:r>
        <w:rPr>
          <w:rFonts w:ascii="Arial" w:cs="Arial" w:eastAsia="Arial" w:hAnsi="Arial"/>
          <w:sz w:val="25"/>
          <w:szCs w:val="25"/>
          <w:color w:val="auto"/>
          <w:vertAlign w:val="superscript"/>
        </w:rPr>
        <w:t>(1)</w:t>
      </w:r>
    </w:p>
    <w:p>
      <w:pPr>
        <w:spacing w:after="0" w:line="1" w:lineRule="exact"/>
        <w:rPr>
          <w:rFonts w:ascii="Arial" w:cs="Arial" w:eastAsia="Arial" w:hAnsi="Arial"/>
          <w:sz w:val="15"/>
          <w:szCs w:val="15"/>
          <w:color w:val="00529B"/>
        </w:rPr>
      </w:pPr>
    </w:p>
    <w:p>
      <w:pPr>
        <w:ind w:left="200" w:hanging="179"/>
        <w:spacing w:after="0" w:line="268" w:lineRule="auto"/>
        <w:tabs>
          <w:tab w:leader="none" w:pos="214" w:val="left"/>
        </w:tabs>
        <w:numPr>
          <w:ilvl w:val="0"/>
          <w:numId w:val="16"/>
        </w:numPr>
        <w:rPr>
          <w:rFonts w:ascii="Arial" w:cs="Arial" w:eastAsia="Arial" w:hAnsi="Arial"/>
          <w:sz w:val="15"/>
          <w:szCs w:val="15"/>
          <w:color w:val="00529B"/>
        </w:rPr>
      </w:pPr>
      <w:r>
        <w:rPr>
          <w:rFonts w:ascii="Arial" w:cs="Arial" w:eastAsia="Arial" w:hAnsi="Arial"/>
          <w:sz w:val="15"/>
          <w:szCs w:val="15"/>
          <w:color w:val="auto"/>
        </w:rPr>
        <w:t>Achieved record net income attributable to common stockholders of $12.5 billion and Return on Capital Employed (ROCE)</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of 28%</w:t>
      </w:r>
    </w:p>
    <w:p>
      <w:pPr>
        <w:ind w:left="200" w:right="160" w:hanging="179"/>
        <w:spacing w:after="0" w:line="263" w:lineRule="auto"/>
        <w:tabs>
          <w:tab w:leader="none" w:pos="214" w:val="left"/>
        </w:tabs>
        <w:numPr>
          <w:ilvl w:val="0"/>
          <w:numId w:val="16"/>
        </w:numPr>
        <w:rPr>
          <w:rFonts w:ascii="Arial" w:cs="Arial" w:eastAsia="Arial" w:hAnsi="Arial"/>
          <w:sz w:val="15"/>
          <w:szCs w:val="15"/>
          <w:color w:val="00529B"/>
        </w:rPr>
      </w:pPr>
      <w:r>
        <w:rPr>
          <w:rFonts w:ascii="Arial" w:cs="Arial" w:eastAsia="Arial" w:hAnsi="Arial"/>
          <w:sz w:val="15"/>
          <w:szCs w:val="15"/>
          <w:color w:val="auto"/>
        </w:rPr>
        <w:t>Retired over $10.5 billion of debt and eliminated more than $400 million per annum of interest and finance expenses</w:t>
      </w:r>
    </w:p>
    <w:p>
      <w:pPr>
        <w:spacing w:after="0" w:line="93" w:lineRule="exact"/>
        <w:rPr>
          <w:rFonts w:ascii="Arial" w:cs="Arial" w:eastAsia="Arial" w:hAnsi="Arial"/>
          <w:sz w:val="15"/>
          <w:szCs w:val="15"/>
          <w:color w:val="00529B"/>
        </w:rPr>
      </w:pPr>
    </w:p>
    <w:p>
      <w:pPr>
        <w:ind w:left="220" w:hanging="199"/>
        <w:spacing w:after="0"/>
        <w:tabs>
          <w:tab w:leader="none" w:pos="220" w:val="left"/>
        </w:tabs>
        <w:numPr>
          <w:ilvl w:val="0"/>
          <w:numId w:val="16"/>
        </w:numPr>
        <w:rPr>
          <w:rFonts w:ascii="Arial" w:cs="Arial" w:eastAsia="Arial" w:hAnsi="Arial"/>
          <w:sz w:val="15"/>
          <w:szCs w:val="15"/>
          <w:color w:val="00529B"/>
        </w:rPr>
      </w:pPr>
      <w:r>
        <w:rPr>
          <w:rFonts w:ascii="Arial" w:cs="Arial" w:eastAsia="Arial" w:hAnsi="Arial"/>
          <w:sz w:val="15"/>
          <w:szCs w:val="15"/>
          <w:color w:val="auto"/>
        </w:rPr>
        <w:t>Completed $3 billion share repurchase program</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sz w:val="1"/>
          <w:szCs w:val="1"/>
          <w:color w:val="auto"/>
        </w:rPr>
        <w:drawing>
          <wp:inline distT="0" distB="0" distL="0" distR="0">
            <wp:extent cx="334010" cy="36893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010" cy="368935"/>
                    </a:xfrm>
                    <a:prstGeom prst="rect">
                      <a:avLst/>
                    </a:prstGeom>
                    <a:noFill/>
                    <a:ln>
                      <a:noFill/>
                    </a:ln>
                  </pic:spPr>
                </pic:pic>
              </a:graphicData>
            </a:graphic>
          </wp:inline>
        </w:drawing>
      </w:r>
      <w:r>
        <w:rPr>
          <w:rFonts w:ascii="Arial" w:cs="Arial" w:eastAsia="Arial" w:hAnsi="Arial"/>
          <w:sz w:val="27"/>
          <w:szCs w:val="27"/>
          <w:b w:val="1"/>
          <w:bCs w:val="1"/>
          <w:color w:val="00529B"/>
        </w:rPr>
        <w:t xml:space="preserve"> HSE and Sustainability</w:t>
      </w:r>
    </w:p>
    <w:p>
      <w:pPr>
        <w:spacing w:after="0" w:line="253" w:lineRule="exact"/>
        <w:rPr>
          <w:sz w:val="20"/>
          <w:szCs w:val="20"/>
          <w:color w:val="auto"/>
        </w:rPr>
      </w:pPr>
    </w:p>
    <w:p>
      <w:pPr>
        <w:ind w:left="183" w:right="340" w:hanging="183"/>
        <w:spacing w:after="0" w:line="244" w:lineRule="auto"/>
        <w:tabs>
          <w:tab w:leader="none" w:pos="197" w:val="left"/>
        </w:tabs>
        <w:numPr>
          <w:ilvl w:val="0"/>
          <w:numId w:val="17"/>
        </w:numPr>
        <w:rPr>
          <w:rFonts w:ascii="Arial" w:cs="Arial" w:eastAsia="Arial" w:hAnsi="Arial"/>
          <w:sz w:val="15"/>
          <w:szCs w:val="15"/>
          <w:color w:val="00529B"/>
        </w:rPr>
      </w:pPr>
      <w:r>
        <w:rPr>
          <w:rFonts w:ascii="Arial" w:cs="Arial" w:eastAsia="Arial" w:hAnsi="Arial"/>
          <w:sz w:val="15"/>
          <w:szCs w:val="15"/>
          <w:color w:val="auto"/>
        </w:rPr>
        <w:t>Achieved zero routine flaring during 2022 across U.S. Oil &amp; Gas operations, eight years ahead of the World Bank’s 2030 target; significantly reduced methane emissions</w:t>
      </w:r>
    </w:p>
    <w:p>
      <w:pPr>
        <w:spacing w:after="0" w:line="121" w:lineRule="exact"/>
        <w:rPr>
          <w:rFonts w:ascii="Arial" w:cs="Arial" w:eastAsia="Arial" w:hAnsi="Arial"/>
          <w:sz w:val="15"/>
          <w:szCs w:val="15"/>
          <w:color w:val="00529B"/>
        </w:rPr>
      </w:pPr>
    </w:p>
    <w:p>
      <w:pPr>
        <w:ind w:left="183" w:right="20" w:hanging="183"/>
        <w:spacing w:after="0" w:line="244" w:lineRule="auto"/>
        <w:tabs>
          <w:tab w:leader="none" w:pos="197" w:val="left"/>
        </w:tabs>
        <w:numPr>
          <w:ilvl w:val="0"/>
          <w:numId w:val="17"/>
        </w:numPr>
        <w:rPr>
          <w:rFonts w:ascii="Arial" w:cs="Arial" w:eastAsia="Arial" w:hAnsi="Arial"/>
          <w:sz w:val="15"/>
          <w:szCs w:val="15"/>
          <w:color w:val="00529B"/>
        </w:rPr>
      </w:pPr>
      <w:r>
        <w:rPr>
          <w:rFonts w:ascii="Arial" w:cs="Arial" w:eastAsia="Arial" w:hAnsi="Arial"/>
          <w:sz w:val="15"/>
          <w:szCs w:val="15"/>
          <w:color w:val="auto"/>
        </w:rPr>
        <w:t>Original signatory to the “Aiming for Zero Methane Emissions” pledge; continued active participation in the Oil and Gas Climate Initiative, Methane Guiding Principles, Ipieca and Oil and Gas Methane Partnership 2.0</w:t>
      </w:r>
    </w:p>
    <w:p>
      <w:pPr>
        <w:spacing w:after="0" w:line="108" w:lineRule="exact"/>
        <w:rPr>
          <w:rFonts w:ascii="Arial" w:cs="Arial" w:eastAsia="Arial" w:hAnsi="Arial"/>
          <w:sz w:val="15"/>
          <w:szCs w:val="15"/>
          <w:color w:val="00529B"/>
        </w:rPr>
      </w:pPr>
    </w:p>
    <w:p>
      <w:pPr>
        <w:ind w:left="203" w:hanging="203"/>
        <w:spacing w:after="0"/>
        <w:tabs>
          <w:tab w:leader="none" w:pos="203" w:val="left"/>
        </w:tabs>
        <w:numPr>
          <w:ilvl w:val="0"/>
          <w:numId w:val="17"/>
        </w:numPr>
        <w:rPr>
          <w:rFonts w:ascii="Arial" w:cs="Arial" w:eastAsia="Arial" w:hAnsi="Arial"/>
          <w:sz w:val="15"/>
          <w:szCs w:val="15"/>
          <w:color w:val="00529B"/>
        </w:rPr>
      </w:pPr>
      <w:r>
        <w:rPr>
          <w:rFonts w:ascii="Arial" w:cs="Arial" w:eastAsia="Arial" w:hAnsi="Arial"/>
          <w:sz w:val="15"/>
          <w:szCs w:val="15"/>
          <w:color w:val="auto"/>
        </w:rPr>
        <w:t>Updated the company’s HSE and Sustainability Principles, with Board approval</w:t>
      </w:r>
    </w:p>
    <w:p>
      <w:pPr>
        <w:spacing w:after="0" w:line="149" w:lineRule="exact"/>
        <w:rPr>
          <w:rFonts w:ascii="Arial" w:cs="Arial" w:eastAsia="Arial" w:hAnsi="Arial"/>
          <w:sz w:val="15"/>
          <w:szCs w:val="15"/>
          <w:color w:val="00529B"/>
        </w:rPr>
      </w:pPr>
    </w:p>
    <w:p>
      <w:pPr>
        <w:ind w:left="183" w:right="480" w:hanging="183"/>
        <w:spacing w:after="0" w:line="209" w:lineRule="auto"/>
        <w:tabs>
          <w:tab w:leader="none" w:pos="197" w:val="left"/>
        </w:tabs>
        <w:numPr>
          <w:ilvl w:val="0"/>
          <w:numId w:val="17"/>
        </w:numPr>
        <w:rPr>
          <w:rFonts w:ascii="Arial" w:cs="Arial" w:eastAsia="Arial" w:hAnsi="Arial"/>
          <w:sz w:val="15"/>
          <w:szCs w:val="15"/>
          <w:color w:val="00529B"/>
        </w:rPr>
      </w:pPr>
      <w:r>
        <w:rPr>
          <w:rFonts w:ascii="Arial" w:cs="Arial" w:eastAsia="Arial" w:hAnsi="Arial"/>
          <w:sz w:val="15"/>
          <w:szCs w:val="15"/>
          <w:color w:val="auto"/>
        </w:rPr>
        <w:t>Received several Responsible Care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Facility Safety Awards from the American Chemistry Council and a Better Practice Award from the U.S. Department of Energy</w:t>
      </w:r>
    </w:p>
    <w:p>
      <w:pPr>
        <w:spacing w:after="0" w:line="173" w:lineRule="exact"/>
        <w:rPr>
          <w:sz w:val="20"/>
          <w:szCs w:val="20"/>
          <w:color w:val="auto"/>
        </w:rPr>
      </w:pPr>
    </w:p>
    <w:p>
      <w:pPr>
        <w:sectPr>
          <w:pgSz w:w="11900" w:h="16838" w:orient="portrait"/>
          <w:cols w:equalWidth="0" w:num="2">
            <w:col w:w="5200" w:space="397"/>
            <w:col w:w="5643"/>
          </w:cols>
          <w:pgMar w:left="320" w:top="130" w:right="339" w:bottom="1440" w:gutter="0" w:footer="0" w:header="0"/>
          <w:type w:val="continuous"/>
        </w:sectPr>
      </w:pPr>
    </w:p>
    <w:p>
      <w:pPr>
        <w:spacing w:after="0"/>
        <w:rPr>
          <w:sz w:val="20"/>
          <w:szCs w:val="20"/>
          <w:color w:val="auto"/>
        </w:rPr>
      </w:pPr>
      <w:r>
        <w:rPr>
          <w:rFonts w:ascii="Arial" w:cs="Arial" w:eastAsia="Arial" w:hAnsi="Arial"/>
          <w:sz w:val="36"/>
          <w:szCs w:val="36"/>
          <w:b w:val="1"/>
          <w:bCs w:val="1"/>
          <w:color w:val="auto"/>
        </w:rPr>
        <w:t>Executive Compensation Program Summary</w:t>
      </w:r>
    </w:p>
    <w:p>
      <w:pPr>
        <w:spacing w:after="0" w:line="187" w:lineRule="exact"/>
        <w:rPr>
          <w:sz w:val="20"/>
          <w:szCs w:val="20"/>
          <w:color w:val="auto"/>
        </w:rPr>
      </w:pPr>
    </w:p>
    <w:p>
      <w:pPr>
        <w:ind w:right="300"/>
        <w:spacing w:after="0" w:line="244" w:lineRule="auto"/>
        <w:rPr>
          <w:sz w:val="20"/>
          <w:szCs w:val="20"/>
          <w:color w:val="auto"/>
        </w:rPr>
      </w:pPr>
      <w:r>
        <w:rPr>
          <w:rFonts w:ascii="Arial" w:cs="Arial" w:eastAsia="Arial" w:hAnsi="Arial"/>
          <w:sz w:val="15"/>
          <w:szCs w:val="15"/>
          <w:color w:val="auto"/>
        </w:rPr>
        <w:t>The Compensation Committee strives to maintain a compensation program that will attract, retain and motivate outstanding executives by providing incentives to reward them for superior performance that supports Occidental’s long-term strategic objectives, across the commodity price cycle, and is competitive with industry practices.</w:t>
      </w:r>
    </w:p>
    <w:p>
      <w:pPr>
        <w:spacing w:after="0" w:line="108"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The primary elements of executive compensation are “direct compensation” and consist of base salary, an annual cash incentive award and long-term incentive awards. Direct compensation is heavily weighted toward long-term incentive awards. In 2022, Ms. Hollub’s target direct compensation consisted of: long-term incentive awards conditioned on Occidental’s three-year TSR and CROCE performance (37.50%); time-vesting RSU awards (18.75%); and NQSOs (18.75%) (terms defined below).</w:t>
      </w:r>
    </w:p>
    <w:p>
      <w:pPr>
        <w:spacing w:after="0" w:line="112"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0"/>
          <w:szCs w:val="10"/>
          <w:color w:val="auto"/>
        </w:rPr>
      </w:pPr>
      <w:r>
        <w:rPr>
          <w:rFonts w:ascii="Arial" w:cs="Arial" w:eastAsia="Arial" w:hAnsi="Arial"/>
          <w:sz w:val="13"/>
          <w:szCs w:val="13"/>
          <w:color w:val="auto"/>
        </w:rPr>
        <w:t>Free cash flow is a non-GAAP financial measure. See Annex A for a reconciliation to GAAP.</w:t>
      </w:r>
    </w:p>
    <w:p>
      <w:pPr>
        <w:spacing w:after="0" w:line="66" w:lineRule="exact"/>
        <w:rPr>
          <w:rFonts w:ascii="Arial" w:cs="Arial" w:eastAsia="Arial" w:hAnsi="Arial"/>
          <w:sz w:val="10"/>
          <w:szCs w:val="10"/>
          <w:color w:val="auto"/>
        </w:rPr>
      </w:pPr>
    </w:p>
    <w:p>
      <w:pPr>
        <w:ind w:left="300" w:hanging="292"/>
        <w:spacing w:after="0"/>
        <w:tabs>
          <w:tab w:leader="none" w:pos="300" w:val="left"/>
        </w:tabs>
        <w:numPr>
          <w:ilvl w:val="0"/>
          <w:numId w:val="18"/>
        </w:numPr>
        <w:rPr>
          <w:rFonts w:ascii="Arial" w:cs="Arial" w:eastAsia="Arial" w:hAnsi="Arial"/>
          <w:sz w:val="10"/>
          <w:szCs w:val="10"/>
          <w:color w:val="auto"/>
        </w:rPr>
      </w:pPr>
      <w:r>
        <w:rPr>
          <w:rFonts w:ascii="Arial" w:cs="Arial" w:eastAsia="Arial" w:hAnsi="Arial"/>
          <w:sz w:val="13"/>
          <w:szCs w:val="13"/>
          <w:color w:val="auto"/>
        </w:rPr>
        <w:t>ROCE is a non-GAAP financial measure. See Annex A for a reconciliation to GAAP.</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80"/>
        <w:spacing w:after="0"/>
        <w:rPr>
          <w:sz w:val="20"/>
          <w:szCs w:val="20"/>
          <w:color w:val="auto"/>
        </w:rPr>
      </w:pP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Proxy Statement Summary</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Allocation of Direct Compensation Elements in 2022</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A substantial majority of named executive officer (NEO) compensation is dependent on performance. 90% of Ms. Hollub’s (and an average of 84% of the other NEOs’) target direct compensation opportunity is variable, or at risk. The ultimate value of at-risk compensation is dependent on company performance outcomes, the result of the Compensation Committee’s assessment of each individual’s performance and Occidental’s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24085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529B"/>
        </w:rPr>
        <w:t>CEO TARGET DIRECT COMPENSATION MIX</w:t>
      </w:r>
      <w:r>
        <w:rPr>
          <w:rFonts w:ascii="Arial" w:cs="Arial" w:eastAsia="Arial" w:hAnsi="Arial"/>
          <w:sz w:val="23"/>
          <w:szCs w:val="23"/>
          <w:b w:val="1"/>
          <w:bCs w:val="1"/>
          <w:color w:val="00529B"/>
          <w:vertAlign w:val="superscript"/>
        </w:rPr>
        <w:t>(1)</w:t>
      </w:r>
      <w:r>
        <w:rPr>
          <w:rFonts w:ascii="Arial" w:cs="Arial" w:eastAsia="Arial" w:hAnsi="Arial"/>
          <w:sz w:val="14"/>
          <w:szCs w:val="14"/>
          <w:b w:val="1"/>
          <w:bCs w:val="1"/>
          <w:color w:val="00529B"/>
        </w:rPr>
        <w:t xml:space="preserve"> — 90% VARIABLE/AT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0"/>
          <w:szCs w:val="10"/>
          <w:color w:val="auto"/>
        </w:rPr>
      </w:pPr>
      <w:r>
        <w:rPr>
          <w:rFonts w:ascii="Arial" w:cs="Arial" w:eastAsia="Arial" w:hAnsi="Arial"/>
          <w:sz w:val="13"/>
          <w:szCs w:val="13"/>
          <w:color w:val="auto"/>
        </w:rPr>
        <w:t>Target direct compensation is composed of base salary, target annual cash incentive award opportunity and the target value of long-term incentive awards.</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Significant Portion of ACI Award Tied to Sustainability</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 xml:space="preserve">Based on shareholder feedback, the Compensation Committee maintained the sustainability metric weighting for the company performance portion of the ACI Award at 30% to continue advancing the company’s net-zero strategy and incentivize executives to address Occidental’s Scope 1, 2 and 3 emissions in the short-term by including targets focused on emissions reduction efforts and carbon ventures and reduction projects. For more information, see </w:t>
      </w:r>
      <w:r>
        <w:rPr>
          <w:rFonts w:ascii="Arial" w:cs="Arial" w:eastAsia="Arial" w:hAnsi="Arial"/>
          <w:sz w:val="15"/>
          <w:szCs w:val="15"/>
          <w:i w:val="1"/>
          <w:iCs w:val="1"/>
          <w:color w:val="auto"/>
        </w:rPr>
        <w:t>"Compensation 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 Elements of the 2022 Compensation Program - Annual Cash Incentive" </w:t>
      </w:r>
      <w:r>
        <w:rPr>
          <w:rFonts w:ascii="Arial" w:cs="Arial" w:eastAsia="Arial" w:hAnsi="Arial"/>
          <w:sz w:val="15"/>
          <w:szCs w:val="15"/>
          <w:color w:val="auto"/>
        </w:rPr>
        <w:t>beginning on page 46.</w:t>
      </w:r>
    </w:p>
    <w:p>
      <w:pPr>
        <w:sectPr>
          <w:pgSz w:w="11900" w:h="16838" w:orient="portrait"/>
          <w:cols w:equalWidth="0" w:num="1">
            <w:col w:w="11200"/>
          </w:cols>
          <w:pgMar w:left="320" w:top="130" w:right="379" w:bottom="1440" w:gutter="0" w:footer="0" w:header="0"/>
        </w:sectPr>
      </w:pPr>
    </w:p>
    <w:p>
      <w:pPr>
        <w:spacing w:after="0" w:line="110" w:lineRule="exact"/>
        <w:rPr>
          <w:sz w:val="20"/>
          <w:szCs w:val="20"/>
          <w:color w:val="auto"/>
        </w:rPr>
      </w:pPr>
    </w:p>
    <w:p>
      <w:pPr>
        <w:jc w:val="center"/>
        <w:ind w:left="4000"/>
        <w:spacing w:after="0"/>
        <w:rPr>
          <w:sz w:val="20"/>
          <w:szCs w:val="20"/>
          <w:color w:val="auto"/>
        </w:rPr>
      </w:pPr>
      <w:r>
        <w:rPr>
          <w:rFonts w:ascii="Arial" w:cs="Arial" w:eastAsia="Arial" w:hAnsi="Arial"/>
          <w:sz w:val="15"/>
          <w:szCs w:val="15"/>
          <w:b w:val="1"/>
          <w:bCs w:val="1"/>
          <w:color w:val="00529B"/>
        </w:rPr>
        <w:t>Emissions Reduction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414145" cy="1414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jc w:val="center"/>
        <w:ind w:left="4040"/>
        <w:spacing w:after="0"/>
        <w:rPr>
          <w:sz w:val="20"/>
          <w:szCs w:val="20"/>
          <w:color w:val="auto"/>
        </w:rPr>
      </w:pPr>
      <w:r>
        <w:rPr>
          <w:rFonts w:ascii="Arial" w:cs="Arial" w:eastAsia="Arial" w:hAnsi="Arial"/>
          <w:sz w:val="15"/>
          <w:szCs w:val="15"/>
          <w:b w:val="1"/>
          <w:bCs w:val="1"/>
          <w:color w:val="00529B"/>
        </w:rPr>
        <w:t>(Scope 1 and 2)</w:t>
      </w:r>
    </w:p>
    <w:p>
      <w:pPr>
        <w:spacing w:after="0" w:line="124" w:lineRule="exact"/>
        <w:rPr>
          <w:sz w:val="20"/>
          <w:szCs w:val="20"/>
          <w:color w:val="auto"/>
        </w:rPr>
      </w:pPr>
    </w:p>
    <w:p>
      <w:pPr>
        <w:jc w:val="center"/>
        <w:ind w:left="2440"/>
        <w:spacing w:after="0"/>
        <w:rPr>
          <w:sz w:val="20"/>
          <w:szCs w:val="20"/>
          <w:color w:val="auto"/>
        </w:rPr>
      </w:pPr>
      <w:r>
        <w:rPr>
          <w:rFonts w:ascii="Arial" w:cs="Arial" w:eastAsia="Arial" w:hAnsi="Arial"/>
          <w:sz w:val="15"/>
          <w:szCs w:val="15"/>
          <w:color w:val="auto"/>
        </w:rPr>
        <w:t>Reduce operating emissions</w:t>
      </w:r>
    </w:p>
    <w:p>
      <w:pPr>
        <w:spacing w:after="0" w:line="152" w:lineRule="exact"/>
        <w:rPr>
          <w:sz w:val="20"/>
          <w:szCs w:val="20"/>
          <w:color w:val="auto"/>
        </w:rPr>
      </w:pPr>
    </w:p>
    <w:p>
      <w:pPr>
        <w:ind w:left="4160" w:right="80" w:hanging="183"/>
        <w:spacing w:after="0" w:line="244" w:lineRule="auto"/>
        <w:tabs>
          <w:tab w:leader="none" w:pos="4174" w:val="left"/>
        </w:tabs>
        <w:numPr>
          <w:ilvl w:val="0"/>
          <w:numId w:val="20"/>
        </w:numPr>
        <w:rPr>
          <w:rFonts w:ascii="Arial" w:cs="Arial" w:eastAsia="Arial" w:hAnsi="Arial"/>
          <w:sz w:val="15"/>
          <w:szCs w:val="15"/>
          <w:color w:val="00529B"/>
        </w:rPr>
      </w:pPr>
      <w:r>
        <w:rPr>
          <w:rFonts w:ascii="Arial" w:cs="Arial" w:eastAsia="Arial" w:hAnsi="Arial"/>
          <w:sz w:val="15"/>
          <w:szCs w:val="15"/>
          <w:color w:val="auto"/>
        </w:rPr>
        <w:t>Deploy the Emissions Technology program and Find It/Fix It operational emissions program to international locations</w:t>
      </w:r>
    </w:p>
    <w:p>
      <w:pPr>
        <w:spacing w:after="0" w:line="108" w:lineRule="exact"/>
        <w:rPr>
          <w:rFonts w:ascii="Arial" w:cs="Arial" w:eastAsia="Arial" w:hAnsi="Arial"/>
          <w:sz w:val="15"/>
          <w:szCs w:val="15"/>
          <w:color w:val="00529B"/>
        </w:rPr>
      </w:pPr>
    </w:p>
    <w:p>
      <w:pPr>
        <w:ind w:left="4160" w:hanging="183"/>
        <w:spacing w:after="0" w:line="264" w:lineRule="auto"/>
        <w:tabs>
          <w:tab w:leader="none" w:pos="4174" w:val="left"/>
        </w:tabs>
        <w:numPr>
          <w:ilvl w:val="0"/>
          <w:numId w:val="20"/>
        </w:numPr>
        <w:rPr>
          <w:rFonts w:ascii="Arial" w:cs="Arial" w:eastAsia="Arial" w:hAnsi="Arial"/>
          <w:sz w:val="15"/>
          <w:szCs w:val="15"/>
          <w:color w:val="00529B"/>
        </w:rPr>
      </w:pPr>
      <w:r>
        <w:rPr>
          <w:rFonts w:ascii="Arial" w:cs="Arial" w:eastAsia="Arial" w:hAnsi="Arial"/>
          <w:sz w:val="15"/>
          <w:szCs w:val="15"/>
          <w:color w:val="auto"/>
        </w:rPr>
        <w:t>Deploy at least 4 emissions reduction projects in the Permian Basin</w:t>
      </w:r>
    </w:p>
    <w:p>
      <w:pPr>
        <w:spacing w:after="0" w:line="93" w:lineRule="exact"/>
        <w:rPr>
          <w:rFonts w:ascii="Arial" w:cs="Arial" w:eastAsia="Arial" w:hAnsi="Arial"/>
          <w:sz w:val="15"/>
          <w:szCs w:val="15"/>
          <w:color w:val="00529B"/>
        </w:rPr>
      </w:pPr>
    </w:p>
    <w:p>
      <w:pPr>
        <w:ind w:left="4160" w:right="100" w:hanging="183"/>
        <w:spacing w:after="0" w:line="264" w:lineRule="auto"/>
        <w:tabs>
          <w:tab w:leader="none" w:pos="4174" w:val="left"/>
        </w:tabs>
        <w:numPr>
          <w:ilvl w:val="0"/>
          <w:numId w:val="20"/>
        </w:numPr>
        <w:rPr>
          <w:rFonts w:ascii="Arial" w:cs="Arial" w:eastAsia="Arial" w:hAnsi="Arial"/>
          <w:sz w:val="15"/>
          <w:szCs w:val="15"/>
          <w:color w:val="00529B"/>
        </w:rPr>
      </w:pPr>
      <w:r>
        <w:rPr>
          <w:rFonts w:ascii="Arial" w:cs="Arial" w:eastAsia="Arial" w:hAnsi="Arial"/>
          <w:sz w:val="15"/>
          <w:szCs w:val="15"/>
          <w:color w:val="auto"/>
        </w:rPr>
        <w:t>Achieve a 15% reduction in routine flaring from our 2020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672084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00529B"/>
        </w:rPr>
        <w:t>Carbon Ventures and Reduction</w:t>
      </w:r>
    </w:p>
    <w:p>
      <w:pPr>
        <w:spacing w:after="0" w:line="6" w:lineRule="exact"/>
        <w:rPr>
          <w:sz w:val="20"/>
          <w:szCs w:val="20"/>
          <w:color w:val="auto"/>
        </w:rPr>
      </w:pPr>
    </w:p>
    <w:p>
      <w:pPr>
        <w:jc w:val="center"/>
        <w:ind w:right="-43"/>
        <w:spacing w:after="0"/>
        <w:rPr>
          <w:sz w:val="20"/>
          <w:szCs w:val="20"/>
          <w:color w:val="auto"/>
        </w:rPr>
      </w:pPr>
      <w:r>
        <w:rPr>
          <w:rFonts w:ascii="Arial" w:cs="Arial" w:eastAsia="Arial" w:hAnsi="Arial"/>
          <w:sz w:val="15"/>
          <w:szCs w:val="15"/>
          <w:b w:val="1"/>
          <w:bCs w:val="1"/>
          <w:color w:val="00529B"/>
        </w:rPr>
        <w:t>Projects (Scope 3)</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5"/>
          <w:szCs w:val="15"/>
          <w:color w:val="auto"/>
        </w:rPr>
        <w:t>Advance carbon management platform</w:t>
      </w:r>
    </w:p>
    <w:p>
      <w:pPr>
        <w:spacing w:after="0" w:line="152" w:lineRule="exact"/>
        <w:rPr>
          <w:sz w:val="20"/>
          <w:szCs w:val="20"/>
          <w:color w:val="auto"/>
        </w:rPr>
      </w:pPr>
    </w:p>
    <w:p>
      <w:pPr>
        <w:ind w:left="184" w:right="40" w:hanging="184"/>
        <w:spacing w:after="0" w:line="264" w:lineRule="auto"/>
        <w:tabs>
          <w:tab w:leader="none" w:pos="197" w:val="left"/>
        </w:tabs>
        <w:numPr>
          <w:ilvl w:val="0"/>
          <w:numId w:val="21"/>
        </w:numPr>
        <w:rPr>
          <w:rFonts w:ascii="Arial" w:cs="Arial" w:eastAsia="Arial" w:hAnsi="Arial"/>
          <w:sz w:val="15"/>
          <w:szCs w:val="15"/>
          <w:color w:val="00529B"/>
        </w:rPr>
      </w:pPr>
      <w:r>
        <w:rPr>
          <w:rFonts w:ascii="Arial" w:cs="Arial" w:eastAsia="Arial" w:hAnsi="Arial"/>
          <w:sz w:val="15"/>
          <w:szCs w:val="15"/>
          <w:color w:val="auto"/>
        </w:rPr>
        <w:t>Approval to commence, and commencement of, construction on first DAC plant (DAC 1)</w:t>
      </w:r>
    </w:p>
    <w:p>
      <w:pPr>
        <w:spacing w:after="0" w:line="93" w:lineRule="exact"/>
        <w:rPr>
          <w:rFonts w:ascii="Arial" w:cs="Arial" w:eastAsia="Arial" w:hAnsi="Arial"/>
          <w:sz w:val="15"/>
          <w:szCs w:val="15"/>
          <w:color w:val="00529B"/>
        </w:rPr>
      </w:pPr>
    </w:p>
    <w:p>
      <w:pPr>
        <w:ind w:left="184" w:right="40" w:hanging="184"/>
        <w:spacing w:after="0" w:line="264" w:lineRule="auto"/>
        <w:tabs>
          <w:tab w:leader="none" w:pos="197" w:val="left"/>
        </w:tabs>
        <w:numPr>
          <w:ilvl w:val="0"/>
          <w:numId w:val="21"/>
        </w:numPr>
        <w:rPr>
          <w:rFonts w:ascii="Arial" w:cs="Arial" w:eastAsia="Arial" w:hAnsi="Arial"/>
          <w:sz w:val="15"/>
          <w:szCs w:val="15"/>
          <w:color w:val="00529B"/>
        </w:rPr>
      </w:pPr>
      <w:r>
        <w:rPr>
          <w:rFonts w:ascii="Arial" w:cs="Arial" w:eastAsia="Arial" w:hAnsi="Arial"/>
          <w:sz w:val="15"/>
          <w:szCs w:val="15"/>
          <w:color w:val="auto"/>
        </w:rPr>
        <w:t>Enter into at least 1 carbon capture, transport or sequestration joint venture</w:t>
      </w:r>
    </w:p>
    <w:p>
      <w:pPr>
        <w:spacing w:after="0" w:line="93" w:lineRule="exact"/>
        <w:rPr>
          <w:rFonts w:ascii="Arial" w:cs="Arial" w:eastAsia="Arial" w:hAnsi="Arial"/>
          <w:sz w:val="15"/>
          <w:szCs w:val="15"/>
          <w:color w:val="00529B"/>
        </w:rPr>
      </w:pPr>
    </w:p>
    <w:p>
      <w:pPr>
        <w:ind w:left="184" w:right="620" w:hanging="184"/>
        <w:spacing w:after="0" w:line="264" w:lineRule="auto"/>
        <w:tabs>
          <w:tab w:leader="none" w:pos="197" w:val="left"/>
        </w:tabs>
        <w:numPr>
          <w:ilvl w:val="0"/>
          <w:numId w:val="21"/>
        </w:numPr>
        <w:rPr>
          <w:rFonts w:ascii="Arial" w:cs="Arial" w:eastAsia="Arial" w:hAnsi="Arial"/>
          <w:sz w:val="15"/>
          <w:szCs w:val="15"/>
          <w:color w:val="00529B"/>
        </w:rPr>
      </w:pPr>
      <w:r>
        <w:rPr>
          <w:rFonts w:ascii="Arial" w:cs="Arial" w:eastAsia="Arial" w:hAnsi="Arial"/>
          <w:sz w:val="15"/>
          <w:szCs w:val="15"/>
          <w:color w:val="auto"/>
        </w:rPr>
        <w:t>Enter into at least 3 low-carbon product development transactions</w:t>
      </w:r>
    </w:p>
    <w:p>
      <w:pPr>
        <w:spacing w:after="0" w:line="106" w:lineRule="exact"/>
        <w:rPr>
          <w:rFonts w:ascii="Arial" w:cs="Arial" w:eastAsia="Arial" w:hAnsi="Arial"/>
          <w:sz w:val="15"/>
          <w:szCs w:val="15"/>
          <w:color w:val="00529B"/>
        </w:rPr>
      </w:pPr>
    </w:p>
    <w:p>
      <w:pPr>
        <w:ind w:left="184" w:right="20" w:hanging="184"/>
        <w:spacing w:after="0" w:line="238" w:lineRule="auto"/>
        <w:tabs>
          <w:tab w:leader="none" w:pos="197" w:val="left"/>
        </w:tabs>
        <w:numPr>
          <w:ilvl w:val="0"/>
          <w:numId w:val="21"/>
        </w:numPr>
        <w:rPr>
          <w:rFonts w:ascii="Arial" w:cs="Arial" w:eastAsia="Arial" w:hAnsi="Arial"/>
          <w:sz w:val="15"/>
          <w:szCs w:val="15"/>
          <w:color w:val="00529B"/>
        </w:rPr>
      </w:pPr>
      <w:r>
        <w:rPr>
          <w:rFonts w:ascii="Arial" w:cs="Arial" w:eastAsia="Arial" w:hAnsi="Arial"/>
          <w:sz w:val="15"/>
          <w:szCs w:val="15"/>
          <w:color w:val="auto"/>
        </w:rPr>
        <w:t>Identify and coordinate external validation of the company’s carbon accounting process, including validation of GHG emissions at one or more operating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-11430</wp:posOffset>
            </wp:positionV>
            <wp:extent cx="257175"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276"/>
            <w:col w:w="3484"/>
          </w:cols>
          <w:pgMar w:left="320" w:top="130" w:right="379" w:bottom="144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ind w:left="9420"/>
        <w:spacing w:after="0"/>
        <w:rPr>
          <w:sz w:val="20"/>
          <w:szCs w:val="20"/>
          <w:color w:val="auto"/>
        </w:rPr>
      </w:pPr>
      <w:r>
        <w:rPr>
          <w:rFonts w:ascii="Arial" w:cs="Arial" w:eastAsia="Arial" w:hAnsi="Arial"/>
          <w:sz w:val="15"/>
          <w:szCs w:val="15"/>
          <w:color w:val="auto"/>
        </w:rPr>
        <w:t>Proxy Statement Summary</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Highlights of Executive Compensation Program Policies and Practices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The 2022 executive compensation program for the NEOs includes many best-practice features that are intended to enhance the alignment of compensation with the interests of Occidental’s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3454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54400"/>
                    </a:xfrm>
                    <a:prstGeom prst="rect">
                      <a:avLst/>
                    </a:prstGeom>
                    <a:noFill/>
                  </pic:spPr>
                </pic:pic>
              </a:graphicData>
            </a:graphic>
          </wp:anchor>
        </w:drawing>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529B"/>
        </w:rPr>
        <w:t>WHAT WE DO</w:t>
      </w:r>
    </w:p>
    <w:p>
      <w:pPr>
        <w:spacing w:after="0" w:line="161" w:lineRule="exact"/>
        <w:rPr>
          <w:sz w:val="20"/>
          <w:szCs w:val="20"/>
          <w:color w:val="auto"/>
        </w:rPr>
      </w:pPr>
    </w:p>
    <w:p>
      <w:pPr>
        <w:jc w:val="both"/>
        <w:ind w:left="500" w:right="380" w:hanging="201"/>
        <w:spacing w:after="0"/>
        <w:rPr>
          <w:sz w:val="20"/>
          <w:szCs w:val="20"/>
          <w:color w:val="auto"/>
        </w:rPr>
      </w:pPr>
      <w:r>
        <w:rPr>
          <w:sz w:val="1"/>
          <w:szCs w:val="1"/>
          <w:color w:val="auto"/>
        </w:rPr>
        <w:drawing>
          <wp:inline distT="0" distB="0" distL="0" distR="0">
            <wp:extent cx="77470" cy="6858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Pay for Performance. </w:t>
      </w:r>
      <w:r>
        <w:rPr>
          <w:rFonts w:ascii="Arial" w:cs="Arial" w:eastAsia="Arial" w:hAnsi="Arial"/>
          <w:sz w:val="15"/>
          <w:szCs w:val="15"/>
          <w:color w:val="000000"/>
        </w:rPr>
        <w:t>A substantial majority of NEO compensation is performance-based. The Compensation Committee reviews the metrics underlying</w:t>
      </w:r>
      <w:r>
        <w:rPr>
          <w:rFonts w:ascii="Arial" w:cs="Arial" w:eastAsia="Arial" w:hAnsi="Arial"/>
          <w:sz w:val="15"/>
          <w:szCs w:val="15"/>
          <w:b w:val="1"/>
          <w:bCs w:val="1"/>
          <w:color w:val="00529B"/>
        </w:rPr>
        <w:t xml:space="preserve"> </w:t>
      </w:r>
      <w:r>
        <w:rPr>
          <w:rFonts w:ascii="Arial" w:cs="Arial" w:eastAsia="Arial" w:hAnsi="Arial"/>
          <w:sz w:val="15"/>
          <w:szCs w:val="15"/>
          <w:color w:val="000000"/>
        </w:rPr>
        <w:t>the long-term incentive award program and annual cash incentive (ACI) awards annually to evaluate their continued alignment with Occidental’s business priorities.</w:t>
      </w:r>
    </w:p>
    <w:p>
      <w:pPr>
        <w:spacing w:after="0" w:line="108" w:lineRule="exact"/>
        <w:rPr>
          <w:sz w:val="20"/>
          <w:szCs w:val="20"/>
          <w:color w:val="auto"/>
        </w:rPr>
      </w:pPr>
    </w:p>
    <w:p>
      <w:pPr>
        <w:ind w:left="500" w:right="380" w:hanging="201"/>
        <w:spacing w:after="0"/>
        <w:rPr>
          <w:sz w:val="20"/>
          <w:szCs w:val="20"/>
          <w:color w:val="auto"/>
        </w:rPr>
      </w:pPr>
      <w:r>
        <w:rPr>
          <w:sz w:val="1"/>
          <w:szCs w:val="1"/>
          <w:color w:val="auto"/>
        </w:rPr>
        <w:drawing>
          <wp:inline distT="0" distB="0" distL="0" distR="0">
            <wp:extent cx="77470" cy="685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Act on Shareholder Feedback. </w:t>
      </w:r>
      <w:r>
        <w:rPr>
          <w:rFonts w:ascii="Arial" w:cs="Arial" w:eastAsia="Arial" w:hAnsi="Arial"/>
          <w:sz w:val="15"/>
          <w:szCs w:val="15"/>
          <w:color w:val="000000"/>
        </w:rPr>
        <w:t>Shareholder feedback influences the executive compensation program and contributed to the Compensation</w:t>
      </w:r>
      <w:r>
        <w:rPr>
          <w:rFonts w:ascii="Arial" w:cs="Arial" w:eastAsia="Arial" w:hAnsi="Arial"/>
          <w:sz w:val="15"/>
          <w:szCs w:val="15"/>
          <w:b w:val="1"/>
          <w:bCs w:val="1"/>
          <w:color w:val="00529B"/>
        </w:rPr>
        <w:t xml:space="preserve"> </w:t>
      </w:r>
      <w:r>
        <w:rPr>
          <w:rFonts w:ascii="Arial" w:cs="Arial" w:eastAsia="Arial" w:hAnsi="Arial"/>
          <w:sz w:val="15"/>
          <w:szCs w:val="15"/>
          <w:color w:val="000000"/>
        </w:rPr>
        <w:t>Committee’s decisions to maintain the weighting of sustainability metrics at 30% for the company performance portion of the ACI award opportunity. The favorable response from shareholders informed the Compensation Committee’s decision to maintain the sustainability metric’s weighting for the 2023 ACI award. Shareholder feedback also prompted us to enhance our disclosure to provide more information about the company’s performance against the metric targets approved in February 2022 for the 2022 ACI award.</w:t>
      </w:r>
    </w:p>
    <w:p>
      <w:pPr>
        <w:spacing w:after="0" w:line="108" w:lineRule="exact"/>
        <w:rPr>
          <w:sz w:val="20"/>
          <w:szCs w:val="20"/>
          <w:color w:val="auto"/>
        </w:rPr>
      </w:pPr>
    </w:p>
    <w:p>
      <w:pPr>
        <w:ind w:left="500" w:right="600" w:hanging="201"/>
        <w:spacing w:after="0"/>
        <w:rPr>
          <w:sz w:val="20"/>
          <w:szCs w:val="20"/>
          <w:color w:val="auto"/>
        </w:rPr>
      </w:pPr>
      <w:r>
        <w:rPr>
          <w:sz w:val="1"/>
          <w:szCs w:val="1"/>
          <w:color w:val="auto"/>
        </w:rPr>
        <w:drawing>
          <wp:inline distT="0" distB="0" distL="0" distR="0">
            <wp:extent cx="77470" cy="6858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Clawback in the Event of Misconduct. </w:t>
      </w:r>
      <w:r>
        <w:rPr>
          <w:rFonts w:ascii="Arial" w:cs="Arial" w:eastAsia="Arial" w:hAnsi="Arial"/>
          <w:sz w:val="15"/>
          <w:szCs w:val="15"/>
          <w:color w:val="000000"/>
        </w:rPr>
        <w:t>The Compensation Committee has the authority to claw back ACI awards and long-term incentive awards for</w:t>
      </w:r>
      <w:r>
        <w:rPr>
          <w:rFonts w:ascii="Arial" w:cs="Arial" w:eastAsia="Arial" w:hAnsi="Arial"/>
          <w:sz w:val="15"/>
          <w:szCs w:val="15"/>
          <w:b w:val="1"/>
          <w:bCs w:val="1"/>
          <w:color w:val="00529B"/>
        </w:rPr>
        <w:t xml:space="preserve"> </w:t>
      </w:r>
      <w:r>
        <w:rPr>
          <w:rFonts w:ascii="Arial" w:cs="Arial" w:eastAsia="Arial" w:hAnsi="Arial"/>
          <w:sz w:val="15"/>
          <w:szCs w:val="15"/>
          <w:color w:val="000000"/>
        </w:rPr>
        <w:t>violations of Occidental’s Code of Business Conduct and related policies. The Compensation Committee also intends to adopt a clawback policy consistent with the requirements of new Exchange Act Rule 10D-1 upon or prior to the effectiveness of applicable NYSE listing standards.</w:t>
      </w:r>
    </w:p>
    <w:p>
      <w:pPr>
        <w:spacing w:after="0" w:line="122" w:lineRule="exact"/>
        <w:rPr>
          <w:sz w:val="20"/>
          <w:szCs w:val="20"/>
          <w:color w:val="auto"/>
        </w:rPr>
      </w:pPr>
    </w:p>
    <w:p>
      <w:pPr>
        <w:ind w:left="500" w:right="340" w:hanging="201"/>
        <w:spacing w:after="0"/>
        <w:rPr>
          <w:sz w:val="20"/>
          <w:szCs w:val="20"/>
          <w:color w:val="auto"/>
        </w:rPr>
      </w:pPr>
      <w:r>
        <w:rPr>
          <w:sz w:val="1"/>
          <w:szCs w:val="1"/>
          <w:color w:val="auto"/>
        </w:rPr>
        <w:drawing>
          <wp:inline distT="0" distB="0" distL="0" distR="0">
            <wp:extent cx="77470" cy="6858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Emphasize Stock Ownership. </w:t>
      </w:r>
      <w:r>
        <w:rPr>
          <w:rFonts w:ascii="Arial" w:cs="Arial" w:eastAsia="Arial" w:hAnsi="Arial"/>
          <w:sz w:val="15"/>
          <w:szCs w:val="15"/>
          <w:color w:val="000000"/>
        </w:rPr>
        <w:t>Cash Return on Capital Employed (CROCE) and Total Shareholder Return (TSR) awards are payable in shares of</w:t>
      </w:r>
      <w:r>
        <w:rPr>
          <w:rFonts w:ascii="Arial" w:cs="Arial" w:eastAsia="Arial" w:hAnsi="Arial"/>
          <w:sz w:val="15"/>
          <w:szCs w:val="15"/>
          <w:b w:val="1"/>
          <w:bCs w:val="1"/>
          <w:color w:val="00529B"/>
        </w:rPr>
        <w:t xml:space="preserve"> </w:t>
      </w:r>
      <w:r>
        <w:rPr>
          <w:rFonts w:ascii="Arial" w:cs="Arial" w:eastAsia="Arial" w:hAnsi="Arial"/>
          <w:sz w:val="15"/>
          <w:szCs w:val="15"/>
          <w:color w:val="000000"/>
        </w:rPr>
        <w:t>common stock and the net shares received for each vested Restricted Stock Unit (RSU) award are subject to a two-year holding period. In addition, the named executive officers (as well as other officers) are subject to meaningful stock ownership guidelines, ranging from two to six times the officer’s annual base salary, and a holding requirement until such guidelines are met.</w:t>
      </w:r>
    </w:p>
    <w:p>
      <w:pPr>
        <w:spacing w:after="0" w:line="108" w:lineRule="exact"/>
        <w:rPr>
          <w:sz w:val="20"/>
          <w:szCs w:val="20"/>
          <w:color w:val="auto"/>
        </w:rPr>
      </w:pPr>
    </w:p>
    <w:p>
      <w:pPr>
        <w:ind w:left="500" w:right="340" w:hanging="201"/>
        <w:spacing w:after="0"/>
        <w:rPr>
          <w:sz w:val="20"/>
          <w:szCs w:val="20"/>
          <w:color w:val="auto"/>
        </w:rPr>
      </w:pPr>
      <w:r>
        <w:rPr>
          <w:sz w:val="1"/>
          <w:szCs w:val="1"/>
          <w:color w:val="auto"/>
        </w:rPr>
        <w:drawing>
          <wp:inline distT="0" distB="0" distL="0" distR="0">
            <wp:extent cx="77470" cy="6858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Monitor Compensation Program for Risk. </w:t>
      </w:r>
      <w:r>
        <w:rPr>
          <w:rFonts w:ascii="Arial" w:cs="Arial" w:eastAsia="Arial" w:hAnsi="Arial"/>
          <w:sz w:val="15"/>
          <w:szCs w:val="15"/>
          <w:color w:val="000000"/>
        </w:rPr>
        <w:t>The executive compensation program includes multiple features that are intended to appropriately mitigate</w:t>
      </w:r>
      <w:r>
        <w:rPr>
          <w:rFonts w:ascii="Arial" w:cs="Arial" w:eastAsia="Arial" w:hAnsi="Arial"/>
          <w:sz w:val="15"/>
          <w:szCs w:val="15"/>
          <w:b w:val="1"/>
          <w:bCs w:val="1"/>
          <w:color w:val="00529B"/>
        </w:rPr>
        <w:t xml:space="preserve"> </w:t>
      </w:r>
      <w:r>
        <w:rPr>
          <w:rFonts w:ascii="Arial" w:cs="Arial" w:eastAsia="Arial" w:hAnsi="Arial"/>
          <w:sz w:val="15"/>
          <w:szCs w:val="15"/>
          <w:color w:val="000000"/>
        </w:rPr>
        <w:t>excessive risk-taking. The Compensation Committee conducts an annual assessment of our executive compensation program to identify and minimize, as appropriate, any compensation arrangements that may encourage excessive risk-taking.</w:t>
      </w:r>
    </w:p>
    <w:p>
      <w:pPr>
        <w:spacing w:after="0" w:line="108" w:lineRule="exact"/>
        <w:rPr>
          <w:sz w:val="20"/>
          <w:szCs w:val="20"/>
          <w:color w:val="auto"/>
        </w:rPr>
      </w:pPr>
    </w:p>
    <w:p>
      <w:pPr>
        <w:ind w:left="500" w:right="620" w:hanging="201"/>
        <w:spacing w:after="0"/>
        <w:rPr>
          <w:sz w:val="20"/>
          <w:szCs w:val="20"/>
          <w:color w:val="auto"/>
        </w:rPr>
      </w:pPr>
      <w:r>
        <w:rPr>
          <w:sz w:val="1"/>
          <w:szCs w:val="1"/>
          <w:color w:val="auto"/>
        </w:rPr>
        <w:drawing>
          <wp:inline distT="0" distB="0" distL="0" distR="0">
            <wp:extent cx="77470" cy="6858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Use Double-Trigger Equity Vesting for Equity Awards. </w:t>
      </w:r>
      <w:r>
        <w:rPr>
          <w:rFonts w:ascii="Arial" w:cs="Arial" w:eastAsia="Arial" w:hAnsi="Arial"/>
          <w:sz w:val="15"/>
          <w:szCs w:val="15"/>
          <w:color w:val="000000"/>
        </w:rPr>
        <w:t>Pursuant to the Amended and Restated 2015 Long-Term Incentive Plan (2015 LTIP), equity</w:t>
      </w:r>
      <w:r>
        <w:rPr>
          <w:rFonts w:ascii="Arial" w:cs="Arial" w:eastAsia="Arial" w:hAnsi="Arial"/>
          <w:sz w:val="15"/>
          <w:szCs w:val="15"/>
          <w:b w:val="1"/>
          <w:bCs w:val="1"/>
          <w:color w:val="00529B"/>
        </w:rPr>
        <w:t xml:space="preserve"> </w:t>
      </w:r>
      <w:r>
        <w:rPr>
          <w:rFonts w:ascii="Arial" w:cs="Arial" w:eastAsia="Arial" w:hAnsi="Arial"/>
          <w:sz w:val="15"/>
          <w:szCs w:val="15"/>
          <w:color w:val="000000"/>
        </w:rPr>
        <w:t>awards vest in the event of a change in control only if there is also a qualifying termination of employment.</w:t>
      </w:r>
    </w:p>
    <w:p>
      <w:pPr>
        <w:spacing w:after="0" w:line="122" w:lineRule="exact"/>
        <w:rPr>
          <w:sz w:val="20"/>
          <w:szCs w:val="20"/>
          <w:color w:val="auto"/>
        </w:rPr>
      </w:pPr>
    </w:p>
    <w:p>
      <w:pPr>
        <w:ind w:left="500" w:right="440" w:hanging="201"/>
        <w:spacing w:after="0"/>
        <w:rPr>
          <w:sz w:val="20"/>
          <w:szCs w:val="20"/>
          <w:color w:val="auto"/>
        </w:rPr>
      </w:pPr>
      <w:r>
        <w:rPr>
          <w:sz w:val="1"/>
          <w:szCs w:val="1"/>
          <w:color w:val="auto"/>
        </w:rPr>
        <w:drawing>
          <wp:inline distT="0" distB="0" distL="0" distR="0">
            <wp:extent cx="77470" cy="6858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b w:val="1"/>
          <w:bCs w:val="1"/>
          <w:color w:val="00529B"/>
        </w:rPr>
        <w:t xml:space="preserve"> Use Relative and Absolute Performance Measures for Equity Awards. </w:t>
      </w:r>
      <w:r>
        <w:rPr>
          <w:rFonts w:ascii="Arial" w:cs="Arial" w:eastAsia="Arial" w:hAnsi="Arial"/>
          <w:sz w:val="15"/>
          <w:szCs w:val="15"/>
          <w:color w:val="000000"/>
        </w:rPr>
        <w:t>Performance equity is earned based on both relative shareholder returns and</w:t>
      </w:r>
      <w:r>
        <w:rPr>
          <w:rFonts w:ascii="Arial" w:cs="Arial" w:eastAsia="Arial" w:hAnsi="Arial"/>
          <w:sz w:val="15"/>
          <w:szCs w:val="15"/>
          <w:b w:val="1"/>
          <w:bCs w:val="1"/>
          <w:color w:val="00529B"/>
        </w:rPr>
        <w:t xml:space="preserve"> </w:t>
      </w:r>
      <w:r>
        <w:rPr>
          <w:rFonts w:ascii="Arial" w:cs="Arial" w:eastAsia="Arial" w:hAnsi="Arial"/>
          <w:sz w:val="15"/>
          <w:szCs w:val="15"/>
          <w:color w:val="000000"/>
        </w:rPr>
        <w:t>absolute financial returns, with TSR awards capped if Occidental’s absolute TSR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227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5C5C5C"/>
        </w:rPr>
        <w:t>WHAT WE DON’T DO</w:t>
      </w:r>
    </w:p>
    <w:p>
      <w:pPr>
        <w:spacing w:after="0" w:line="161" w:lineRule="exact"/>
        <w:rPr>
          <w:sz w:val="20"/>
          <w:szCs w:val="20"/>
          <w:color w:val="auto"/>
        </w:rPr>
      </w:pPr>
    </w:p>
    <w:p>
      <w:pPr>
        <w:jc w:val="both"/>
        <w:ind w:left="500" w:right="460" w:hanging="4"/>
        <w:spacing w:after="0" w:line="267" w:lineRule="auto"/>
        <w:rPr>
          <w:sz w:val="20"/>
          <w:szCs w:val="20"/>
          <w:color w:val="auto"/>
        </w:rPr>
      </w:pPr>
      <w:r>
        <w:rPr>
          <w:rFonts w:ascii="Arial" w:cs="Arial" w:eastAsia="Arial" w:hAnsi="Arial"/>
          <w:sz w:val="15"/>
          <w:szCs w:val="15"/>
          <w:b w:val="1"/>
          <w:bCs w:val="1"/>
          <w:color w:val="333333"/>
        </w:rPr>
        <w:t xml:space="preserve">No Dividend Equivalents on Unvested Performance Awards. </w:t>
      </w:r>
      <w:r>
        <w:rPr>
          <w:rFonts w:ascii="Arial" w:cs="Arial" w:eastAsia="Arial" w:hAnsi="Arial"/>
          <w:sz w:val="15"/>
          <w:szCs w:val="15"/>
          <w:color w:val="000000"/>
        </w:rPr>
        <w:t>Dividends and dividend equivalent rights are subject to the same performance goals as</w:t>
      </w:r>
      <w:r>
        <w:rPr>
          <w:rFonts w:ascii="Arial" w:cs="Arial" w:eastAsia="Arial" w:hAnsi="Arial"/>
          <w:sz w:val="15"/>
          <w:szCs w:val="15"/>
          <w:b w:val="1"/>
          <w:bCs w:val="1"/>
          <w:color w:val="333333"/>
        </w:rPr>
        <w:t xml:space="preserve"> </w:t>
      </w:r>
      <w:r>
        <w:rPr>
          <w:rFonts w:ascii="Arial" w:cs="Arial" w:eastAsia="Arial" w:hAnsi="Arial"/>
          <w:sz w:val="15"/>
          <w:szCs w:val="15"/>
          <w:color w:val="000000"/>
        </w:rPr>
        <w:t>the underlying award and will not be paid until the performance award has vested and becomes earned (except in the case of certain retention awards).</w:t>
      </w:r>
    </w:p>
    <w:p>
      <w:pPr>
        <w:spacing w:after="0" w:line="89" w:lineRule="exact"/>
        <w:rPr>
          <w:sz w:val="20"/>
          <w:szCs w:val="20"/>
          <w:color w:val="auto"/>
        </w:rPr>
      </w:pPr>
    </w:p>
    <w:p>
      <w:pPr>
        <w:ind w:left="500" w:right="520" w:hanging="4"/>
        <w:spacing w:after="0" w:line="267" w:lineRule="auto"/>
        <w:rPr>
          <w:sz w:val="20"/>
          <w:szCs w:val="20"/>
          <w:color w:val="auto"/>
        </w:rPr>
      </w:pPr>
      <w:r>
        <w:rPr>
          <w:rFonts w:ascii="Arial" w:cs="Arial" w:eastAsia="Arial" w:hAnsi="Arial"/>
          <w:sz w:val="15"/>
          <w:szCs w:val="15"/>
          <w:b w:val="1"/>
          <w:bCs w:val="1"/>
          <w:color w:val="333333"/>
        </w:rPr>
        <w:t xml:space="preserve">No Hedging or Derivative Transactions. </w:t>
      </w:r>
      <w:r>
        <w:rPr>
          <w:rFonts w:ascii="Arial" w:cs="Arial" w:eastAsia="Arial" w:hAnsi="Arial"/>
          <w:sz w:val="15"/>
          <w:szCs w:val="15"/>
          <w:color w:val="000000"/>
        </w:rPr>
        <w:t>Occidental’s directors, executive officers and all other employees are not permitted to engage in transactions</w:t>
      </w:r>
      <w:r>
        <w:rPr>
          <w:rFonts w:ascii="Arial" w:cs="Arial" w:eastAsia="Arial" w:hAnsi="Arial"/>
          <w:sz w:val="15"/>
          <w:szCs w:val="15"/>
          <w:b w:val="1"/>
          <w:bCs w:val="1"/>
          <w:color w:val="333333"/>
        </w:rPr>
        <w:t xml:space="preserve"> </w:t>
      </w:r>
      <w:r>
        <w:rPr>
          <w:rFonts w:ascii="Arial" w:cs="Arial" w:eastAsia="Arial" w:hAnsi="Arial"/>
          <w:sz w:val="15"/>
          <w:szCs w:val="15"/>
          <w:color w:val="000000"/>
        </w:rPr>
        <w:t>designed to hedge or offset the market value of Occidental’s equity securities.</w:t>
      </w:r>
    </w:p>
    <w:p>
      <w:pPr>
        <w:spacing w:after="0" w:line="89" w:lineRule="exact"/>
        <w:rPr>
          <w:sz w:val="20"/>
          <w:szCs w:val="20"/>
          <w:color w:val="auto"/>
        </w:rPr>
      </w:pPr>
    </w:p>
    <w:p>
      <w:pPr>
        <w:ind w:left="500" w:right="560" w:hanging="4"/>
        <w:spacing w:after="0" w:line="267" w:lineRule="auto"/>
        <w:rPr>
          <w:sz w:val="20"/>
          <w:szCs w:val="20"/>
          <w:color w:val="auto"/>
        </w:rPr>
      </w:pPr>
      <w:r>
        <w:rPr>
          <w:rFonts w:ascii="Arial" w:cs="Arial" w:eastAsia="Arial" w:hAnsi="Arial"/>
          <w:sz w:val="15"/>
          <w:szCs w:val="15"/>
          <w:b w:val="1"/>
          <w:bCs w:val="1"/>
          <w:color w:val="333333"/>
        </w:rPr>
        <w:t xml:space="preserve">No Golden Parachute Payments. </w:t>
      </w:r>
      <w:r>
        <w:rPr>
          <w:rFonts w:ascii="Arial" w:cs="Arial" w:eastAsia="Arial" w:hAnsi="Arial"/>
          <w:sz w:val="15"/>
          <w:szCs w:val="15"/>
          <w:color w:val="000000"/>
        </w:rPr>
        <w:t>Our golden parachute policy provides that, subject to certain exceptions, Occidental will not grant golden parachute</w:t>
      </w:r>
      <w:r>
        <w:rPr>
          <w:rFonts w:ascii="Arial" w:cs="Arial" w:eastAsia="Arial" w:hAnsi="Arial"/>
          <w:sz w:val="15"/>
          <w:szCs w:val="15"/>
          <w:b w:val="1"/>
          <w:bCs w:val="1"/>
          <w:color w:val="333333"/>
        </w:rPr>
        <w:t xml:space="preserve"> </w:t>
      </w:r>
      <w:r>
        <w:rPr>
          <w:rFonts w:ascii="Arial" w:cs="Arial" w:eastAsia="Arial" w:hAnsi="Arial"/>
          <w:sz w:val="15"/>
          <w:szCs w:val="15"/>
          <w:color w:val="000000"/>
        </w:rPr>
        <w:t>benefits (as defined in the policy) to any executive officer which exceed 2.99 times his or her salary plus ACI award without shareholder approval.</w:t>
      </w:r>
    </w:p>
    <w:p>
      <w:pPr>
        <w:spacing w:after="0" w:line="102" w:lineRule="exact"/>
        <w:rPr>
          <w:sz w:val="20"/>
          <w:szCs w:val="20"/>
          <w:color w:val="auto"/>
        </w:rPr>
      </w:pPr>
    </w:p>
    <w:p>
      <w:pPr>
        <w:ind w:left="500" w:right="500" w:hanging="4"/>
        <w:spacing w:after="0" w:line="267" w:lineRule="auto"/>
        <w:rPr>
          <w:sz w:val="20"/>
          <w:szCs w:val="20"/>
          <w:color w:val="auto"/>
        </w:rPr>
      </w:pPr>
      <w:r>
        <w:rPr>
          <w:rFonts w:ascii="Arial" w:cs="Arial" w:eastAsia="Arial" w:hAnsi="Arial"/>
          <w:sz w:val="15"/>
          <w:szCs w:val="15"/>
          <w:b w:val="1"/>
          <w:bCs w:val="1"/>
          <w:color w:val="333333"/>
        </w:rPr>
        <w:t xml:space="preserve">No Repricing of Stock Options. </w:t>
      </w:r>
      <w:r>
        <w:rPr>
          <w:rFonts w:ascii="Arial" w:cs="Arial" w:eastAsia="Arial" w:hAnsi="Arial"/>
          <w:sz w:val="15"/>
          <w:szCs w:val="15"/>
          <w:color w:val="000000"/>
        </w:rPr>
        <w:t>Other than in connection with a corporate transaction involving Occidental, Occidental does not permit the repricing of</w:t>
      </w:r>
      <w:r>
        <w:rPr>
          <w:rFonts w:ascii="Arial" w:cs="Arial" w:eastAsia="Arial" w:hAnsi="Arial"/>
          <w:sz w:val="15"/>
          <w:szCs w:val="15"/>
          <w:b w:val="1"/>
          <w:bCs w:val="1"/>
          <w:color w:val="333333"/>
        </w:rPr>
        <w:t xml:space="preserve"> </w:t>
      </w:r>
      <w:r>
        <w:rPr>
          <w:rFonts w:ascii="Arial" w:cs="Arial" w:eastAsia="Arial" w:hAnsi="Arial"/>
          <w:sz w:val="15"/>
          <w:szCs w:val="15"/>
          <w:color w:val="000000"/>
        </w:rPr>
        <w:t>stock options or stock appreciation rights without shareholder approval.</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36"/>
          <w:szCs w:val="36"/>
          <w:b w:val="1"/>
          <w:bCs w:val="1"/>
          <w:color w:val="00529B"/>
        </w:rPr>
        <w:t>Environmental and Sustainability</w:t>
      </w:r>
    </w:p>
    <w:p>
      <w:pPr>
        <w:spacing w:after="0" w:line="174"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Pathway to Net Zero</w:t>
      </w:r>
    </w:p>
    <w:p>
      <w:pPr>
        <w:spacing w:after="0" w:line="171"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In 2020, Occidental was the first U.S. oil and natural gas producer to establish net-zero emissions goals for our operations and products (Scopes 1, 2, and 3) aligned with the goals of the Paris Agreement. Our pathway to net zero combines continuous operational upgrades and improvements that lower emissions associated with our oil, gas and chemicals production coupled with industrial-scale carbon management solutions. Ultimately, Occidental is bringing together people, resources, innovative technology and our 50+ year legacy of carbon management to accelerate our pathway to net zero, as well as helping others do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531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86" w:lineRule="exact"/>
        <w:rPr>
          <w:sz w:val="20"/>
          <w:szCs w:val="20"/>
          <w:color w:val="auto"/>
        </w:rPr>
      </w:pPr>
    </w:p>
    <w:p>
      <w:pPr>
        <w:ind w:left="180"/>
        <w:spacing w:after="0" w:line="251" w:lineRule="auto"/>
        <w:rPr>
          <w:sz w:val="20"/>
          <w:szCs w:val="20"/>
          <w:color w:val="auto"/>
        </w:rPr>
      </w:pPr>
      <w:r>
        <w:rPr>
          <w:rFonts w:ascii="Arial" w:cs="Arial" w:eastAsia="Arial" w:hAnsi="Arial"/>
          <w:sz w:val="15"/>
          <w:szCs w:val="15"/>
          <w:b w:val="1"/>
          <w:bCs w:val="1"/>
          <w:color w:val="00529B"/>
        </w:rPr>
        <w:t>Net-zero emissions in our operations and energy use (Scope 1 and 2) before 2040, with an ambition to achieve before 2035</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5"/>
          <w:szCs w:val="15"/>
          <w:b w:val="1"/>
          <w:bCs w:val="1"/>
          <w:color w:val="00529B"/>
        </w:rPr>
        <w:t>Net-zero for our total emissions inventory including product use (Scope 1, 2 and 3) with an ambition to achieve before 2050</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both"/>
        <w:ind w:right="680"/>
        <w:spacing w:after="0" w:line="251" w:lineRule="auto"/>
        <w:rPr>
          <w:sz w:val="20"/>
          <w:szCs w:val="20"/>
          <w:color w:val="auto"/>
        </w:rPr>
      </w:pPr>
      <w:r>
        <w:rPr>
          <w:rFonts w:ascii="Arial" w:cs="Arial" w:eastAsia="Arial" w:hAnsi="Arial"/>
          <w:sz w:val="15"/>
          <w:szCs w:val="15"/>
          <w:b w:val="1"/>
          <w:bCs w:val="1"/>
          <w:color w:val="00529B"/>
        </w:rPr>
        <w:t>Total carbon impact through carbon removal and storage technology and development past 2050</w:t>
      </w:r>
    </w:p>
    <w:p>
      <w:pPr>
        <w:spacing w:after="0" w:line="200" w:lineRule="exact"/>
        <w:rPr>
          <w:sz w:val="20"/>
          <w:szCs w:val="20"/>
          <w:color w:val="auto"/>
        </w:rPr>
      </w:pPr>
    </w:p>
    <w:p>
      <w:pPr>
        <w:sectPr>
          <w:pgSz w:w="11900" w:h="16838" w:orient="portrait"/>
          <w:cols w:equalWidth="0" w:num="3">
            <w:col w:w="3460" w:space="680"/>
            <w:col w:w="3020" w:space="720"/>
            <w:col w:w="3360"/>
          </w:cols>
          <w:pgMar w:left="320" w:top="130" w:right="339" w:bottom="1440" w:gutter="0" w:footer="0" w:header="0"/>
          <w:type w:val="continuous"/>
        </w:sectPr>
      </w:pPr>
    </w:p>
    <w:p>
      <w:pPr>
        <w:spacing w:after="0" w:line="84" w:lineRule="exact"/>
        <w:rPr>
          <w:sz w:val="20"/>
          <w:szCs w:val="20"/>
          <w:color w:val="auto"/>
        </w:rPr>
      </w:pPr>
    </w:p>
    <w:p>
      <w:pPr>
        <w:ind w:left="180" w:right="620"/>
        <w:spacing w:after="0" w:line="243" w:lineRule="auto"/>
        <w:rPr>
          <w:sz w:val="20"/>
          <w:szCs w:val="20"/>
          <w:color w:val="auto"/>
        </w:rPr>
      </w:pPr>
      <w:r>
        <w:rPr>
          <w:rFonts w:ascii="Arial" w:cs="Arial" w:eastAsia="Arial" w:hAnsi="Arial"/>
          <w:sz w:val="13"/>
          <w:szCs w:val="13"/>
          <w:color w:val="auto"/>
        </w:rPr>
        <w:t>Scope 1: Direct reported emissions from our operations. Scope 2: Indirect reported emissions from the generation by others of power, heat and steam we consume. Scope 3: Other indirect reported emissions (not included in Scope 2) that occur in the value chain of the reporting company, including upstream and downstream emissions.</w:t>
      </w:r>
    </w:p>
    <w:p>
      <w:pPr>
        <w:spacing w:after="0" w:line="116"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auto"/>
        </w:rPr>
        <w:t>Occidental has established a range of interim targets that address the company’s Scope 1, 2 and 3 emissions, applying the short- (up to 2025), medium- (2026-2035) and long-term (2036-2050) time frames adopted by Climate Action 100+, to bolster Occidental’s net-zero strategy. These ambitious targets have been carefully set by management, with oversight from the Board, to maximize the efficient use of Occidental’s infrastructure and advance its field development plans and reflect insights from scenario modelling and assessments. Given the ramp-up of the commercialization of CCUS and DAC technology necessary, among other things, to achieve the challenging net-zero goals set by Occidental over the next three decades and beyond, we believe that Occidental’s net-zero pathway is non-linear and have discussed the same with shareholders in our engagement calls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316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39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00529B"/>
        </w:rPr>
        <w:t>2022 SIGNIFICANT ACHIEVEMENTS</w:t>
      </w:r>
    </w:p>
    <w:p>
      <w:pPr>
        <w:spacing w:after="0" w:line="51" w:lineRule="exact"/>
        <w:rPr>
          <w:sz w:val="20"/>
          <w:szCs w:val="20"/>
          <w:color w:val="auto"/>
        </w:rPr>
      </w:pPr>
    </w:p>
    <w:p>
      <w:pPr>
        <w:ind w:left="520" w:right="340" w:hanging="224"/>
        <w:spacing w:after="0" w:line="264" w:lineRule="auto"/>
        <w:tabs>
          <w:tab w:leader="none" w:pos="522" w:val="left"/>
        </w:tabs>
        <w:numPr>
          <w:ilvl w:val="0"/>
          <w:numId w:val="22"/>
        </w:numPr>
        <w:rPr>
          <w:rFonts w:ascii="Arial" w:cs="Arial" w:eastAsia="Arial" w:hAnsi="Arial"/>
          <w:sz w:val="15"/>
          <w:szCs w:val="15"/>
          <w:color w:val="00529B"/>
        </w:rPr>
      </w:pPr>
      <w:r>
        <w:rPr>
          <w:rFonts w:ascii="Arial" w:cs="Arial" w:eastAsia="Arial" w:hAnsi="Arial"/>
          <w:sz w:val="15"/>
          <w:szCs w:val="15"/>
          <w:color w:val="auto"/>
        </w:rPr>
        <w:t>Achieved Zero Routine Flaring during 2022 across U.S. oil and gas operations, eight years ahead of the World Bank’s 2030 target.</w:t>
      </w:r>
    </w:p>
    <w:p>
      <w:pPr>
        <w:spacing w:after="0" w:line="106" w:lineRule="exact"/>
        <w:rPr>
          <w:rFonts w:ascii="Arial" w:cs="Arial" w:eastAsia="Arial" w:hAnsi="Arial"/>
          <w:sz w:val="15"/>
          <w:szCs w:val="15"/>
          <w:color w:val="00529B"/>
        </w:rPr>
      </w:pPr>
    </w:p>
    <w:p>
      <w:pPr>
        <w:ind w:left="520" w:right="720" w:hanging="224"/>
        <w:spacing w:after="0" w:line="264" w:lineRule="auto"/>
        <w:tabs>
          <w:tab w:leader="none" w:pos="522" w:val="left"/>
        </w:tabs>
        <w:numPr>
          <w:ilvl w:val="0"/>
          <w:numId w:val="22"/>
        </w:numPr>
        <w:rPr>
          <w:rFonts w:ascii="Arial" w:cs="Arial" w:eastAsia="Arial" w:hAnsi="Arial"/>
          <w:sz w:val="15"/>
          <w:szCs w:val="15"/>
          <w:color w:val="00529B"/>
        </w:rPr>
      </w:pPr>
      <w:r>
        <w:rPr>
          <w:rFonts w:ascii="Arial" w:cs="Arial" w:eastAsia="Arial" w:hAnsi="Arial"/>
          <w:sz w:val="15"/>
          <w:szCs w:val="15"/>
          <w:color w:val="auto"/>
        </w:rPr>
        <w:t>Completed FEED and began construction of Occidental’s first commercial-scale DAC plant in the Permian Basin.</w:t>
      </w:r>
    </w:p>
    <w:p>
      <w:pPr>
        <w:spacing w:after="0" w:line="93" w:lineRule="exact"/>
        <w:rPr>
          <w:rFonts w:ascii="Arial" w:cs="Arial" w:eastAsia="Arial" w:hAnsi="Arial"/>
          <w:sz w:val="15"/>
          <w:szCs w:val="15"/>
          <w:color w:val="00529B"/>
        </w:rPr>
      </w:pPr>
    </w:p>
    <w:p>
      <w:pPr>
        <w:ind w:left="540" w:hanging="244"/>
        <w:spacing w:after="0"/>
        <w:tabs>
          <w:tab w:leader="none" w:pos="540" w:val="left"/>
        </w:tabs>
        <w:numPr>
          <w:ilvl w:val="0"/>
          <w:numId w:val="22"/>
        </w:numPr>
        <w:rPr>
          <w:rFonts w:ascii="Arial" w:cs="Arial" w:eastAsia="Arial" w:hAnsi="Arial"/>
          <w:sz w:val="15"/>
          <w:szCs w:val="15"/>
          <w:color w:val="00529B"/>
        </w:rPr>
      </w:pPr>
      <w:r>
        <w:rPr>
          <w:rFonts w:ascii="Arial" w:cs="Arial" w:eastAsia="Arial" w:hAnsi="Arial"/>
          <w:sz w:val="15"/>
          <w:szCs w:val="15"/>
          <w:color w:val="auto"/>
        </w:rPr>
        <w:t>Commenced pre-FEED activities for the company’s second DAC facility.</w:t>
      </w:r>
    </w:p>
    <w:p>
      <w:pPr>
        <w:spacing w:after="0" w:line="138" w:lineRule="exact"/>
        <w:rPr>
          <w:rFonts w:ascii="Arial" w:cs="Arial" w:eastAsia="Arial" w:hAnsi="Arial"/>
          <w:sz w:val="15"/>
          <w:szCs w:val="15"/>
          <w:color w:val="00529B"/>
        </w:rPr>
      </w:pPr>
    </w:p>
    <w:p>
      <w:pPr>
        <w:ind w:left="520" w:right="220" w:hanging="224"/>
        <w:spacing w:after="0" w:line="264" w:lineRule="auto"/>
        <w:tabs>
          <w:tab w:leader="none" w:pos="522" w:val="left"/>
        </w:tabs>
        <w:numPr>
          <w:ilvl w:val="0"/>
          <w:numId w:val="22"/>
        </w:numPr>
        <w:rPr>
          <w:rFonts w:ascii="Arial" w:cs="Arial" w:eastAsia="Arial" w:hAnsi="Arial"/>
          <w:sz w:val="15"/>
          <w:szCs w:val="15"/>
          <w:color w:val="00529B"/>
        </w:rPr>
      </w:pPr>
      <w:r>
        <w:rPr>
          <w:rFonts w:ascii="Arial" w:cs="Arial" w:eastAsia="Arial" w:hAnsi="Arial"/>
          <w:sz w:val="15"/>
          <w:szCs w:val="15"/>
          <w:color w:val="auto"/>
        </w:rPr>
        <w:t>Secured more than 400 square miles of pore space and land for Gulf Coast sequestration hubs.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6" w:right="560" w:hanging="226"/>
        <w:spacing w:after="0" w:line="264" w:lineRule="auto"/>
        <w:tabs>
          <w:tab w:leader="none" w:pos="228" w:val="left"/>
        </w:tabs>
        <w:numPr>
          <w:ilvl w:val="0"/>
          <w:numId w:val="23"/>
        </w:numPr>
        <w:rPr>
          <w:rFonts w:ascii="Arial" w:cs="Arial" w:eastAsia="Arial" w:hAnsi="Arial"/>
          <w:sz w:val="15"/>
          <w:szCs w:val="15"/>
          <w:color w:val="00529B"/>
        </w:rPr>
      </w:pPr>
      <w:r>
        <w:rPr>
          <w:rFonts w:ascii="Arial" w:cs="Arial" w:eastAsia="Arial" w:hAnsi="Arial"/>
          <w:sz w:val="15"/>
          <w:szCs w:val="15"/>
          <w:color w:val="auto"/>
        </w:rPr>
        <w:t>Received agency approval of closed-loop gas capture to mitigate non-routine flaring in the Permian Basin.</w:t>
      </w:r>
    </w:p>
    <w:p>
      <w:pPr>
        <w:spacing w:after="0" w:line="106" w:lineRule="exact"/>
        <w:rPr>
          <w:rFonts w:ascii="Arial" w:cs="Arial" w:eastAsia="Arial" w:hAnsi="Arial"/>
          <w:sz w:val="15"/>
          <w:szCs w:val="15"/>
          <w:color w:val="00529B"/>
        </w:rPr>
      </w:pPr>
    </w:p>
    <w:p>
      <w:pPr>
        <w:ind w:left="226" w:right="240" w:hanging="226"/>
        <w:spacing w:after="0" w:line="244" w:lineRule="auto"/>
        <w:tabs>
          <w:tab w:leader="none" w:pos="228" w:val="left"/>
        </w:tabs>
        <w:numPr>
          <w:ilvl w:val="0"/>
          <w:numId w:val="23"/>
        </w:numPr>
        <w:rPr>
          <w:rFonts w:ascii="Arial" w:cs="Arial" w:eastAsia="Arial" w:hAnsi="Arial"/>
          <w:sz w:val="15"/>
          <w:szCs w:val="15"/>
          <w:color w:val="00529B"/>
        </w:rPr>
      </w:pPr>
      <w:r>
        <w:rPr>
          <w:rFonts w:ascii="Arial" w:cs="Arial" w:eastAsia="Arial" w:hAnsi="Arial"/>
          <w:sz w:val="15"/>
          <w:szCs w:val="15"/>
          <w:color w:val="auto"/>
        </w:rPr>
        <w:t>Removed or converted over 3,100 gas-driven pneumatic control devices in our U.S. onshore operations in 2022, including over 76% of the remaining high-bleed and over 13% of the intermittent-bleed pneumatics.</w:t>
      </w:r>
    </w:p>
    <w:p>
      <w:pPr>
        <w:spacing w:after="0" w:line="108" w:lineRule="exact"/>
        <w:rPr>
          <w:rFonts w:ascii="Arial" w:cs="Arial" w:eastAsia="Arial" w:hAnsi="Arial"/>
          <w:sz w:val="15"/>
          <w:szCs w:val="15"/>
          <w:color w:val="00529B"/>
        </w:rPr>
      </w:pPr>
    </w:p>
    <w:p>
      <w:pPr>
        <w:ind w:left="246" w:hanging="246"/>
        <w:spacing w:after="0"/>
        <w:tabs>
          <w:tab w:leader="none" w:pos="246" w:val="left"/>
        </w:tabs>
        <w:numPr>
          <w:ilvl w:val="0"/>
          <w:numId w:val="23"/>
        </w:numPr>
        <w:rPr>
          <w:rFonts w:ascii="Arial" w:cs="Arial" w:eastAsia="Arial" w:hAnsi="Arial"/>
          <w:sz w:val="15"/>
          <w:szCs w:val="15"/>
          <w:color w:val="00529B"/>
        </w:rPr>
      </w:pPr>
      <w:r>
        <w:rPr>
          <w:rFonts w:ascii="Arial" w:cs="Arial" w:eastAsia="Arial" w:hAnsi="Arial"/>
          <w:sz w:val="15"/>
          <w:szCs w:val="15"/>
          <w:color w:val="auto"/>
        </w:rPr>
        <w:t>Filed permit applications for multiple Class VI sequestration wells.</w:t>
      </w:r>
    </w:p>
    <w:p>
      <w:pPr>
        <w:spacing w:after="0" w:line="138" w:lineRule="exact"/>
        <w:rPr>
          <w:rFonts w:ascii="Arial" w:cs="Arial" w:eastAsia="Arial" w:hAnsi="Arial"/>
          <w:sz w:val="15"/>
          <w:szCs w:val="15"/>
          <w:color w:val="00529B"/>
        </w:rPr>
      </w:pPr>
    </w:p>
    <w:p>
      <w:pPr>
        <w:ind w:left="226" w:right="420" w:hanging="226"/>
        <w:spacing w:after="0" w:line="264" w:lineRule="auto"/>
        <w:tabs>
          <w:tab w:leader="none" w:pos="228" w:val="left"/>
        </w:tabs>
        <w:numPr>
          <w:ilvl w:val="0"/>
          <w:numId w:val="23"/>
        </w:numPr>
        <w:rPr>
          <w:rFonts w:ascii="Arial" w:cs="Arial" w:eastAsia="Arial" w:hAnsi="Arial"/>
          <w:sz w:val="15"/>
          <w:szCs w:val="15"/>
          <w:color w:val="00529B"/>
        </w:rPr>
      </w:pPr>
      <w:r>
        <w:rPr>
          <w:rFonts w:ascii="Arial" w:cs="Arial" w:eastAsia="Arial" w:hAnsi="Arial"/>
          <w:sz w:val="15"/>
          <w:szCs w:val="15"/>
          <w:color w:val="auto"/>
        </w:rPr>
        <w:t>Original signatory to the Oil and Gas Climate Initiative’s “Aiming for Zero Methane Emissions” pledge.</w:t>
      </w:r>
    </w:p>
    <w:p>
      <w:pPr>
        <w:spacing w:after="0" w:line="200" w:lineRule="exact"/>
        <w:rPr>
          <w:sz w:val="20"/>
          <w:szCs w:val="20"/>
          <w:color w:val="auto"/>
        </w:rPr>
      </w:pPr>
    </w:p>
    <w:p>
      <w:pPr>
        <w:sectPr>
          <w:pgSz w:w="11900" w:h="16838" w:orient="portrait"/>
          <w:cols w:equalWidth="0" w:num="2">
            <w:col w:w="5400" w:space="314"/>
            <w:col w:w="5526"/>
          </w:cols>
          <w:pgMar w:left="320" w:top="130" w:right="339" w:bottom="1440" w:gutter="0" w:footer="0" w:header="0"/>
          <w:type w:val="continuous"/>
        </w:sect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Four Pillars of Sustainability</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Occidental’s sustainability reporting and strategy align with the World Economic Forum’s (WEF) four pillars of Stakeholder Capitalism: (1) principles of governance, (2) planet, (3) people and (4) prosperity. Each pillar represents a key focus area as the company continues to implement and enhance sustainable business practices and programs. Occidental was the first U.S. oil and gas company to endorse WEF’s Stakeholder Capitalism Metrics, a global ESG framework that promotes transparency with investor and stakeholder engagement.</w:t>
      </w:r>
    </w:p>
    <w:p>
      <w:pPr>
        <w:spacing w:after="0" w:line="110"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b w:val="1"/>
          <w:bCs w:val="1"/>
          <w:color w:val="auto"/>
        </w:rPr>
        <w:t xml:space="preserve">Reporting on Performance. </w:t>
      </w:r>
      <w:r>
        <w:rPr>
          <w:rFonts w:ascii="Arial" w:cs="Arial" w:eastAsia="Arial" w:hAnsi="Arial"/>
          <w:sz w:val="15"/>
          <w:szCs w:val="15"/>
          <w:color w:val="auto"/>
        </w:rPr>
        <w:t>Occidental’s Climate Report, CDP Climate Change Report, CDP Water Security Report and Annual ESG Performance Indicators</w:t>
      </w:r>
      <w:r>
        <w:rPr>
          <w:rFonts w:ascii="Arial" w:cs="Arial" w:eastAsia="Arial" w:hAnsi="Arial"/>
          <w:sz w:val="15"/>
          <w:szCs w:val="15"/>
          <w:b w:val="1"/>
          <w:bCs w:val="1"/>
          <w:color w:val="auto"/>
        </w:rPr>
        <w:t xml:space="preserve"> </w:t>
      </w:r>
      <w:r>
        <w:rPr>
          <w:rFonts w:ascii="Arial" w:cs="Arial" w:eastAsia="Arial" w:hAnsi="Arial"/>
          <w:sz w:val="15"/>
          <w:szCs w:val="15"/>
          <w:color w:val="auto"/>
        </w:rPr>
        <w:t>summary table with information regarding our environmental, health, safety and social performance are among the documents available for download on Occidental’s website. Our disclosure leverages sustainability reporting frameworks and standards supported by investors and other stakeholders, including the recommendations of the TCFD, the disclosure standards set by the Sustainability Accounting Standards Board (SASB) and the Ipieca Sustainability Reporting Guidance.</w:t>
      </w:r>
    </w:p>
    <w:p>
      <w:pPr>
        <w:spacing w:after="0" w:line="111"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auto"/>
        </w:rPr>
        <w:t>For more information about our company’s net-zero pathway and other climate-related sustainability initiatives, visit www.oxy.com/Sustainability and see our 2022 Climate Report, available online at https://www.oxy.com/globalassets/documents/publications/oxy-climate-report-2022.pdf.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74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Human Capital Resources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Occidental recognizes that a motivated, well-trained and diverse workforce is a strong competitive advantage and, as a result, has invested in employee engagement, training and development programs and tools to attract and retain diverse talent.</w:t>
      </w:r>
    </w:p>
    <w:p>
      <w:pPr>
        <w:spacing w:after="0" w:line="73" w:lineRule="exact"/>
        <w:rPr>
          <w:sz w:val="20"/>
          <w:szCs w:val="20"/>
          <w:color w:val="auto"/>
        </w:rPr>
      </w:pPr>
    </w:p>
    <w:p>
      <w:pPr>
        <w:spacing w:after="0"/>
        <w:rPr>
          <w:sz w:val="20"/>
          <w:szCs w:val="20"/>
          <w:color w:val="auto"/>
        </w:rPr>
      </w:pPr>
      <w:r>
        <w:rPr>
          <w:rFonts w:ascii="Arial" w:cs="Arial" w:eastAsia="Arial" w:hAnsi="Arial"/>
          <w:sz w:val="36"/>
          <w:szCs w:val="36"/>
          <w:b w:val="1"/>
          <w:bCs w:val="1"/>
          <w:color w:val="00529B"/>
        </w:rPr>
        <w:t>Health, Safety and Well-Being</w:t>
      </w:r>
    </w:p>
    <w:p>
      <w:pPr>
        <w:spacing w:after="0" w:line="173"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The health and safety of Occidental’s workforce and communities is a top priority for Occidental. In November 2022, the Board approved updates to the company’s longstanding Health, Safety and Environmental Principles (as revised, the HSE and Sustainability Principles) that management recommended based on engagement with shareholders, employees and other stakeholders. Occidental endeavors to apply these principles to improve workplace and contractor safety, prevent and mitigate incidents and safeguard people and the environment in the communities where it operates.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auto"/>
        </w:rPr>
        <w:t>Occidental strives to give employees the tools and resources they need to succeed both professionally and personally. To that end, Occidental offers, and regularly evaluates, its comprehensive health, welfare and retirement and savings benefits plans, professional memberships and work/life balance benefits. It also provides programs to enhance and support employees’ overall well-being, including their physical, mental, social and financial health. In 2022, Occidental increased its focus on mental health and holistic wellness through manager training and employee programs and events.</w:t>
      </w:r>
    </w:p>
    <w:p>
      <w:pPr>
        <w:spacing w:after="0" w:line="92" w:lineRule="exact"/>
        <w:rPr>
          <w:sz w:val="20"/>
          <w:szCs w:val="20"/>
          <w:color w:val="auto"/>
        </w:rPr>
      </w:pPr>
    </w:p>
    <w:p>
      <w:pPr>
        <w:spacing w:after="0"/>
        <w:rPr>
          <w:sz w:val="20"/>
          <w:szCs w:val="20"/>
          <w:color w:val="auto"/>
        </w:rPr>
      </w:pPr>
      <w:r>
        <w:rPr>
          <w:rFonts w:ascii="Arial" w:cs="Arial" w:eastAsia="Arial" w:hAnsi="Arial"/>
          <w:sz w:val="36"/>
          <w:szCs w:val="36"/>
          <w:b w:val="1"/>
          <w:bCs w:val="1"/>
          <w:color w:val="00529B"/>
        </w:rPr>
        <w:t>Diversity, Inclusion and Belonging (DIB)</w:t>
      </w:r>
    </w:p>
    <w:p>
      <w:pPr>
        <w:spacing w:after="0" w:line="173"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Senior management, with the support of the Board, strives to foster a culture where employees’ differences are appreciated, celebrated and encouraged. To promote awareness, governance and oversight of the company’s DIB strategy and program, Occidental established the DIB Advisory Board and the DIB Ambassador Committee in 2021. The DIB Advisory Board, which is chaired by Occidental’s President and CEO and includes members of senior leadership, oversees the execution of Occidental’s integrated DIB strategy and its alignment with the company’s mission, vision and strategic objectives. The DIB Advisory Board also helps institutionalize DIB policies for recruitment, retention and development, among other things. The DIB Ambassador Committee, which is chaired by Occidental’s Vice President of Diversity and Inclusion, consists of a diverse group of employee representatives from all business segments, domestic and international. This committee leads company-wide initiatives to raise DIB awareness through educational resources and programs.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In 2022, to more efficiently and effectively recruit diverse talent, the company’s Human Resources (HR) department began implementing artificial intelligence powered talent platforms to source diverse talent, technical expertise and hard-to-find skills.</w:t>
      </w:r>
    </w:p>
    <w:p>
      <w:pPr>
        <w:spacing w:after="0" w:line="80"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Employee Outreach and Engagement</w:t>
      </w:r>
    </w:p>
    <w:p>
      <w:pPr>
        <w:spacing w:after="0" w:line="169" w:lineRule="exact"/>
        <w:rPr>
          <w:sz w:val="20"/>
          <w:szCs w:val="20"/>
          <w:color w:val="auto"/>
        </w:rPr>
      </w:pPr>
    </w:p>
    <w:p>
      <w:pPr>
        <w:ind w:right="160"/>
        <w:spacing w:after="0" w:line="236" w:lineRule="auto"/>
        <w:rPr>
          <w:sz w:val="20"/>
          <w:szCs w:val="20"/>
          <w:color w:val="auto"/>
        </w:rPr>
      </w:pPr>
      <w:r>
        <w:rPr>
          <w:rFonts w:ascii="Arial" w:cs="Arial" w:eastAsia="Arial" w:hAnsi="Arial"/>
          <w:sz w:val="15"/>
          <w:szCs w:val="15"/>
          <w:b w:val="1"/>
          <w:bCs w:val="1"/>
          <w:color w:val="auto"/>
        </w:rPr>
        <w:t xml:space="preserve">Quarterly Executive Virtual Conversations. </w:t>
      </w:r>
      <w:r>
        <w:rPr>
          <w:rFonts w:ascii="Arial" w:cs="Arial" w:eastAsia="Arial" w:hAnsi="Arial"/>
          <w:sz w:val="15"/>
          <w:szCs w:val="15"/>
          <w:color w:val="auto"/>
        </w:rPr>
        <w:t>To enhance senior leadership’s engagement with employees, Occidental hosts Quarterly Executive Virtual</w:t>
      </w:r>
      <w:r>
        <w:rPr>
          <w:rFonts w:ascii="Arial" w:cs="Arial" w:eastAsia="Arial" w:hAnsi="Arial"/>
          <w:sz w:val="15"/>
          <w:szCs w:val="15"/>
          <w:b w:val="1"/>
          <w:bCs w:val="1"/>
          <w:color w:val="auto"/>
        </w:rPr>
        <w:t xml:space="preserve"> </w:t>
      </w:r>
      <w:r>
        <w:rPr>
          <w:rFonts w:ascii="Arial" w:cs="Arial" w:eastAsia="Arial" w:hAnsi="Arial"/>
          <w:sz w:val="15"/>
          <w:szCs w:val="15"/>
          <w:color w:val="auto"/>
        </w:rPr>
        <w:t>Conversations (QEVCs), which provide employees the opportunity to hear directly from senior leadership regarding financial and operational updates and submit questions for management to answer. During the August 2022 QEVC, Occidental’s Vice President of Diversity and Inclusion presented an update on the company’s DIB strategy and initiatives. Occidental’s employee outreach and engagement extends beyond QEVCs to newsletters, focus groups and employee resource groups (ERGs), among other channels and tools.</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b w:val="1"/>
          <w:bCs w:val="1"/>
          <w:color w:val="auto"/>
        </w:rPr>
        <w:t xml:space="preserve">Employee Resource Groups. </w:t>
      </w:r>
      <w:r>
        <w:rPr>
          <w:rFonts w:ascii="Arial" w:cs="Arial" w:eastAsia="Arial" w:hAnsi="Arial"/>
          <w:sz w:val="15"/>
          <w:szCs w:val="15"/>
          <w:color w:val="auto"/>
        </w:rPr>
        <w:t>In October 2022, as part of Occidental’s integrated DIB strategy, the HR department launched eight new ERGs to supplement our</w:t>
      </w:r>
      <w:r>
        <w:rPr>
          <w:rFonts w:ascii="Arial" w:cs="Arial" w:eastAsia="Arial" w:hAnsi="Arial"/>
          <w:sz w:val="15"/>
          <w:szCs w:val="15"/>
          <w:b w:val="1"/>
          <w:bCs w:val="1"/>
          <w:color w:val="auto"/>
        </w:rPr>
        <w:t xml:space="preserve"> </w:t>
      </w:r>
      <w:r>
        <w:rPr>
          <w:rFonts w:ascii="Arial" w:cs="Arial" w:eastAsia="Arial" w:hAnsi="Arial"/>
          <w:sz w:val="15"/>
          <w:szCs w:val="15"/>
          <w:color w:val="auto"/>
        </w:rPr>
        <w:t>longstanding Early Career Network and Women of Oxy Network. An ERG is a group of employees who actively engage in communicating or gathering around a central purpose, mission, background or activity. ERGs can help advance inclusion and a sense of belonging of employees with a common set of interests and/or goals. The mission and goals of ERGs are fully aligned with Occidental’s expectation to be an employer, partner and neighbor of choice. Each ERG is inclusive of all employees—everyone can benefit from and participate in an ERG, either as a member or an ally. Our ERGs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0" w:type="dxa"/>
            <w:vAlign w:val="bottom"/>
          </w:tcPr>
          <w:p>
            <w:pPr>
              <w:spacing w:after="0"/>
              <w:rPr>
                <w:sz w:val="20"/>
                <w:szCs w:val="20"/>
                <w:color w:val="auto"/>
              </w:rPr>
            </w:pPr>
            <w:r>
              <w:rPr>
                <w:rFonts w:ascii="Arial" w:cs="Arial" w:eastAsia="Arial" w:hAnsi="Arial"/>
                <w:sz w:val="15"/>
                <w:szCs w:val="15"/>
                <w:color w:val="00529B"/>
              </w:rPr>
              <w:t>►</w:t>
            </w:r>
          </w:p>
        </w:tc>
        <w:tc>
          <w:tcPr>
            <w:tcW w:w="2800" w:type="dxa"/>
            <w:vAlign w:val="bottom"/>
          </w:tcPr>
          <w:p>
            <w:pPr>
              <w:ind w:left="60"/>
              <w:spacing w:after="0"/>
              <w:rPr>
                <w:sz w:val="20"/>
                <w:szCs w:val="20"/>
                <w:color w:val="auto"/>
              </w:rPr>
            </w:pPr>
            <w:r>
              <w:rPr>
                <w:rFonts w:ascii="Arial" w:cs="Arial" w:eastAsia="Arial" w:hAnsi="Arial"/>
                <w:sz w:val="15"/>
                <w:szCs w:val="15"/>
                <w:color w:val="auto"/>
              </w:rPr>
              <w:t>Allyship</w:t>
            </w:r>
          </w:p>
        </w:tc>
        <w:tc>
          <w:tcPr>
            <w:tcW w:w="1240" w:type="dxa"/>
            <w:vAlign w:val="bottom"/>
          </w:tcPr>
          <w:p>
            <w:pPr>
              <w:ind w:left="1040"/>
              <w:spacing w:after="0"/>
              <w:rPr>
                <w:sz w:val="20"/>
                <w:szCs w:val="20"/>
                <w:color w:val="auto"/>
              </w:rPr>
            </w:pPr>
            <w:r>
              <w:rPr>
                <w:rFonts w:ascii="Arial" w:cs="Arial" w:eastAsia="Arial" w:hAnsi="Arial"/>
                <w:sz w:val="15"/>
                <w:szCs w:val="15"/>
                <w:color w:val="00529B"/>
              </w:rPr>
              <w:t>►</w:t>
            </w:r>
          </w:p>
        </w:tc>
        <w:tc>
          <w:tcPr>
            <w:tcW w:w="2520" w:type="dxa"/>
            <w:vAlign w:val="bottom"/>
          </w:tcPr>
          <w:p>
            <w:pPr>
              <w:ind w:left="60"/>
              <w:spacing w:after="0"/>
              <w:rPr>
                <w:sz w:val="20"/>
                <w:szCs w:val="20"/>
                <w:color w:val="auto"/>
              </w:rPr>
            </w:pPr>
            <w:r>
              <w:rPr>
                <w:rFonts w:ascii="Arial" w:cs="Arial" w:eastAsia="Arial" w:hAnsi="Arial"/>
                <w:sz w:val="15"/>
                <w:szCs w:val="15"/>
                <w:color w:val="auto"/>
              </w:rPr>
              <w:t>Out (LGBT+) Network</w:t>
            </w:r>
          </w:p>
        </w:tc>
        <w:tc>
          <w:tcPr>
            <w:tcW w:w="1080" w:type="dxa"/>
            <w:vAlign w:val="bottom"/>
          </w:tcPr>
          <w:p>
            <w:pPr>
              <w:ind w:left="860"/>
              <w:spacing w:after="0"/>
              <w:rPr>
                <w:sz w:val="20"/>
                <w:szCs w:val="20"/>
                <w:color w:val="auto"/>
              </w:rPr>
            </w:pPr>
            <w:r>
              <w:rPr>
                <w:rFonts w:ascii="Arial" w:cs="Arial" w:eastAsia="Arial" w:hAnsi="Arial"/>
                <w:sz w:val="15"/>
                <w:szCs w:val="15"/>
                <w:color w:val="00529B"/>
              </w:rPr>
              <w:t>►</w:t>
            </w:r>
          </w:p>
        </w:tc>
        <w:tc>
          <w:tcPr>
            <w:tcW w:w="2100" w:type="dxa"/>
            <w:vAlign w:val="bottom"/>
          </w:tcPr>
          <w:p>
            <w:pPr>
              <w:ind w:left="60"/>
              <w:spacing w:after="0"/>
              <w:rPr>
                <w:sz w:val="20"/>
                <w:szCs w:val="20"/>
                <w:color w:val="auto"/>
              </w:rPr>
            </w:pPr>
            <w:r>
              <w:rPr>
                <w:rFonts w:ascii="Arial" w:cs="Arial" w:eastAsia="Arial" w:hAnsi="Arial"/>
                <w:sz w:val="15"/>
                <w:szCs w:val="15"/>
                <w:color w:val="auto"/>
              </w:rPr>
              <w:t>Hispanic Network</w:t>
            </w:r>
          </w:p>
        </w:tc>
      </w:tr>
      <w:tr>
        <w:trPr>
          <w:trHeight w:val="324"/>
        </w:trPr>
        <w:tc>
          <w:tcPr>
            <w:tcW w:w="220" w:type="dxa"/>
            <w:vAlign w:val="bottom"/>
          </w:tcPr>
          <w:p>
            <w:pPr>
              <w:spacing w:after="0"/>
              <w:rPr>
                <w:sz w:val="20"/>
                <w:szCs w:val="20"/>
                <w:color w:val="auto"/>
              </w:rPr>
            </w:pPr>
            <w:r>
              <w:rPr>
                <w:rFonts w:ascii="Arial" w:cs="Arial" w:eastAsia="Arial" w:hAnsi="Arial"/>
                <w:sz w:val="15"/>
                <w:szCs w:val="15"/>
                <w:color w:val="00529B"/>
              </w:rPr>
              <w:t>►</w:t>
            </w:r>
          </w:p>
        </w:tc>
        <w:tc>
          <w:tcPr>
            <w:tcW w:w="2800" w:type="dxa"/>
            <w:vAlign w:val="bottom"/>
          </w:tcPr>
          <w:p>
            <w:pPr>
              <w:ind w:left="60"/>
              <w:spacing w:after="0"/>
              <w:rPr>
                <w:sz w:val="20"/>
                <w:szCs w:val="20"/>
                <w:color w:val="auto"/>
              </w:rPr>
            </w:pPr>
            <w:r>
              <w:rPr>
                <w:rFonts w:ascii="Arial" w:cs="Arial" w:eastAsia="Arial" w:hAnsi="Arial"/>
                <w:sz w:val="15"/>
                <w:szCs w:val="15"/>
                <w:color w:val="auto"/>
              </w:rPr>
              <w:t>Black Employee Network</w:t>
            </w:r>
          </w:p>
        </w:tc>
        <w:tc>
          <w:tcPr>
            <w:tcW w:w="1240" w:type="dxa"/>
            <w:vAlign w:val="bottom"/>
          </w:tcPr>
          <w:p>
            <w:pPr>
              <w:ind w:left="1040"/>
              <w:spacing w:after="0"/>
              <w:rPr>
                <w:sz w:val="20"/>
                <w:szCs w:val="20"/>
                <w:color w:val="auto"/>
              </w:rPr>
            </w:pPr>
            <w:r>
              <w:rPr>
                <w:rFonts w:ascii="Arial" w:cs="Arial" w:eastAsia="Arial" w:hAnsi="Arial"/>
                <w:sz w:val="15"/>
                <w:szCs w:val="15"/>
                <w:color w:val="00529B"/>
              </w:rPr>
              <w:t>►</w:t>
            </w:r>
          </w:p>
        </w:tc>
        <w:tc>
          <w:tcPr>
            <w:tcW w:w="2520" w:type="dxa"/>
            <w:vAlign w:val="bottom"/>
          </w:tcPr>
          <w:p>
            <w:pPr>
              <w:ind w:left="60"/>
              <w:spacing w:after="0"/>
              <w:rPr>
                <w:sz w:val="20"/>
                <w:szCs w:val="20"/>
                <w:color w:val="auto"/>
              </w:rPr>
            </w:pPr>
            <w:r>
              <w:rPr>
                <w:rFonts w:ascii="Arial" w:cs="Arial" w:eastAsia="Arial" w:hAnsi="Arial"/>
                <w:sz w:val="15"/>
                <w:szCs w:val="15"/>
                <w:color w:val="auto"/>
              </w:rPr>
              <w:t>Veterans Network</w:t>
            </w:r>
          </w:p>
        </w:tc>
        <w:tc>
          <w:tcPr>
            <w:tcW w:w="1080" w:type="dxa"/>
            <w:vAlign w:val="bottom"/>
          </w:tcPr>
          <w:p>
            <w:pPr>
              <w:ind w:left="860"/>
              <w:spacing w:after="0"/>
              <w:rPr>
                <w:sz w:val="20"/>
                <w:szCs w:val="20"/>
                <w:color w:val="auto"/>
              </w:rPr>
            </w:pPr>
            <w:r>
              <w:rPr>
                <w:rFonts w:ascii="Arial" w:cs="Arial" w:eastAsia="Arial" w:hAnsi="Arial"/>
                <w:sz w:val="15"/>
                <w:szCs w:val="15"/>
                <w:color w:val="00529B"/>
              </w:rPr>
              <w:t>►</w:t>
            </w:r>
          </w:p>
        </w:tc>
        <w:tc>
          <w:tcPr>
            <w:tcW w:w="2100" w:type="dxa"/>
            <w:vAlign w:val="bottom"/>
          </w:tcPr>
          <w:p>
            <w:pPr>
              <w:ind w:left="60"/>
              <w:spacing w:after="0"/>
              <w:rPr>
                <w:sz w:val="20"/>
                <w:szCs w:val="20"/>
                <w:color w:val="auto"/>
              </w:rPr>
            </w:pPr>
            <w:r>
              <w:rPr>
                <w:rFonts w:ascii="Arial" w:cs="Arial" w:eastAsia="Arial" w:hAnsi="Arial"/>
                <w:sz w:val="15"/>
                <w:szCs w:val="15"/>
                <w:color w:val="auto"/>
              </w:rPr>
              <w:t>Mental Health Matters</w:t>
            </w:r>
          </w:p>
        </w:tc>
      </w:tr>
      <w:tr>
        <w:trPr>
          <w:trHeight w:val="324"/>
        </w:trPr>
        <w:tc>
          <w:tcPr>
            <w:tcW w:w="220" w:type="dxa"/>
            <w:vAlign w:val="bottom"/>
          </w:tcPr>
          <w:p>
            <w:pPr>
              <w:spacing w:after="0"/>
              <w:rPr>
                <w:sz w:val="20"/>
                <w:szCs w:val="20"/>
                <w:color w:val="auto"/>
              </w:rPr>
            </w:pPr>
            <w:r>
              <w:rPr>
                <w:rFonts w:ascii="Arial" w:cs="Arial" w:eastAsia="Arial" w:hAnsi="Arial"/>
                <w:sz w:val="15"/>
                <w:szCs w:val="15"/>
                <w:color w:val="00529B"/>
              </w:rPr>
              <w:t>►</w:t>
            </w:r>
          </w:p>
        </w:tc>
        <w:tc>
          <w:tcPr>
            <w:tcW w:w="2800" w:type="dxa"/>
            <w:vAlign w:val="bottom"/>
          </w:tcPr>
          <w:p>
            <w:pPr>
              <w:ind w:left="60"/>
              <w:spacing w:after="0"/>
              <w:rPr>
                <w:sz w:val="20"/>
                <w:szCs w:val="20"/>
                <w:color w:val="auto"/>
              </w:rPr>
            </w:pPr>
            <w:r>
              <w:rPr>
                <w:rFonts w:ascii="Arial" w:cs="Arial" w:eastAsia="Arial" w:hAnsi="Arial"/>
                <w:sz w:val="15"/>
                <w:szCs w:val="15"/>
                <w:color w:val="auto"/>
              </w:rPr>
              <w:t>Early Career Network</w:t>
            </w:r>
          </w:p>
        </w:tc>
        <w:tc>
          <w:tcPr>
            <w:tcW w:w="3760" w:type="dxa"/>
            <w:vAlign w:val="bottom"/>
            <w:gridSpan w:val="2"/>
          </w:tcPr>
          <w:p>
            <w:pPr>
              <w:ind w:left="1040"/>
              <w:spacing w:after="0"/>
              <w:rPr>
                <w:sz w:val="20"/>
                <w:szCs w:val="20"/>
                <w:color w:val="auto"/>
              </w:rPr>
            </w:pPr>
            <w:r>
              <w:rPr>
                <w:rFonts w:ascii="Arial" w:cs="Arial" w:eastAsia="Arial" w:hAnsi="Arial"/>
                <w:sz w:val="15"/>
                <w:szCs w:val="15"/>
                <w:color w:val="00529B"/>
              </w:rPr>
              <w:t xml:space="preserve">►  </w:t>
            </w:r>
            <w:r>
              <w:rPr>
                <w:rFonts w:ascii="Arial" w:cs="Arial" w:eastAsia="Arial" w:hAnsi="Arial"/>
                <w:sz w:val="15"/>
                <w:szCs w:val="15"/>
                <w:color w:val="000000"/>
              </w:rPr>
              <w:t>Women of Oxy Network</w:t>
            </w:r>
          </w:p>
        </w:tc>
        <w:tc>
          <w:tcPr>
            <w:tcW w:w="1080" w:type="dxa"/>
            <w:vAlign w:val="bottom"/>
          </w:tcPr>
          <w:p>
            <w:pPr>
              <w:ind w:left="860"/>
              <w:spacing w:after="0"/>
              <w:rPr>
                <w:sz w:val="20"/>
                <w:szCs w:val="20"/>
                <w:color w:val="auto"/>
              </w:rPr>
            </w:pPr>
            <w:r>
              <w:rPr>
                <w:rFonts w:ascii="Arial" w:cs="Arial" w:eastAsia="Arial" w:hAnsi="Arial"/>
                <w:sz w:val="15"/>
                <w:szCs w:val="15"/>
                <w:color w:val="00529B"/>
              </w:rPr>
              <w:t>►</w:t>
            </w:r>
          </w:p>
        </w:tc>
        <w:tc>
          <w:tcPr>
            <w:tcW w:w="2100" w:type="dxa"/>
            <w:vAlign w:val="bottom"/>
          </w:tcPr>
          <w:p>
            <w:pPr>
              <w:ind w:left="60"/>
              <w:spacing w:after="0"/>
              <w:rPr>
                <w:sz w:val="20"/>
                <w:szCs w:val="20"/>
                <w:color w:val="auto"/>
              </w:rPr>
            </w:pPr>
            <w:r>
              <w:rPr>
                <w:rFonts w:ascii="Arial" w:cs="Arial" w:eastAsia="Arial" w:hAnsi="Arial"/>
                <w:sz w:val="15"/>
                <w:szCs w:val="15"/>
                <w:color w:val="auto"/>
              </w:rPr>
              <w:t>Mosaic (Multicultural) Network</w:t>
            </w:r>
          </w:p>
        </w:tc>
      </w:tr>
    </w:tbl>
    <w:p>
      <w:pPr>
        <w:spacing w:after="0" w:line="124" w:lineRule="exact"/>
        <w:rPr>
          <w:sz w:val="20"/>
          <w:szCs w:val="20"/>
          <w:color w:val="auto"/>
        </w:rPr>
      </w:pPr>
    </w:p>
    <w:p>
      <w:pPr>
        <w:ind w:left="280" w:right="8000" w:hanging="272"/>
        <w:spacing w:after="0" w:line="264" w:lineRule="auto"/>
        <w:tabs>
          <w:tab w:leader="none" w:pos="280" w:val="left"/>
        </w:tabs>
        <w:numPr>
          <w:ilvl w:val="0"/>
          <w:numId w:val="24"/>
        </w:numPr>
        <w:rPr>
          <w:rFonts w:ascii="Arial" w:cs="Arial" w:eastAsia="Arial" w:hAnsi="Arial"/>
          <w:sz w:val="15"/>
          <w:szCs w:val="15"/>
          <w:color w:val="00529B"/>
        </w:rPr>
      </w:pPr>
      <w:r>
        <w:rPr>
          <w:rFonts w:ascii="Arial" w:cs="Arial" w:eastAsia="Arial" w:hAnsi="Arial"/>
          <w:sz w:val="15"/>
          <w:szCs w:val="15"/>
          <w:color w:val="auto"/>
        </w:rPr>
        <w:t>FRIEND (Friends, Relatives and Individuals Empowering Neurodiversity)</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Workforce Diversity Data</w:t>
      </w:r>
    </w:p>
    <w:p>
      <w:pPr>
        <w:spacing w:after="0" w:line="171" w:lineRule="exact"/>
        <w:rPr>
          <w:sz w:val="20"/>
          <w:szCs w:val="20"/>
          <w:color w:val="auto"/>
        </w:rPr>
      </w:pPr>
    </w:p>
    <w:p>
      <w:pPr>
        <w:ind w:right="240"/>
        <w:spacing w:after="0" w:line="244" w:lineRule="auto"/>
        <w:rPr>
          <w:sz w:val="20"/>
          <w:szCs w:val="20"/>
          <w:color w:val="auto"/>
        </w:rPr>
      </w:pPr>
      <w:r>
        <w:rPr>
          <w:rFonts w:ascii="Arial" w:cs="Arial" w:eastAsia="Arial" w:hAnsi="Arial"/>
          <w:sz w:val="15"/>
          <w:szCs w:val="15"/>
          <w:color w:val="auto"/>
        </w:rPr>
        <w:t>In response to shareholder feedback, we disclosed the workforce diversity data from the Consolidated EEO-1 Report that Occidental submitted in 2022 to the U.S. Equal Employment Opportunity Commission for the 2021 fiscal year. We encourage you to review the report, available online at https://www.oxy.com/globalassets/documents/ sustainability/oxy-eeo1-consolidated-2021.pdf.</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100965</wp:posOffset>
            </wp:positionV>
            <wp:extent cx="6858000" cy="23660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00" cy="23660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100" w:right="2100" w:hanging="1939"/>
        <w:spacing w:after="0" w:line="185" w:lineRule="auto"/>
        <w:tabs>
          <w:tab w:leader="none" w:pos="3080" w:val="left"/>
        </w:tabs>
        <w:rPr>
          <w:sz w:val="20"/>
          <w:szCs w:val="20"/>
          <w:color w:val="auto"/>
        </w:rPr>
      </w:pPr>
      <w:r>
        <w:rPr>
          <w:rFonts w:ascii="Arial" w:cs="Arial" w:eastAsia="Arial" w:hAnsi="Arial"/>
          <w:sz w:val="68"/>
          <w:szCs w:val="68"/>
          <w:b w:val="1"/>
          <w:bCs w:val="1"/>
          <w:color w:val="FFFFFF"/>
          <w:vertAlign w:val="subscript"/>
        </w:rPr>
        <w:t>Proposal</w:t>
      </w:r>
      <w:r>
        <w:rPr>
          <w:sz w:val="20"/>
          <w:szCs w:val="20"/>
          <w:color w:val="auto"/>
        </w:rPr>
        <w:tab/>
      </w:r>
      <w:r>
        <w:rPr>
          <w:rFonts w:ascii="Arial" w:cs="Arial" w:eastAsia="Arial" w:hAnsi="Arial"/>
          <w:sz w:val="35"/>
          <w:szCs w:val="35"/>
          <w:b w:val="1"/>
          <w:bCs w:val="1"/>
          <w:color w:val="FFFFFF"/>
        </w:rPr>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DIRECTORS</w:t>
      </w:r>
    </w:p>
    <w:p>
      <w:pPr>
        <w:spacing w:after="0" w:line="234" w:lineRule="auto"/>
        <w:rPr>
          <w:sz w:val="20"/>
          <w:szCs w:val="20"/>
          <w:color w:val="auto"/>
        </w:rPr>
      </w:pPr>
      <w:r>
        <w:rPr>
          <w:rFonts w:ascii="Arial" w:cs="Arial" w:eastAsia="Arial" w:hAnsi="Arial"/>
          <w:sz w:val="18"/>
          <w:szCs w:val="18"/>
          <w:b w:val="1"/>
          <w:bCs w:val="1"/>
          <w:color w:val="FFFFFF"/>
        </w:rPr>
        <w:t>RECOMMENDS</w:t>
      </w:r>
    </w:p>
    <w:p>
      <w:pPr>
        <w:spacing w:after="0" w:line="235" w:lineRule="auto"/>
        <w:rPr>
          <w:sz w:val="20"/>
          <w:szCs w:val="20"/>
          <w:color w:val="auto"/>
        </w:rPr>
      </w:pPr>
      <w:r>
        <w:rPr>
          <w:rFonts w:ascii="Arial" w:cs="Arial" w:eastAsia="Arial" w:hAnsi="Arial"/>
          <w:sz w:val="18"/>
          <w:szCs w:val="18"/>
          <w:b w:val="1"/>
          <w:bCs w:val="1"/>
          <w:color w:val="FFFFFF"/>
        </w:rPr>
        <w:t xml:space="preserve">A VOTE </w:t>
      </w:r>
      <w:r>
        <w:rPr>
          <w:rFonts w:ascii="Arial" w:cs="Arial" w:eastAsia="Arial" w:hAnsi="Arial"/>
          <w:sz w:val="18"/>
          <w:szCs w:val="18"/>
          <w:b w:val="1"/>
          <w:bCs w:val="1"/>
          <w:color w:val="00519B"/>
        </w:rPr>
        <w:t>“FOR”</w:t>
      </w:r>
      <w:r>
        <w:rPr>
          <w:rFonts w:ascii="Arial" w:cs="Arial" w:eastAsia="Arial" w:hAnsi="Arial"/>
          <w:sz w:val="18"/>
          <w:szCs w:val="18"/>
          <w:b w:val="1"/>
          <w:bCs w:val="1"/>
          <w:color w:val="FFFFFF"/>
        </w:rPr>
        <w:t xml:space="preserve"> </w:t>
      </w:r>
      <w:r>
        <w:rPr>
          <w:rFonts w:ascii="Arial" w:cs="Arial" w:eastAsia="Arial" w:hAnsi="Arial"/>
          <w:sz w:val="18"/>
          <w:szCs w:val="18"/>
          <w:color w:val="FFFFFF"/>
        </w:rPr>
        <w:t>EACH</w:t>
      </w:r>
    </w:p>
    <w:p>
      <w:pPr>
        <w:spacing w:after="0" w:line="235" w:lineRule="auto"/>
        <w:rPr>
          <w:sz w:val="20"/>
          <w:szCs w:val="20"/>
          <w:color w:val="auto"/>
        </w:rPr>
      </w:pPr>
      <w:r>
        <w:rPr>
          <w:rFonts w:ascii="Arial" w:cs="Arial" w:eastAsia="Arial" w:hAnsi="Arial"/>
          <w:sz w:val="18"/>
          <w:szCs w:val="18"/>
          <w:b w:val="1"/>
          <w:bCs w:val="1"/>
          <w:color w:val="FFFFFF"/>
        </w:rPr>
        <w:t>OF THE DIRECTOR</w:t>
      </w:r>
    </w:p>
    <w:p>
      <w:pPr>
        <w:spacing w:after="0"/>
        <w:rPr>
          <w:sz w:val="20"/>
          <w:szCs w:val="20"/>
          <w:color w:val="auto"/>
        </w:rPr>
      </w:pPr>
      <w:r>
        <w:rPr>
          <w:rFonts w:ascii="Arial" w:cs="Arial" w:eastAsia="Arial" w:hAnsi="Arial"/>
          <w:sz w:val="18"/>
          <w:szCs w:val="18"/>
          <w:b w:val="1"/>
          <w:bCs w:val="1"/>
          <w:color w:val="FFFFFF"/>
        </w:rPr>
        <w:t>NOMINEES.</w:t>
      </w:r>
    </w:p>
    <w:p>
      <w:pPr>
        <w:spacing w:after="0" w:line="200" w:lineRule="exact"/>
        <w:rPr>
          <w:sz w:val="20"/>
          <w:szCs w:val="20"/>
          <w:color w:val="auto"/>
        </w:rPr>
      </w:pPr>
    </w:p>
    <w:p>
      <w:pPr>
        <w:sectPr>
          <w:pgSz w:w="11900" w:h="16838" w:orient="portrait"/>
          <w:cols w:equalWidth="0" w:num="2">
            <w:col w:w="7600" w:space="720"/>
            <w:col w:w="29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Nominations</w:t>
      </w:r>
    </w:p>
    <w:p>
      <w:pPr>
        <w:spacing w:after="0" w:line="241"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The Board is committed to recruiting and nominating directors for election who will collectively provide the Board with the necessary diversity of skills, backgrounds and experiences to meet Occidental’s ongoing needs and support oversight of our business strategy and priorities. In recommending candidates for election to the Board, the Corporate Governance and Nominating Committee (the Governance Committee) evaluates a candidate’s character; judgment; skill set and experience in light of Occidental’s current and future needs and strategic priorities; independence; other time commitments, including other public and private company board memberships; and any other factors that the Governance Committee deems relevant. In addition, in determining whether to recommend incumbent directors for reelection to the Board, the Governance Committee also reviews and considers tenure; the director’s board and committee meeting attendance; the level of support that the director’s nomination received at the most recent annual shareholders’ meeting (if applicable); and the well-roundedness of the Board as a whole.</w:t>
      </w:r>
    </w:p>
    <w:p>
      <w:pPr>
        <w:spacing w:after="0" w:line="178"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auto"/>
        </w:rPr>
        <w:t>The Board is committed to ongoing and thoughtful refreshment of its membership and strives to maintain an appropriate balance of tenure, backgrounds and skills on the Board. The Board believes that this ongoing refreshment, which has resulted in three new directors since early 2022, further aligns Board composition with the needs of Occidental as our businesses evolve over time and encourages regular consideration of fresh viewpoints and perspectives. The Board also believes that, over time, directors develop an enhanced understanding of Occidental and an ability to work effectively as a group. Accordingly, the Board aims to have directors with a mix of tenures represented. In addition, the Board and the Governance Committee actively consider diversity in their recruitment and nominations of director candidates, and the effectiveness of these efforts is actively assessed during regular reviews of the Board’s composition.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Board appreciates the value of diversity of backgrounds and experiences among its membership and shares investors’ goals for racial, ethnic and gender diversity on boards. Accordingly, the Board has been actively seeking additional members to enhance the diverse viewpoints and expertise represented on the Board and to increase the Board’s racial, ethnic and gender diversity. The Board elected Vicky A. Bailey as a director in March 2022. She possesses significant experience in the energy sector, both public and private. In January 2023, the Board added Claire O’Neil to the Board. With more than 16 years of experience in consulting, finance and clean energy growth strategy as well as climate policy, we believe she will provide valuable insight for our low-carbon initiatives. Most recently, in February 2023, Ken Robinson joined the Board. He brings over 40 years of experience in global finance and accounting, enterprise risk, ethics and compliance across several industries.</w:t>
      </w:r>
    </w:p>
    <w:p>
      <w:pPr>
        <w:spacing w:after="0" w:line="315"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In February 2023, the Governance Committee recommended to the Board, and the Board approved, the nomination of the ten persons whose biographies appear below to serve for a one-year term ending at the 2024 Annual Meeting, but in any event, until his or her successor is elected and qualified, unless ended earlier due to his or her death, resignation, disqualification or removal from office.</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5"/>
          <w:szCs w:val="15"/>
          <w:color w:val="auto"/>
        </w:rPr>
        <w:t>If you submit a validly executed proxy card but do not specify how you want to vote your shares with respect to the election of directors, then your shares will be voted “FOR” the nominees proposed by our Board and named in this proxy statement, in line with our Board’s recommendation. The Board has no reason to believe that any of the Board’s nominees would be unable or unwilling to serve as a director if elected. However, should any of our Board’s nominees be unable or unwilling to stand for election at the time of the 2023 Annual Meeting, proxies may be voted for a substitute nominee selected by the Board, or the Board may reduce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9060"/>
        <w:spacing w:after="0"/>
        <w:rPr>
          <w:sz w:val="20"/>
          <w:szCs w:val="20"/>
          <w:color w:val="auto"/>
        </w:rPr>
      </w:pPr>
      <w:r>
        <w:rPr>
          <w:rFonts w:ascii="Arial" w:cs="Arial" w:eastAsia="Arial" w:hAnsi="Arial"/>
          <w:sz w:val="15"/>
          <w:szCs w:val="15"/>
          <w:color w:val="auto"/>
        </w:rPr>
        <w:t>Proposal 1: Election of Directors</w:t>
      </w:r>
    </w:p>
    <w:p>
      <w:pPr>
        <w:spacing w:after="0" w:line="206"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Pursuant to Occidental’s By-laws, in an uncontested election, the affirmative vote of a majority of votes cast with respect to each director nominee will be required for the nominee to be elected, meaning that the number of votes cast “FOR” a director must exceed the number of votes cast “AGAINST” that director. Your broker will not vote your shares on this proposal unless you give voting instructions, and abstentions and broker non-votes have no effect on the vote. Any nominee for director who does not receive a greater number of votes “FOR” his or her election than votes “AGAINST” in an uncontested election must tender his or her resignation. Unless accepted earlier by the Board, such resignation will become effective on October 31 of the year of the election.</w:t>
      </w:r>
    </w:p>
    <w:p>
      <w:pPr>
        <w:spacing w:after="0" w:line="15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the Director Nominees</w:t>
      </w: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All of the nominees are currently directors of Occidental who were elected by shareholders at the 2022 Annual Meeting, except for Ms. O’Neill, who was appointed to the Board in January 2023, and Mr. Robinson, who was appointed to the Board in February 2023.</w:t>
      </w:r>
    </w:p>
    <w:p>
      <w:pPr>
        <w:spacing w:after="0" w:line="161"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Biographical information with respect to each of our Board’s director nominees, together with a list of the core competencies that contributed to the determination that such person should serve as a director, is presented below. An overview of the core competencies of each of our Board’s director nominees is featured in a skills matrix on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251585" cy="196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51585" cy="196850"/>
                    </a:xfrm>
                    <a:prstGeom prst="rect">
                      <a:avLst/>
                    </a:prstGeom>
                    <a:noFill/>
                  </pic:spPr>
                </pic:pic>
              </a:graphicData>
            </a:graphic>
          </wp:anchor>
        </w:drawing>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JACK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3094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094355"/>
                    </a:xfrm>
                    <a:prstGeom prst="rect">
                      <a:avLst/>
                    </a:prstGeom>
                    <a:noFill/>
                  </pic:spPr>
                </pic:pic>
              </a:graphicData>
            </a:graphic>
          </wp:anchor>
        </w:drawing>
      </w:r>
    </w:p>
    <w:p>
      <w:pPr>
        <w:spacing w:after="0" w:line="147"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left="2160" w:right="240"/>
        <w:spacing w:after="0" w:line="242" w:lineRule="auto"/>
        <w:rPr>
          <w:sz w:val="20"/>
          <w:szCs w:val="20"/>
          <w:color w:val="auto"/>
        </w:rPr>
      </w:pPr>
      <w:r>
        <w:rPr>
          <w:rFonts w:ascii="Arial" w:cs="Arial" w:eastAsia="Arial" w:hAnsi="Arial"/>
          <w:sz w:val="13"/>
          <w:szCs w:val="13"/>
          <w:color w:val="auto"/>
        </w:rPr>
        <w:t>Mr. Moore most recently served as President and Chief Executive Officer of Cameron International Corporation from April 2008 to October 2015 and served as Chairman of the Board of Cameron from May 2011 until it was acquired by Schlumberger in 2016. Mr. Moore served as Cameron’s President and Chief Operating Officer from January 2007 to April 2008. Mr. Moore joined Cameron in 1999 and, prior to that, held various management positions at Baker Hughes, where he was employed for over 20 years. Mr. Moore is a partner at Genesis Investments. He currently serves on the University of Houston System Board of Regents and actively serves in leadership positions with the American Heart Association. Mr. Moore is a graduate of the University of Houston with a B.B.A. degree and attended the Advanced Management Program at Harvard Business School.</w:t>
      </w:r>
    </w:p>
    <w:p>
      <w:pPr>
        <w:spacing w:after="0" w:line="231" w:lineRule="exact"/>
        <w:rPr>
          <w:sz w:val="20"/>
          <w:szCs w:val="20"/>
          <w:color w:val="auto"/>
        </w:rPr>
      </w:pPr>
    </w:p>
    <w:p>
      <w:pPr>
        <w:ind w:left="2160" w:right="320"/>
        <w:spacing w:after="0" w:line="281" w:lineRule="auto"/>
        <w:rPr>
          <w:sz w:val="20"/>
          <w:szCs w:val="20"/>
          <w:color w:val="auto"/>
        </w:rPr>
      </w:pPr>
      <w:r>
        <w:rPr>
          <w:rFonts w:ascii="Arial" w:cs="Arial" w:eastAsia="Arial" w:hAnsi="Arial"/>
          <w:sz w:val="13"/>
          <w:szCs w:val="13"/>
          <w:color w:val="auto"/>
        </w:rPr>
        <w:t>Before his election as our Independent Chairman in 2022, Mr. Moore served as Independent Vice Chairman from September 2019 until his election as Independent Chairman.</w:t>
      </w:r>
    </w:p>
    <w:p>
      <w:pPr>
        <w:sectPr>
          <w:pgSz w:w="11900" w:h="16838" w:orient="portrait"/>
          <w:cols w:equalWidth="0" w:num="1">
            <w:col w:w="11240"/>
          </w:cols>
          <w:pgMar w:left="320" w:top="130" w:right="339" w:bottom="1440" w:gutter="0" w:footer="0" w:header="0"/>
        </w:sectPr>
      </w:pPr>
    </w:p>
    <w:p>
      <w:pPr>
        <w:spacing w:after="0" w:line="16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INDEPENDENT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69</w:t>
      </w:r>
    </w:p>
    <w:p>
      <w:pPr>
        <w:ind w:left="200"/>
        <w:spacing w:after="0"/>
        <w:rPr>
          <w:sz w:val="20"/>
          <w:szCs w:val="20"/>
          <w:color w:val="auto"/>
        </w:rPr>
      </w:pPr>
      <w:r>
        <w:rPr>
          <w:rFonts w:ascii="Arial" w:cs="Arial" w:eastAsia="Arial" w:hAnsi="Arial"/>
          <w:sz w:val="13"/>
          <w:szCs w:val="13"/>
          <w:b w:val="1"/>
          <w:bCs w:val="1"/>
          <w:color w:val="00529B"/>
        </w:rPr>
        <w:t xml:space="preserve">Chairman Since: </w:t>
      </w:r>
      <w:r>
        <w:rPr>
          <w:rFonts w:ascii="Arial" w:cs="Arial" w:eastAsia="Arial" w:hAnsi="Arial"/>
          <w:sz w:val="13"/>
          <w:szCs w:val="13"/>
          <w:color w:val="000000"/>
        </w:rPr>
        <w:t>2022</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2016</w:t>
      </w:r>
    </w:p>
    <w:p>
      <w:pPr>
        <w:ind w:left="200"/>
        <w:spacing w:after="0"/>
        <w:rPr>
          <w:sz w:val="20"/>
          <w:szCs w:val="20"/>
          <w:color w:val="auto"/>
        </w:rPr>
      </w:pPr>
      <w:r>
        <w:rPr>
          <w:rFonts w:ascii="Arial" w:cs="Arial" w:eastAsia="Arial" w:hAnsi="Arial"/>
          <w:sz w:val="13"/>
          <w:szCs w:val="13"/>
          <w:b w:val="1"/>
          <w:bCs w:val="1"/>
          <w:color w:val="00529B"/>
        </w:rPr>
        <w:t>Board Committees:</w:t>
      </w:r>
    </w:p>
    <w:p>
      <w:pPr>
        <w:ind w:left="200" w:right="220"/>
        <w:spacing w:after="0" w:line="261" w:lineRule="auto"/>
        <w:rPr>
          <w:sz w:val="20"/>
          <w:szCs w:val="20"/>
          <w:color w:val="auto"/>
        </w:rPr>
      </w:pPr>
      <w:r>
        <w:rPr>
          <w:rFonts w:ascii="Arial" w:cs="Arial" w:eastAsia="Arial" w:hAnsi="Arial"/>
          <w:sz w:val="13"/>
          <w:szCs w:val="13"/>
          <w:color w:val="auto"/>
        </w:rPr>
        <w:t>Compensation (Chair); Governance</w:t>
      </w:r>
    </w:p>
    <w:p>
      <w:pPr>
        <w:spacing w:after="0" w:line="174" w:lineRule="exact"/>
        <w:rPr>
          <w:sz w:val="20"/>
          <w:szCs w:val="20"/>
          <w:color w:val="auto"/>
        </w:rPr>
      </w:pPr>
    </w:p>
    <w:p>
      <w:pPr>
        <w:ind w:left="200"/>
        <w:spacing w:after="0" w:line="249" w:lineRule="auto"/>
        <w:rPr>
          <w:sz w:val="20"/>
          <w:szCs w:val="20"/>
          <w:color w:val="auto"/>
        </w:rPr>
      </w:pPr>
      <w:r>
        <w:rPr>
          <w:rFonts w:ascii="Arial" w:cs="Arial" w:eastAsia="Arial" w:hAnsi="Arial"/>
          <w:sz w:val="13"/>
          <w:szCs w:val="13"/>
          <w:b w:val="1"/>
          <w:bCs w:val="1"/>
          <w:color w:val="00529B"/>
        </w:rPr>
        <w:t>Current Public Company Directorships:</w:t>
      </w:r>
    </w:p>
    <w:p>
      <w:pPr>
        <w:ind w:left="200"/>
        <w:spacing w:after="0"/>
        <w:rPr>
          <w:sz w:val="20"/>
          <w:szCs w:val="20"/>
          <w:color w:val="auto"/>
        </w:rPr>
      </w:pPr>
      <w:r>
        <w:rPr>
          <w:rFonts w:ascii="Arial" w:cs="Arial" w:eastAsia="Arial" w:hAnsi="Arial"/>
          <w:sz w:val="13"/>
          <w:szCs w:val="13"/>
          <w:color w:val="auto"/>
        </w:rPr>
        <w:t>KBR Inc.</w:t>
      </w:r>
    </w:p>
    <w:p>
      <w:pPr>
        <w:ind w:left="200"/>
        <w:spacing w:after="0"/>
        <w:rPr>
          <w:sz w:val="20"/>
          <w:szCs w:val="20"/>
          <w:color w:val="auto"/>
        </w:rPr>
      </w:pPr>
      <w:r>
        <w:rPr>
          <w:rFonts w:ascii="Arial" w:cs="Arial" w:eastAsia="Arial" w:hAnsi="Arial"/>
          <w:sz w:val="13"/>
          <w:szCs w:val="13"/>
          <w:color w:val="auto"/>
        </w:rPr>
        <w:t>ProPetro Holding Corp.</w:t>
      </w:r>
    </w:p>
    <w:p>
      <w:pPr>
        <w:spacing w:after="0" w:line="201" w:lineRule="exact"/>
        <w:rPr>
          <w:sz w:val="20"/>
          <w:szCs w:val="20"/>
          <w:color w:val="auto"/>
        </w:rPr>
      </w:pPr>
    </w:p>
    <w:p>
      <w:pPr>
        <w:ind w:left="200" w:right="20"/>
        <w:spacing w:after="0" w:line="249" w:lineRule="auto"/>
        <w:rPr>
          <w:sz w:val="20"/>
          <w:szCs w:val="20"/>
          <w:color w:val="auto"/>
        </w:rPr>
      </w:pPr>
      <w:r>
        <w:rPr>
          <w:rFonts w:ascii="Arial" w:cs="Arial" w:eastAsia="Arial" w:hAnsi="Arial"/>
          <w:sz w:val="13"/>
          <w:szCs w:val="13"/>
          <w:b w:val="1"/>
          <w:bCs w:val="1"/>
          <w:color w:val="00529B"/>
        </w:rPr>
        <w:t>Former Public Company Directorships</w:t>
      </w:r>
    </w:p>
    <w:p>
      <w:pPr>
        <w:ind w:left="200"/>
        <w:spacing w:after="0"/>
        <w:rPr>
          <w:sz w:val="20"/>
          <w:szCs w:val="20"/>
          <w:color w:val="auto"/>
        </w:rPr>
      </w:pPr>
      <w:r>
        <w:rPr>
          <w:rFonts w:ascii="Arial" w:cs="Arial" w:eastAsia="Arial" w:hAnsi="Arial"/>
          <w:sz w:val="13"/>
          <w:szCs w:val="13"/>
          <w:b w:val="1"/>
          <w:bCs w:val="1"/>
          <w:color w:val="00529B"/>
        </w:rPr>
        <w:t>(within the last 5 years):</w:t>
      </w:r>
    </w:p>
    <w:p>
      <w:pPr>
        <w:ind w:left="200"/>
        <w:spacing w:after="0"/>
        <w:rPr>
          <w:sz w:val="20"/>
          <w:szCs w:val="20"/>
          <w:color w:val="auto"/>
        </w:rPr>
      </w:pPr>
      <w:r>
        <w:rPr>
          <w:rFonts w:ascii="Arial" w:cs="Arial" w:eastAsia="Arial" w:hAnsi="Arial"/>
          <w:sz w:val="13"/>
          <w:szCs w:val="13"/>
          <w:color w:val="auto"/>
        </w:rPr>
        <w:t>Rowan Companies plc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Environmental,</w:t>
            </w:r>
          </w:p>
        </w:tc>
        <w:tc>
          <w:tcPr>
            <w:tcW w:w="1460" w:type="dxa"/>
            <w:vAlign w:val="bottom"/>
          </w:tcPr>
          <w:p>
            <w:pPr>
              <w:ind w:left="300"/>
              <w:spacing w:after="0"/>
              <w:rPr>
                <w:sz w:val="20"/>
                <w:szCs w:val="20"/>
                <w:color w:val="auto"/>
              </w:rPr>
            </w:pPr>
            <w:r>
              <w:rPr>
                <w:rFonts w:ascii="Arial" w:cs="Arial" w:eastAsia="Arial" w:hAnsi="Arial"/>
                <w:sz w:val="13"/>
                <w:szCs w:val="13"/>
                <w:color w:val="auto"/>
              </w:rPr>
              <w:t>Executive</w:t>
            </w:r>
          </w:p>
        </w:tc>
        <w:tc>
          <w:tcPr>
            <w:tcW w:w="1180" w:type="dxa"/>
            <w:vAlign w:val="bottom"/>
          </w:tcPr>
          <w:p>
            <w:pPr>
              <w:ind w:left="260"/>
              <w:spacing w:after="0"/>
              <w:rPr>
                <w:sz w:val="20"/>
                <w:szCs w:val="20"/>
                <w:color w:val="auto"/>
              </w:rPr>
            </w:pPr>
            <w:r>
              <w:rPr>
                <w:rFonts w:ascii="Arial" w:cs="Arial" w:eastAsia="Arial" w:hAnsi="Arial"/>
                <w:sz w:val="13"/>
                <w:szCs w:val="13"/>
                <w:color w:val="auto"/>
              </w:rPr>
              <w:t>Financial</w:t>
            </w:r>
          </w:p>
        </w:tc>
        <w:tc>
          <w:tcPr>
            <w:tcW w:w="1180" w:type="dxa"/>
            <w:vAlign w:val="bottom"/>
          </w:tcPr>
          <w:p>
            <w:pPr>
              <w:ind w:left="240"/>
              <w:spacing w:after="0"/>
              <w:rPr>
                <w:sz w:val="20"/>
                <w:szCs w:val="20"/>
                <w:color w:val="auto"/>
              </w:rPr>
            </w:pPr>
            <w:r>
              <w:rPr>
                <w:rFonts w:ascii="Arial" w:cs="Arial" w:eastAsia="Arial" w:hAnsi="Arial"/>
                <w:sz w:val="13"/>
                <w:szCs w:val="13"/>
                <w:color w:val="auto"/>
              </w:rPr>
              <w:t>Industry</w:t>
            </w:r>
          </w:p>
        </w:tc>
        <w:tc>
          <w:tcPr>
            <w:tcW w:w="1240" w:type="dxa"/>
            <w:vAlign w:val="bottom"/>
          </w:tcPr>
          <w:p>
            <w:pPr>
              <w:ind w:left="220"/>
              <w:spacing w:after="0"/>
              <w:rPr>
                <w:sz w:val="20"/>
                <w:szCs w:val="20"/>
                <w:color w:val="auto"/>
              </w:rPr>
            </w:pPr>
            <w:r>
              <w:rPr>
                <w:rFonts w:ascii="Arial" w:cs="Arial" w:eastAsia="Arial" w:hAnsi="Arial"/>
                <w:sz w:val="13"/>
                <w:szCs w:val="13"/>
                <w:color w:val="auto"/>
              </w:rPr>
              <w:t>International</w:t>
            </w:r>
          </w:p>
        </w:tc>
        <w:tc>
          <w:tcPr>
            <w:tcW w:w="1140" w:type="dxa"/>
            <w:vAlign w:val="bottom"/>
          </w:tcPr>
          <w:p>
            <w:pPr>
              <w:ind w:left="260"/>
              <w:spacing w:after="0"/>
              <w:rPr>
                <w:sz w:val="20"/>
                <w:szCs w:val="20"/>
                <w:color w:val="auto"/>
              </w:rPr>
            </w:pPr>
            <w:r>
              <w:rPr>
                <w:rFonts w:ascii="Arial" w:cs="Arial" w:eastAsia="Arial" w:hAnsi="Arial"/>
                <w:sz w:val="13"/>
                <w:szCs w:val="13"/>
                <w:color w:val="auto"/>
              </w:rPr>
              <w:t>Public</w:t>
            </w:r>
          </w:p>
        </w:tc>
        <w:tc>
          <w:tcPr>
            <w:tcW w:w="1000" w:type="dxa"/>
            <w:vAlign w:val="bottom"/>
          </w:tcPr>
          <w:p>
            <w:pPr>
              <w:ind w:left="220"/>
              <w:spacing w:after="0"/>
              <w:rPr>
                <w:sz w:val="20"/>
                <w:szCs w:val="20"/>
                <w:color w:val="auto"/>
              </w:rPr>
            </w:pPr>
            <w:r>
              <w:rPr>
                <w:rFonts w:ascii="Arial" w:cs="Arial" w:eastAsia="Arial" w:hAnsi="Arial"/>
                <w:sz w:val="13"/>
                <w:szCs w:val="13"/>
                <w:color w:val="auto"/>
              </w:rPr>
              <w:t>Risk</w:t>
            </w:r>
          </w:p>
        </w:tc>
      </w:tr>
      <w:tr>
        <w:trPr>
          <w:trHeight w:val="148"/>
        </w:trPr>
        <w:tc>
          <w:tcPr>
            <w:tcW w:w="1200" w:type="dxa"/>
            <w:vAlign w:val="bottom"/>
          </w:tcPr>
          <w:p>
            <w:pPr>
              <w:spacing w:after="0"/>
              <w:rPr>
                <w:sz w:val="20"/>
                <w:szCs w:val="20"/>
                <w:color w:val="auto"/>
              </w:rPr>
            </w:pPr>
            <w:r>
              <w:rPr>
                <w:rFonts w:ascii="Arial" w:cs="Arial" w:eastAsia="Arial" w:hAnsi="Arial"/>
                <w:sz w:val="13"/>
                <w:szCs w:val="13"/>
                <w:color w:val="auto"/>
              </w:rPr>
              <w:t>Health,</w:t>
            </w:r>
          </w:p>
        </w:tc>
        <w:tc>
          <w:tcPr>
            <w:tcW w:w="1460" w:type="dxa"/>
            <w:vAlign w:val="bottom"/>
          </w:tcPr>
          <w:p>
            <w:pPr>
              <w:ind w:left="300"/>
              <w:spacing w:after="0"/>
              <w:rPr>
                <w:sz w:val="20"/>
                <w:szCs w:val="20"/>
                <w:color w:val="auto"/>
              </w:rPr>
            </w:pPr>
            <w:r>
              <w:rPr>
                <w:rFonts w:ascii="Arial" w:cs="Arial" w:eastAsia="Arial" w:hAnsi="Arial"/>
                <w:sz w:val="13"/>
                <w:szCs w:val="13"/>
                <w:color w:val="auto"/>
              </w:rPr>
              <w:t>Compensation</w:t>
            </w:r>
          </w:p>
        </w:tc>
        <w:tc>
          <w:tcPr>
            <w:tcW w:w="1180" w:type="dxa"/>
            <w:vAlign w:val="bottom"/>
          </w:tcPr>
          <w:p>
            <w:pPr>
              <w:ind w:left="260"/>
              <w:spacing w:after="0"/>
              <w:rPr>
                <w:sz w:val="20"/>
                <w:szCs w:val="20"/>
                <w:color w:val="auto"/>
              </w:rPr>
            </w:pPr>
            <w:r>
              <w:rPr>
                <w:rFonts w:ascii="Arial" w:cs="Arial" w:eastAsia="Arial" w:hAnsi="Arial"/>
                <w:sz w:val="13"/>
                <w:szCs w:val="13"/>
                <w:color w:val="auto"/>
              </w:rPr>
              <w:t>Reporting/</w:t>
            </w:r>
          </w:p>
        </w:tc>
        <w:tc>
          <w:tcPr>
            <w:tcW w:w="1180" w:type="dxa"/>
            <w:vAlign w:val="bottom"/>
          </w:tcPr>
          <w:p>
            <w:pPr>
              <w:ind w:left="240"/>
              <w:spacing w:after="0"/>
              <w:rPr>
                <w:sz w:val="20"/>
                <w:szCs w:val="20"/>
                <w:color w:val="auto"/>
              </w:rPr>
            </w:pPr>
            <w:r>
              <w:rPr>
                <w:rFonts w:ascii="Arial" w:cs="Arial" w:eastAsia="Arial" w:hAnsi="Arial"/>
                <w:sz w:val="13"/>
                <w:szCs w:val="13"/>
                <w:color w:val="auto"/>
              </w:rPr>
              <w:t>Background</w:t>
            </w:r>
          </w:p>
        </w:tc>
        <w:tc>
          <w:tcPr>
            <w:tcW w:w="1240" w:type="dxa"/>
            <w:vAlign w:val="bottom"/>
          </w:tcPr>
          <w:p>
            <w:pPr>
              <w:ind w:left="220"/>
              <w:spacing w:after="0"/>
              <w:rPr>
                <w:sz w:val="20"/>
                <w:szCs w:val="20"/>
                <w:color w:val="auto"/>
              </w:rPr>
            </w:pPr>
            <w:r>
              <w:rPr>
                <w:rFonts w:ascii="Arial" w:cs="Arial" w:eastAsia="Arial" w:hAnsi="Arial"/>
                <w:sz w:val="13"/>
                <w:szCs w:val="13"/>
                <w:color w:val="auto"/>
              </w:rPr>
              <w:t>Experience</w:t>
            </w:r>
          </w:p>
        </w:tc>
        <w:tc>
          <w:tcPr>
            <w:tcW w:w="1140" w:type="dxa"/>
            <w:vAlign w:val="bottom"/>
          </w:tcPr>
          <w:p>
            <w:pPr>
              <w:ind w:left="260"/>
              <w:spacing w:after="0"/>
              <w:rPr>
                <w:sz w:val="20"/>
                <w:szCs w:val="20"/>
                <w:color w:val="auto"/>
              </w:rPr>
            </w:pPr>
            <w:r>
              <w:rPr>
                <w:rFonts w:ascii="Arial" w:cs="Arial" w:eastAsia="Arial" w:hAnsi="Arial"/>
                <w:sz w:val="13"/>
                <w:szCs w:val="13"/>
                <w:color w:val="auto"/>
              </w:rPr>
              <w:t>Company</w:t>
            </w:r>
          </w:p>
        </w:tc>
        <w:tc>
          <w:tcPr>
            <w:tcW w:w="1000" w:type="dxa"/>
            <w:vAlign w:val="bottom"/>
          </w:tcPr>
          <w:p>
            <w:pPr>
              <w:ind w:left="220"/>
              <w:spacing w:after="0"/>
              <w:rPr>
                <w:sz w:val="20"/>
                <w:szCs w:val="20"/>
                <w:color w:val="auto"/>
              </w:rPr>
            </w:pPr>
            <w:r>
              <w:rPr>
                <w:rFonts w:ascii="Arial" w:cs="Arial" w:eastAsia="Arial" w:hAnsi="Arial"/>
                <w:sz w:val="13"/>
                <w:szCs w:val="13"/>
                <w:color w:val="auto"/>
              </w:rPr>
              <w:t>Management</w:t>
            </w: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Safety &amp;</w:t>
            </w:r>
          </w:p>
        </w:tc>
        <w:tc>
          <w:tcPr>
            <w:tcW w:w="1460" w:type="dxa"/>
            <w:vAlign w:val="bottom"/>
          </w:tcPr>
          <w:p>
            <w:pPr>
              <w:spacing w:after="0"/>
              <w:rPr>
                <w:sz w:val="12"/>
                <w:szCs w:val="12"/>
                <w:color w:val="auto"/>
              </w:rPr>
            </w:pPr>
          </w:p>
        </w:tc>
        <w:tc>
          <w:tcPr>
            <w:tcW w:w="1180" w:type="dxa"/>
            <w:vAlign w:val="bottom"/>
          </w:tcPr>
          <w:p>
            <w:pPr>
              <w:ind w:left="260"/>
              <w:spacing w:after="0"/>
              <w:rPr>
                <w:sz w:val="20"/>
                <w:szCs w:val="20"/>
                <w:color w:val="auto"/>
              </w:rPr>
            </w:pPr>
            <w:r>
              <w:rPr>
                <w:rFonts w:ascii="Arial" w:cs="Arial" w:eastAsia="Arial" w:hAnsi="Arial"/>
                <w:sz w:val="13"/>
                <w:szCs w:val="13"/>
                <w:color w:val="auto"/>
              </w:rPr>
              <w:t>Accounting</w:t>
            </w: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ind w:left="260"/>
              <w:spacing w:after="0"/>
              <w:rPr>
                <w:sz w:val="20"/>
                <w:szCs w:val="20"/>
                <w:color w:val="auto"/>
              </w:rPr>
            </w:pPr>
            <w:r>
              <w:rPr>
                <w:rFonts w:ascii="Arial" w:cs="Arial" w:eastAsia="Arial" w:hAnsi="Arial"/>
                <w:sz w:val="13"/>
                <w:szCs w:val="13"/>
                <w:color w:val="auto"/>
              </w:rPr>
              <w:t>Executive</w:t>
            </w:r>
          </w:p>
        </w:tc>
        <w:tc>
          <w:tcPr>
            <w:tcW w:w="1000" w:type="dxa"/>
            <w:vAlign w:val="bottom"/>
          </w:tcPr>
          <w:p>
            <w:pPr>
              <w:spacing w:after="0"/>
              <w:rPr>
                <w:sz w:val="12"/>
                <w:szCs w:val="12"/>
                <w:color w:val="auto"/>
              </w:rPr>
            </w:pPr>
          </w:p>
        </w:tc>
      </w:tr>
      <w:tr>
        <w:trPr>
          <w:trHeight w:val="176"/>
        </w:trPr>
        <w:tc>
          <w:tcPr>
            <w:tcW w:w="1200" w:type="dxa"/>
            <w:vAlign w:val="bottom"/>
          </w:tcPr>
          <w:p>
            <w:pPr>
              <w:spacing w:after="0"/>
              <w:rPr>
                <w:sz w:val="20"/>
                <w:szCs w:val="20"/>
                <w:color w:val="auto"/>
              </w:rPr>
            </w:pPr>
            <w:r>
              <w:rPr>
                <w:rFonts w:ascii="Arial" w:cs="Arial" w:eastAsia="Arial" w:hAnsi="Arial"/>
                <w:sz w:val="13"/>
                <w:szCs w:val="13"/>
                <w:color w:val="auto"/>
              </w:rPr>
              <w:t>Sustainability</w:t>
            </w:r>
          </w:p>
        </w:tc>
        <w:tc>
          <w:tcPr>
            <w:tcW w:w="14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3"/>
                <w:szCs w:val="13"/>
                <w:color w:val="auto"/>
              </w:rPr>
              <w:t>Experience</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ind w:left="260"/>
              <w:spacing w:after="0"/>
              <w:rPr>
                <w:sz w:val="20"/>
                <w:szCs w:val="20"/>
                <w:color w:val="auto"/>
              </w:rPr>
            </w:pPr>
            <w:r>
              <w:rPr>
                <w:rFonts w:ascii="Arial" w:cs="Arial" w:eastAsia="Arial" w:hAnsi="Arial"/>
                <w:sz w:val="13"/>
                <w:szCs w:val="13"/>
                <w:color w:val="auto"/>
              </w:rPr>
              <w:t>Experience</w:t>
            </w:r>
          </w:p>
        </w:tc>
        <w:tc>
          <w:tcPr>
            <w:tcW w:w="1000" w:type="dxa"/>
            <w:vAlign w:val="bottom"/>
          </w:tcPr>
          <w:p>
            <w:pPr>
              <w:spacing w:after="0"/>
              <w:rPr>
                <w:sz w:val="15"/>
                <w:szCs w:val="15"/>
                <w:color w:val="auto"/>
              </w:rPr>
            </w:pPr>
          </w:p>
        </w:tc>
      </w:tr>
    </w:tbl>
    <w:p>
      <w:pPr>
        <w:spacing w:after="0" w:line="1346" w:lineRule="exact"/>
        <w:rPr>
          <w:sz w:val="20"/>
          <w:szCs w:val="20"/>
          <w:color w:val="auto"/>
        </w:rPr>
      </w:pPr>
    </w:p>
    <w:p>
      <w:pPr>
        <w:sectPr>
          <w:pgSz w:w="11900" w:h="16838" w:orient="portrait"/>
          <w:cols w:equalWidth="0" w:num="2">
            <w:col w:w="1780" w:space="380"/>
            <w:col w:w="9080"/>
          </w:cols>
          <w:pgMar w:left="320" w:top="130" w:right="339"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251585"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51585" cy="196850"/>
                    </a:xfrm>
                    <a:prstGeom prst="rect">
                      <a:avLst/>
                    </a:prstGeom>
                    <a:noFill/>
                  </pic:spPr>
                </pic:pic>
              </a:graphicData>
            </a:graphic>
          </wp:anchor>
        </w:drawing>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VICKY A.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3206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INDEPENDENT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70</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2022</w:t>
      </w:r>
    </w:p>
    <w:p>
      <w:pPr>
        <w:ind w:left="200"/>
        <w:spacing w:after="0"/>
        <w:rPr>
          <w:sz w:val="20"/>
          <w:szCs w:val="20"/>
          <w:color w:val="auto"/>
        </w:rPr>
      </w:pPr>
      <w:r>
        <w:rPr>
          <w:rFonts w:ascii="Arial" w:cs="Arial" w:eastAsia="Arial" w:hAnsi="Arial"/>
          <w:sz w:val="13"/>
          <w:szCs w:val="13"/>
          <w:b w:val="1"/>
          <w:bCs w:val="1"/>
          <w:color w:val="00529B"/>
        </w:rPr>
        <w:t>Board Committees:</w:t>
      </w:r>
    </w:p>
    <w:p>
      <w:pPr>
        <w:ind w:left="200"/>
        <w:spacing w:after="0"/>
        <w:rPr>
          <w:sz w:val="20"/>
          <w:szCs w:val="20"/>
          <w:color w:val="auto"/>
        </w:rPr>
      </w:pPr>
      <w:r>
        <w:rPr>
          <w:rFonts w:ascii="Arial" w:cs="Arial" w:eastAsia="Arial" w:hAnsi="Arial"/>
          <w:sz w:val="13"/>
          <w:szCs w:val="13"/>
          <w:color w:val="auto"/>
        </w:rPr>
        <w:t>Governance; Sustainability</w:t>
      </w:r>
    </w:p>
    <w:p>
      <w:pPr>
        <w:spacing w:after="0" w:line="201" w:lineRule="exact"/>
        <w:rPr>
          <w:sz w:val="20"/>
          <w:szCs w:val="20"/>
          <w:color w:val="auto"/>
        </w:rPr>
      </w:pPr>
    </w:p>
    <w:p>
      <w:pPr>
        <w:ind w:left="200" w:right="20"/>
        <w:spacing w:after="0" w:line="249" w:lineRule="auto"/>
        <w:rPr>
          <w:sz w:val="20"/>
          <w:szCs w:val="20"/>
          <w:color w:val="auto"/>
        </w:rPr>
      </w:pPr>
      <w:r>
        <w:rPr>
          <w:rFonts w:ascii="Arial" w:cs="Arial" w:eastAsia="Arial" w:hAnsi="Arial"/>
          <w:sz w:val="13"/>
          <w:szCs w:val="13"/>
          <w:b w:val="1"/>
          <w:bCs w:val="1"/>
          <w:color w:val="00529B"/>
        </w:rPr>
        <w:t>Current Public Company Directorships:</w:t>
      </w:r>
    </w:p>
    <w:p>
      <w:pPr>
        <w:ind w:left="200"/>
        <w:spacing w:after="0"/>
        <w:rPr>
          <w:sz w:val="20"/>
          <w:szCs w:val="20"/>
          <w:color w:val="auto"/>
        </w:rPr>
      </w:pPr>
      <w:r>
        <w:rPr>
          <w:rFonts w:ascii="Arial" w:cs="Arial" w:eastAsia="Arial" w:hAnsi="Arial"/>
          <w:sz w:val="13"/>
          <w:szCs w:val="13"/>
          <w:color w:val="auto"/>
        </w:rPr>
        <w:t>Cheniere Energy, Inc.</w:t>
      </w:r>
    </w:p>
    <w:p>
      <w:pPr>
        <w:ind w:left="200"/>
        <w:spacing w:after="0"/>
        <w:rPr>
          <w:sz w:val="20"/>
          <w:szCs w:val="20"/>
          <w:color w:val="auto"/>
        </w:rPr>
      </w:pPr>
      <w:r>
        <w:rPr>
          <w:rFonts w:ascii="Arial" w:cs="Arial" w:eastAsia="Arial" w:hAnsi="Arial"/>
          <w:sz w:val="13"/>
          <w:szCs w:val="13"/>
          <w:color w:val="auto"/>
        </w:rPr>
        <w:t>Equitrans Midstream</w:t>
      </w:r>
    </w:p>
    <w:p>
      <w:pPr>
        <w:ind w:left="200"/>
        <w:spacing w:after="0"/>
        <w:rPr>
          <w:sz w:val="20"/>
          <w:szCs w:val="20"/>
          <w:color w:val="auto"/>
        </w:rPr>
      </w:pPr>
      <w:r>
        <w:rPr>
          <w:rFonts w:ascii="Arial" w:cs="Arial" w:eastAsia="Arial" w:hAnsi="Arial"/>
          <w:sz w:val="13"/>
          <w:szCs w:val="13"/>
          <w:color w:val="auto"/>
        </w:rPr>
        <w:t>Corporation</w:t>
      </w:r>
    </w:p>
    <w:p>
      <w:pPr>
        <w:ind w:left="200"/>
        <w:spacing w:after="0"/>
        <w:rPr>
          <w:sz w:val="20"/>
          <w:szCs w:val="20"/>
          <w:color w:val="auto"/>
        </w:rPr>
      </w:pPr>
      <w:r>
        <w:rPr>
          <w:rFonts w:ascii="Arial" w:cs="Arial" w:eastAsia="Arial" w:hAnsi="Arial"/>
          <w:sz w:val="13"/>
          <w:szCs w:val="13"/>
          <w:color w:val="auto"/>
        </w:rPr>
        <w:t>PNM Resources, Inc.</w:t>
      </w:r>
    </w:p>
    <w:p>
      <w:pPr>
        <w:spacing w:after="0" w:line="134" w:lineRule="exact"/>
        <w:rPr>
          <w:sz w:val="20"/>
          <w:szCs w:val="20"/>
          <w:color w:val="auto"/>
        </w:rPr>
      </w:pPr>
    </w:p>
    <w:p>
      <w:pPr>
        <w:ind w:left="200" w:right="40"/>
        <w:spacing w:after="0" w:line="249" w:lineRule="auto"/>
        <w:rPr>
          <w:sz w:val="20"/>
          <w:szCs w:val="20"/>
          <w:color w:val="auto"/>
        </w:rPr>
      </w:pPr>
      <w:r>
        <w:rPr>
          <w:rFonts w:ascii="Arial" w:cs="Arial" w:eastAsia="Arial" w:hAnsi="Arial"/>
          <w:sz w:val="13"/>
          <w:szCs w:val="13"/>
          <w:b w:val="1"/>
          <w:bCs w:val="1"/>
          <w:color w:val="00529B"/>
        </w:rPr>
        <w:t>Former Public Company Directorships</w:t>
      </w:r>
    </w:p>
    <w:p>
      <w:pPr>
        <w:ind w:left="200"/>
        <w:spacing w:after="0"/>
        <w:rPr>
          <w:sz w:val="20"/>
          <w:szCs w:val="20"/>
          <w:color w:val="auto"/>
        </w:rPr>
      </w:pPr>
      <w:r>
        <w:rPr>
          <w:rFonts w:ascii="Arial" w:cs="Arial" w:eastAsia="Arial" w:hAnsi="Arial"/>
          <w:sz w:val="13"/>
          <w:szCs w:val="13"/>
          <w:b w:val="1"/>
          <w:bCs w:val="1"/>
          <w:color w:val="00529B"/>
        </w:rPr>
        <w:t>(within the last 5 years):</w:t>
      </w:r>
    </w:p>
    <w:p>
      <w:pPr>
        <w:ind w:left="200"/>
        <w:spacing w:after="0"/>
        <w:rPr>
          <w:sz w:val="20"/>
          <w:szCs w:val="20"/>
          <w:color w:val="auto"/>
        </w:rPr>
      </w:pPr>
      <w:r>
        <w:rPr>
          <w:rFonts w:ascii="Arial" w:cs="Arial" w:eastAsia="Arial" w:hAnsi="Arial"/>
          <w:sz w:val="13"/>
          <w:szCs w:val="13"/>
          <w:color w:val="auto"/>
        </w:rPr>
        <w:t>EQT Corporation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Ms. Bailey has been President of Anderson Stratton International, LLC. (ASI), a strategic consulting and government relations entity, since November 2005 and is a former equity partner of BHMM Energy Services, LLC (2006-2013), a certified minority-owned energy facility management company contracted to manage the Central Energy Plant at the Indianapolis Airport Midfield Terminal Complex. Before being President of ASI, Ms. Bailey was a partner with Bennett Johnston &amp; Associates, LLC, a public relations firm in Washington, D.C. (2004-2006). Ms. Bailey served as Assistant Secretary, U.S. Department of Energy for both Domestic Policy and International Affairs from 2001 to 2004. In the aftermath of September 11th, she was co-chair of several bilateral international energy working groups with the goal of implementing our national energy policy and strengthening our relationships with other nations to foster energy security. Also, in this role, she served as Vice Chair and the U.S. representative to the IEA, working with all energy-producing nations. Notably the International Energy Forum (IEF) was established in Riyadh, Saudi Arabia during her time as Assistant Secretary. Domestically, Ms. Bailey oversaw the development and implementation of energy policy in the areas of clean coal technologies, nuclear power, crude oil production, natural gas development and LNG production. Previously, she was the President of PSI Energy, Inc., Indiana’s largest electric utility and a subsidiary of Cinergy Corp. (now Duke Energy). From 1993 to 2000, she was appointed as a Commissioner, Federal Energy Regulatory Commission (FERC), and from 1986 to 1993, she served as a Commissioner, Indiana Utility Regulatory Commission (IURC). Ms. Bailey was a trustee of the North American Electric Reliability Corporation (NERC) from 2010 to 2013, the not-for-profit international regulatory authority whose mission is to assure the effective and efficient reduction of risks to the reliability and security of the transmission grid. In addition to her public company board service, Ms. Bailey serves as a director of Battelle Memorial Institute, a private nonprofit applied science, technology and research organization that has a management role at several of the U.S. national laboratories. Her other not-for-profit board service include Executive Chair, United States Energy Association (USEA), a trustee of The Conference Board (TCB), Resources for the Future (RFF), member National Petroleum Council, American Association of Blacks in Energy (AABE), National Academies Board on Energy and Environmental Systems and the Girl Scout Council of the Nation’s Capital. Ms. Bailey has a Bachelor of Science in Industrial Management from the Krannert School of Management at Purdue University and completed the Advanced Management Program at the Wharton School of the University of Pennsylvania.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Arial" w:cs="Arial" w:eastAsia="Arial" w:hAnsi="Arial"/>
                <w:sz w:val="13"/>
                <w:szCs w:val="13"/>
                <w:color w:val="auto"/>
              </w:rPr>
              <w:t>Corporate</w:t>
            </w:r>
          </w:p>
        </w:tc>
        <w:tc>
          <w:tcPr>
            <w:tcW w:w="1480" w:type="dxa"/>
            <w:vAlign w:val="bottom"/>
          </w:tcPr>
          <w:p>
            <w:pPr>
              <w:ind w:left="240"/>
              <w:spacing w:after="0"/>
              <w:rPr>
                <w:sz w:val="20"/>
                <w:szCs w:val="20"/>
                <w:color w:val="auto"/>
              </w:rPr>
            </w:pPr>
            <w:r>
              <w:rPr>
                <w:rFonts w:ascii="Arial" w:cs="Arial" w:eastAsia="Arial" w:hAnsi="Arial"/>
                <w:sz w:val="13"/>
                <w:szCs w:val="13"/>
                <w:color w:val="auto"/>
              </w:rPr>
              <w:t>Environmental,</w:t>
            </w:r>
          </w:p>
        </w:tc>
        <w:tc>
          <w:tcPr>
            <w:tcW w:w="1240" w:type="dxa"/>
            <w:vAlign w:val="bottom"/>
          </w:tcPr>
          <w:p>
            <w:pPr>
              <w:ind w:left="320"/>
              <w:spacing w:after="0"/>
              <w:rPr>
                <w:sz w:val="20"/>
                <w:szCs w:val="20"/>
                <w:color w:val="auto"/>
              </w:rPr>
            </w:pPr>
            <w:r>
              <w:rPr>
                <w:rFonts w:ascii="Arial" w:cs="Arial" w:eastAsia="Arial" w:hAnsi="Arial"/>
                <w:sz w:val="13"/>
                <w:szCs w:val="13"/>
                <w:color w:val="auto"/>
              </w:rPr>
              <w:t>Financial</w:t>
            </w:r>
          </w:p>
        </w:tc>
        <w:tc>
          <w:tcPr>
            <w:tcW w:w="1320" w:type="dxa"/>
            <w:vAlign w:val="bottom"/>
          </w:tcPr>
          <w:p>
            <w:pPr>
              <w:ind w:left="260"/>
              <w:spacing w:after="0"/>
              <w:rPr>
                <w:sz w:val="20"/>
                <w:szCs w:val="20"/>
                <w:color w:val="auto"/>
              </w:rPr>
            </w:pPr>
            <w:r>
              <w:rPr>
                <w:rFonts w:ascii="Arial" w:cs="Arial" w:eastAsia="Arial" w:hAnsi="Arial"/>
                <w:sz w:val="13"/>
                <w:szCs w:val="13"/>
                <w:color w:val="auto"/>
              </w:rPr>
              <w:t>Government,</w:t>
            </w:r>
          </w:p>
        </w:tc>
        <w:tc>
          <w:tcPr>
            <w:tcW w:w="1240" w:type="dxa"/>
            <w:vAlign w:val="bottom"/>
          </w:tcPr>
          <w:p>
            <w:pPr>
              <w:ind w:left="280"/>
              <w:spacing w:after="0"/>
              <w:rPr>
                <w:sz w:val="20"/>
                <w:szCs w:val="20"/>
                <w:color w:val="auto"/>
              </w:rPr>
            </w:pPr>
            <w:r>
              <w:rPr>
                <w:rFonts w:ascii="Arial" w:cs="Arial" w:eastAsia="Arial" w:hAnsi="Arial"/>
                <w:sz w:val="13"/>
                <w:szCs w:val="13"/>
                <w:color w:val="auto"/>
              </w:rPr>
              <w:t>Industry</w:t>
            </w:r>
          </w:p>
        </w:tc>
        <w:tc>
          <w:tcPr>
            <w:tcW w:w="1260" w:type="dxa"/>
            <w:vAlign w:val="bottom"/>
          </w:tcPr>
          <w:p>
            <w:pPr>
              <w:ind w:left="240"/>
              <w:spacing w:after="0"/>
              <w:rPr>
                <w:sz w:val="20"/>
                <w:szCs w:val="20"/>
                <w:color w:val="auto"/>
              </w:rPr>
            </w:pPr>
            <w:r>
              <w:rPr>
                <w:rFonts w:ascii="Arial" w:cs="Arial" w:eastAsia="Arial" w:hAnsi="Arial"/>
                <w:sz w:val="13"/>
                <w:szCs w:val="13"/>
                <w:color w:val="auto"/>
              </w:rPr>
              <w:t>International</w:t>
            </w:r>
          </w:p>
        </w:tc>
        <w:tc>
          <w:tcPr>
            <w:tcW w:w="960" w:type="dxa"/>
            <w:vAlign w:val="bottom"/>
          </w:tcPr>
          <w:p>
            <w:pPr>
              <w:ind w:left="280"/>
              <w:spacing w:after="0"/>
              <w:rPr>
                <w:sz w:val="20"/>
                <w:szCs w:val="20"/>
                <w:color w:val="auto"/>
              </w:rPr>
            </w:pPr>
            <w:r>
              <w:rPr>
                <w:rFonts w:ascii="Arial" w:cs="Arial" w:eastAsia="Arial" w:hAnsi="Arial"/>
                <w:sz w:val="13"/>
                <w:szCs w:val="13"/>
                <w:color w:val="auto"/>
              </w:rPr>
              <w:t>Public</w:t>
            </w:r>
          </w:p>
        </w:tc>
      </w:tr>
      <w:tr>
        <w:trPr>
          <w:trHeight w:val="149"/>
        </w:trPr>
        <w:tc>
          <w:tcPr>
            <w:tcW w:w="960" w:type="dxa"/>
            <w:vAlign w:val="bottom"/>
          </w:tcPr>
          <w:p>
            <w:pPr>
              <w:spacing w:after="0"/>
              <w:rPr>
                <w:sz w:val="20"/>
                <w:szCs w:val="20"/>
                <w:color w:val="auto"/>
              </w:rPr>
            </w:pPr>
            <w:r>
              <w:rPr>
                <w:rFonts w:ascii="Arial" w:cs="Arial" w:eastAsia="Arial" w:hAnsi="Arial"/>
                <w:sz w:val="13"/>
                <w:szCs w:val="13"/>
                <w:color w:val="auto"/>
              </w:rPr>
              <w:t>Governance</w:t>
            </w:r>
          </w:p>
        </w:tc>
        <w:tc>
          <w:tcPr>
            <w:tcW w:w="1480" w:type="dxa"/>
            <w:vAlign w:val="bottom"/>
          </w:tcPr>
          <w:p>
            <w:pPr>
              <w:ind w:left="240"/>
              <w:spacing w:after="0"/>
              <w:rPr>
                <w:sz w:val="20"/>
                <w:szCs w:val="20"/>
                <w:color w:val="auto"/>
              </w:rPr>
            </w:pPr>
            <w:r>
              <w:rPr>
                <w:rFonts w:ascii="Arial" w:cs="Arial" w:eastAsia="Arial" w:hAnsi="Arial"/>
                <w:sz w:val="13"/>
                <w:szCs w:val="13"/>
                <w:color w:val="auto"/>
              </w:rPr>
              <w:t>Health,</w:t>
            </w:r>
          </w:p>
        </w:tc>
        <w:tc>
          <w:tcPr>
            <w:tcW w:w="1240" w:type="dxa"/>
            <w:vAlign w:val="bottom"/>
          </w:tcPr>
          <w:p>
            <w:pPr>
              <w:ind w:left="320"/>
              <w:spacing w:after="0"/>
              <w:rPr>
                <w:sz w:val="20"/>
                <w:szCs w:val="20"/>
                <w:color w:val="auto"/>
              </w:rPr>
            </w:pPr>
            <w:r>
              <w:rPr>
                <w:rFonts w:ascii="Arial" w:cs="Arial" w:eastAsia="Arial" w:hAnsi="Arial"/>
                <w:sz w:val="13"/>
                <w:szCs w:val="13"/>
                <w:color w:val="auto"/>
              </w:rPr>
              <w:t>Reporting/</w:t>
            </w:r>
          </w:p>
        </w:tc>
        <w:tc>
          <w:tcPr>
            <w:tcW w:w="1320" w:type="dxa"/>
            <w:vAlign w:val="bottom"/>
          </w:tcPr>
          <w:p>
            <w:pPr>
              <w:ind w:left="260"/>
              <w:spacing w:after="0"/>
              <w:rPr>
                <w:sz w:val="20"/>
                <w:szCs w:val="20"/>
                <w:color w:val="auto"/>
              </w:rPr>
            </w:pPr>
            <w:r>
              <w:rPr>
                <w:rFonts w:ascii="Arial" w:cs="Arial" w:eastAsia="Arial" w:hAnsi="Arial"/>
                <w:sz w:val="13"/>
                <w:szCs w:val="13"/>
                <w:color w:val="auto"/>
              </w:rPr>
              <w:t>Legal &amp;</w:t>
            </w:r>
          </w:p>
        </w:tc>
        <w:tc>
          <w:tcPr>
            <w:tcW w:w="1240" w:type="dxa"/>
            <w:vAlign w:val="bottom"/>
          </w:tcPr>
          <w:p>
            <w:pPr>
              <w:ind w:left="280"/>
              <w:spacing w:after="0"/>
              <w:rPr>
                <w:sz w:val="20"/>
                <w:szCs w:val="20"/>
                <w:color w:val="auto"/>
              </w:rPr>
            </w:pPr>
            <w:r>
              <w:rPr>
                <w:rFonts w:ascii="Arial" w:cs="Arial" w:eastAsia="Arial" w:hAnsi="Arial"/>
                <w:sz w:val="13"/>
                <w:szCs w:val="13"/>
                <w:color w:val="auto"/>
              </w:rPr>
              <w:t>Background</w:t>
            </w:r>
          </w:p>
        </w:tc>
        <w:tc>
          <w:tcPr>
            <w:tcW w:w="1260" w:type="dxa"/>
            <w:vAlign w:val="bottom"/>
          </w:tcPr>
          <w:p>
            <w:pPr>
              <w:ind w:left="240"/>
              <w:spacing w:after="0"/>
              <w:rPr>
                <w:sz w:val="20"/>
                <w:szCs w:val="20"/>
                <w:color w:val="auto"/>
              </w:rPr>
            </w:pPr>
            <w:r>
              <w:rPr>
                <w:rFonts w:ascii="Arial" w:cs="Arial" w:eastAsia="Arial" w:hAnsi="Arial"/>
                <w:sz w:val="13"/>
                <w:szCs w:val="13"/>
                <w:color w:val="auto"/>
              </w:rPr>
              <w:t>Experience</w:t>
            </w:r>
          </w:p>
        </w:tc>
        <w:tc>
          <w:tcPr>
            <w:tcW w:w="960" w:type="dxa"/>
            <w:vAlign w:val="bottom"/>
          </w:tcPr>
          <w:p>
            <w:pPr>
              <w:ind w:left="280"/>
              <w:spacing w:after="0"/>
              <w:rPr>
                <w:sz w:val="20"/>
                <w:szCs w:val="20"/>
                <w:color w:val="auto"/>
              </w:rPr>
            </w:pPr>
            <w:r>
              <w:rPr>
                <w:rFonts w:ascii="Arial" w:cs="Arial" w:eastAsia="Arial" w:hAnsi="Arial"/>
                <w:sz w:val="13"/>
                <w:szCs w:val="13"/>
                <w:color w:val="auto"/>
              </w:rPr>
              <w:t>Company</w:t>
            </w:r>
          </w:p>
        </w:tc>
      </w:tr>
      <w:tr>
        <w:trPr>
          <w:trHeight w:val="148"/>
        </w:trPr>
        <w:tc>
          <w:tcPr>
            <w:tcW w:w="960" w:type="dxa"/>
            <w:vAlign w:val="bottom"/>
          </w:tcPr>
          <w:p>
            <w:pPr>
              <w:spacing w:after="0"/>
              <w:rPr>
                <w:sz w:val="12"/>
                <w:szCs w:val="12"/>
                <w:color w:val="auto"/>
              </w:rPr>
            </w:pPr>
          </w:p>
        </w:tc>
        <w:tc>
          <w:tcPr>
            <w:tcW w:w="1480" w:type="dxa"/>
            <w:vAlign w:val="bottom"/>
          </w:tcPr>
          <w:p>
            <w:pPr>
              <w:ind w:left="240"/>
              <w:spacing w:after="0"/>
              <w:rPr>
                <w:sz w:val="20"/>
                <w:szCs w:val="20"/>
                <w:color w:val="auto"/>
              </w:rPr>
            </w:pPr>
            <w:r>
              <w:rPr>
                <w:rFonts w:ascii="Arial" w:cs="Arial" w:eastAsia="Arial" w:hAnsi="Arial"/>
                <w:sz w:val="13"/>
                <w:szCs w:val="13"/>
                <w:color w:val="auto"/>
              </w:rPr>
              <w:t>Safety &amp;</w:t>
            </w:r>
          </w:p>
        </w:tc>
        <w:tc>
          <w:tcPr>
            <w:tcW w:w="1240" w:type="dxa"/>
            <w:vAlign w:val="bottom"/>
          </w:tcPr>
          <w:p>
            <w:pPr>
              <w:ind w:left="320"/>
              <w:spacing w:after="0"/>
              <w:rPr>
                <w:sz w:val="20"/>
                <w:szCs w:val="20"/>
                <w:color w:val="auto"/>
              </w:rPr>
            </w:pPr>
            <w:r>
              <w:rPr>
                <w:rFonts w:ascii="Arial" w:cs="Arial" w:eastAsia="Arial" w:hAnsi="Arial"/>
                <w:sz w:val="13"/>
                <w:szCs w:val="13"/>
                <w:color w:val="auto"/>
              </w:rPr>
              <w:t>Accounting</w:t>
            </w:r>
          </w:p>
        </w:tc>
        <w:tc>
          <w:tcPr>
            <w:tcW w:w="1320" w:type="dxa"/>
            <w:vAlign w:val="bottom"/>
          </w:tcPr>
          <w:p>
            <w:pPr>
              <w:ind w:left="260"/>
              <w:spacing w:after="0"/>
              <w:rPr>
                <w:sz w:val="20"/>
                <w:szCs w:val="20"/>
                <w:color w:val="auto"/>
              </w:rPr>
            </w:pPr>
            <w:r>
              <w:rPr>
                <w:rFonts w:ascii="Arial" w:cs="Arial" w:eastAsia="Arial" w:hAnsi="Arial"/>
                <w:sz w:val="13"/>
                <w:szCs w:val="13"/>
                <w:color w:val="auto"/>
              </w:rPr>
              <w:t>Regulatory</w:t>
            </w: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ind w:left="280"/>
              <w:spacing w:after="0"/>
              <w:rPr>
                <w:sz w:val="20"/>
                <w:szCs w:val="20"/>
                <w:color w:val="auto"/>
              </w:rPr>
            </w:pPr>
            <w:r>
              <w:rPr>
                <w:rFonts w:ascii="Arial" w:cs="Arial" w:eastAsia="Arial" w:hAnsi="Arial"/>
                <w:sz w:val="13"/>
                <w:szCs w:val="13"/>
                <w:color w:val="auto"/>
              </w:rPr>
              <w:t>Executive</w:t>
            </w:r>
          </w:p>
        </w:tc>
      </w:tr>
      <w:tr>
        <w:trPr>
          <w:trHeight w:val="176"/>
        </w:trPr>
        <w:tc>
          <w:tcPr>
            <w:tcW w:w="960" w:type="dxa"/>
            <w:vAlign w:val="bottom"/>
          </w:tcPr>
          <w:p>
            <w:pPr>
              <w:spacing w:after="0"/>
              <w:rPr>
                <w:sz w:val="15"/>
                <w:szCs w:val="15"/>
                <w:color w:val="auto"/>
              </w:rPr>
            </w:pPr>
          </w:p>
        </w:tc>
        <w:tc>
          <w:tcPr>
            <w:tcW w:w="1480" w:type="dxa"/>
            <w:vAlign w:val="bottom"/>
          </w:tcPr>
          <w:p>
            <w:pPr>
              <w:ind w:left="240"/>
              <w:spacing w:after="0"/>
              <w:rPr>
                <w:sz w:val="20"/>
                <w:szCs w:val="20"/>
                <w:color w:val="auto"/>
              </w:rPr>
            </w:pPr>
            <w:r>
              <w:rPr>
                <w:rFonts w:ascii="Arial" w:cs="Arial" w:eastAsia="Arial" w:hAnsi="Arial"/>
                <w:sz w:val="13"/>
                <w:szCs w:val="13"/>
                <w:color w:val="auto"/>
              </w:rPr>
              <w:t>Sustainability</w:t>
            </w:r>
          </w:p>
        </w:tc>
        <w:tc>
          <w:tcPr>
            <w:tcW w:w="1240" w:type="dxa"/>
            <w:vAlign w:val="bottom"/>
          </w:tcPr>
          <w:p>
            <w:pPr>
              <w:ind w:left="320"/>
              <w:spacing w:after="0"/>
              <w:rPr>
                <w:sz w:val="20"/>
                <w:szCs w:val="20"/>
                <w:color w:val="auto"/>
              </w:rPr>
            </w:pPr>
            <w:r>
              <w:rPr>
                <w:rFonts w:ascii="Arial" w:cs="Arial" w:eastAsia="Arial" w:hAnsi="Arial"/>
                <w:sz w:val="13"/>
                <w:szCs w:val="13"/>
                <w:color w:val="auto"/>
              </w:rPr>
              <w:t>Experience</w:t>
            </w: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ind w:left="280"/>
              <w:spacing w:after="0"/>
              <w:rPr>
                <w:sz w:val="20"/>
                <w:szCs w:val="20"/>
                <w:color w:val="auto"/>
              </w:rPr>
            </w:pPr>
            <w:r>
              <w:rPr>
                <w:rFonts w:ascii="Arial" w:cs="Arial" w:eastAsia="Arial" w:hAnsi="Arial"/>
                <w:sz w:val="13"/>
                <w:szCs w:val="13"/>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221615</wp:posOffset>
            </wp:positionV>
            <wp:extent cx="71323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360"/>
            <w:col w:w="8880"/>
          </w:cols>
          <w:pgMar w:left="320" w:top="130" w:right="539" w:bottom="1440" w:gutter="0" w:footer="0" w:header="0"/>
          <w:type w:val="continuous"/>
        </w:sect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251585"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51585" cy="196850"/>
                    </a:xfrm>
                    <a:prstGeom prst="rect">
                      <a:avLst/>
                    </a:prstGeom>
                    <a:noFill/>
                  </pic:spPr>
                </pic:pic>
              </a:graphicData>
            </a:graphic>
          </wp:anchor>
        </w:drawing>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7171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7171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INDEPENDENT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76</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2020</w:t>
      </w:r>
    </w:p>
    <w:p>
      <w:pPr>
        <w:ind w:left="200"/>
        <w:spacing w:after="0"/>
        <w:rPr>
          <w:sz w:val="20"/>
          <w:szCs w:val="20"/>
          <w:color w:val="auto"/>
        </w:rPr>
      </w:pPr>
      <w:r>
        <w:rPr>
          <w:rFonts w:ascii="Arial" w:cs="Arial" w:eastAsia="Arial" w:hAnsi="Arial"/>
          <w:sz w:val="13"/>
          <w:szCs w:val="13"/>
          <w:b w:val="1"/>
          <w:bCs w:val="1"/>
          <w:color w:val="00529B"/>
        </w:rPr>
        <w:t>Board Committees:</w:t>
      </w:r>
    </w:p>
    <w:p>
      <w:pPr>
        <w:ind w:left="200"/>
        <w:spacing w:after="0"/>
        <w:rPr>
          <w:sz w:val="20"/>
          <w:szCs w:val="20"/>
          <w:color w:val="auto"/>
        </w:rPr>
      </w:pPr>
      <w:r>
        <w:rPr>
          <w:rFonts w:ascii="Arial" w:cs="Arial" w:eastAsia="Arial" w:hAnsi="Arial"/>
          <w:sz w:val="13"/>
          <w:szCs w:val="13"/>
          <w:color w:val="auto"/>
        </w:rPr>
        <w:t>Sustainability (Chair);</w:t>
      </w:r>
    </w:p>
    <w:p>
      <w:pPr>
        <w:ind w:left="200"/>
        <w:spacing w:after="0"/>
        <w:rPr>
          <w:sz w:val="20"/>
          <w:szCs w:val="20"/>
          <w:color w:val="auto"/>
        </w:rPr>
      </w:pPr>
      <w:r>
        <w:rPr>
          <w:rFonts w:ascii="Arial" w:cs="Arial" w:eastAsia="Arial" w:hAnsi="Arial"/>
          <w:sz w:val="13"/>
          <w:szCs w:val="13"/>
          <w:color w:val="auto"/>
        </w:rPr>
        <w:t>Audit; Environmental,</w:t>
      </w:r>
    </w:p>
    <w:p>
      <w:pPr>
        <w:ind w:left="200"/>
        <w:spacing w:after="0"/>
        <w:rPr>
          <w:sz w:val="20"/>
          <w:szCs w:val="20"/>
          <w:color w:val="auto"/>
        </w:rPr>
      </w:pPr>
      <w:r>
        <w:rPr>
          <w:rFonts w:ascii="Arial" w:cs="Arial" w:eastAsia="Arial" w:hAnsi="Arial"/>
          <w:sz w:val="13"/>
          <w:szCs w:val="13"/>
          <w:color w:val="auto"/>
        </w:rPr>
        <w:t>Health and Safety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Former Public</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Company Directorships</w:t>
      </w:r>
    </w:p>
    <w:p>
      <w:pPr>
        <w:ind w:left="200"/>
        <w:spacing w:after="0"/>
        <w:rPr>
          <w:sz w:val="20"/>
          <w:szCs w:val="20"/>
          <w:color w:val="auto"/>
        </w:rPr>
      </w:pPr>
      <w:r>
        <w:rPr>
          <w:rFonts w:ascii="Arial" w:cs="Arial" w:eastAsia="Arial" w:hAnsi="Arial"/>
          <w:sz w:val="13"/>
          <w:szCs w:val="13"/>
          <w:b w:val="1"/>
          <w:bCs w:val="1"/>
          <w:color w:val="00529B"/>
        </w:rPr>
        <w:t>(within the last 5 years):</w:t>
      </w:r>
    </w:p>
    <w:p>
      <w:pPr>
        <w:ind w:left="200"/>
        <w:spacing w:after="0"/>
        <w:rPr>
          <w:sz w:val="20"/>
          <w:szCs w:val="20"/>
          <w:color w:val="auto"/>
        </w:rPr>
      </w:pPr>
      <w:r>
        <w:rPr>
          <w:rFonts w:ascii="Arial" w:cs="Arial" w:eastAsia="Arial" w:hAnsi="Arial"/>
          <w:sz w:val="13"/>
          <w:szCs w:val="13"/>
          <w:color w:val="auto"/>
        </w:rPr>
        <w:t>BG Group</w:t>
      </w:r>
    </w:p>
    <w:p>
      <w:pPr>
        <w:ind w:left="200"/>
        <w:spacing w:after="0"/>
        <w:rPr>
          <w:sz w:val="20"/>
          <w:szCs w:val="20"/>
          <w:color w:val="auto"/>
        </w:rPr>
      </w:pPr>
      <w:r>
        <w:rPr>
          <w:rFonts w:ascii="Arial" w:cs="Arial" w:eastAsia="Arial" w:hAnsi="Arial"/>
          <w:sz w:val="13"/>
          <w:szCs w:val="13"/>
          <w:color w:val="auto"/>
        </w:rPr>
        <w:t>McDermott</w:t>
      </w:r>
    </w:p>
    <w:p>
      <w:pPr>
        <w:ind w:left="200"/>
        <w:spacing w:after="0"/>
        <w:rPr>
          <w:sz w:val="20"/>
          <w:szCs w:val="20"/>
          <w:color w:val="auto"/>
        </w:rPr>
      </w:pPr>
      <w:r>
        <w:rPr>
          <w:rFonts w:ascii="Arial" w:cs="Arial" w:eastAsia="Arial" w:hAnsi="Arial"/>
          <w:sz w:val="13"/>
          <w:szCs w:val="13"/>
          <w:color w:val="auto"/>
        </w:rPr>
        <w:t>International, Ltd</w:t>
      </w:r>
    </w:p>
    <w:p>
      <w:pPr>
        <w:ind w:left="200"/>
        <w:spacing w:after="0"/>
        <w:rPr>
          <w:sz w:val="20"/>
          <w:szCs w:val="20"/>
          <w:color w:val="auto"/>
        </w:rPr>
      </w:pPr>
      <w:r>
        <w:rPr>
          <w:rFonts w:ascii="Arial" w:cs="Arial" w:eastAsia="Arial" w:hAnsi="Arial"/>
          <w:sz w:val="13"/>
          <w:szCs w:val="13"/>
          <w:color w:val="auto"/>
        </w:rPr>
        <w:t>Saudi Aramco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654175" cy="1974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5417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right="180"/>
        <w:spacing w:after="0"/>
        <w:rPr>
          <w:sz w:val="20"/>
          <w:szCs w:val="20"/>
          <w:color w:val="auto"/>
        </w:rPr>
      </w:pPr>
      <w:r>
        <w:rPr>
          <w:rFonts w:ascii="Arial" w:cs="Arial" w:eastAsia="Arial" w:hAnsi="Arial"/>
          <w:sz w:val="13"/>
          <w:szCs w:val="13"/>
          <w:color w:val="auto"/>
        </w:rPr>
        <w:t>Mr. Gould is the former Chairman and Chief Executive Officer of Schlumberger Limited (Schlumberger), a leading oilfield services company, and served in that capacity from 2003 to 2011. Mr. Gould began his career at Schlumberger in 1975 in its Internal Audit department, based in Paris. In addition to his career at Schlumberger, Mr. Gould served as non-Executive Chairman of BG Group, a multinational oil and gas company, from 2012 until its sale to Royal Dutch Shell in 2016 and served as interim Executive Chairman in 2014. Mr. Gould served on the United Kingdom Prime Minister’s Council for Science and Technology from 2004 to 2007. He was Vice-Chairman Technology for the United States National Petroleum Councils’ 2007 report “Facing the Hard Truths about Energy” and was awarded the Charles F. Rand Memorial Gold Medal by the Society of Petroleum Engineers in 2014. He is currently a partner of CSL Capital Management, a private equity firm that specializes in energy services, Chairman of BJ Energy Services, a private pressure pumping business, Chairman of Kayrros Advisory Board, an advanced data analytics company, and Chairman of the International Advisory Board at Boston Consulting Group Center for Energy Impact. Mr. Gould is a member of the U.S. National Petroleum Council. Mr. Gould has an undergraduate degree in Economic History from Cardiff University and qualified as a Chartered Accountant with the Institute of Chartered Accountants in England and Wales.</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Environmental,</w:t>
            </w:r>
          </w:p>
        </w:tc>
        <w:tc>
          <w:tcPr>
            <w:tcW w:w="1380" w:type="dxa"/>
            <w:vAlign w:val="bottom"/>
          </w:tcPr>
          <w:p>
            <w:pPr>
              <w:ind w:left="280"/>
              <w:spacing w:after="0"/>
              <w:rPr>
                <w:sz w:val="20"/>
                <w:szCs w:val="20"/>
                <w:color w:val="auto"/>
              </w:rPr>
            </w:pPr>
            <w:r>
              <w:rPr>
                <w:rFonts w:ascii="Arial" w:cs="Arial" w:eastAsia="Arial" w:hAnsi="Arial"/>
                <w:sz w:val="13"/>
                <w:szCs w:val="13"/>
                <w:color w:val="auto"/>
              </w:rPr>
              <w:t>Executive</w:t>
            </w:r>
          </w:p>
        </w:tc>
        <w:tc>
          <w:tcPr>
            <w:tcW w:w="900" w:type="dxa"/>
            <w:vAlign w:val="bottom"/>
          </w:tcPr>
          <w:p>
            <w:pPr>
              <w:ind w:left="240"/>
              <w:spacing w:after="0"/>
              <w:rPr>
                <w:sz w:val="20"/>
                <w:szCs w:val="20"/>
                <w:color w:val="auto"/>
              </w:rPr>
            </w:pPr>
            <w:r>
              <w:rPr>
                <w:rFonts w:ascii="Arial" w:cs="Arial" w:eastAsia="Arial" w:hAnsi="Arial"/>
                <w:sz w:val="13"/>
                <w:szCs w:val="13"/>
                <w:color w:val="auto"/>
              </w:rPr>
              <w:t>Finance/</w:t>
            </w:r>
          </w:p>
        </w:tc>
        <w:tc>
          <w:tcPr>
            <w:tcW w:w="1020" w:type="dxa"/>
            <w:vAlign w:val="bottom"/>
          </w:tcPr>
          <w:p>
            <w:pPr>
              <w:ind w:left="140"/>
              <w:spacing w:after="0"/>
              <w:rPr>
                <w:sz w:val="20"/>
                <w:szCs w:val="20"/>
                <w:color w:val="auto"/>
              </w:rPr>
            </w:pPr>
            <w:r>
              <w:rPr>
                <w:rFonts w:ascii="Arial" w:cs="Arial" w:eastAsia="Arial" w:hAnsi="Arial"/>
                <w:sz w:val="13"/>
                <w:szCs w:val="13"/>
                <w:color w:val="auto"/>
              </w:rPr>
              <w:t>Financial</w:t>
            </w:r>
          </w:p>
        </w:tc>
        <w:tc>
          <w:tcPr>
            <w:tcW w:w="1120" w:type="dxa"/>
            <w:vAlign w:val="bottom"/>
          </w:tcPr>
          <w:p>
            <w:pPr>
              <w:ind w:left="200"/>
              <w:spacing w:after="0"/>
              <w:rPr>
                <w:sz w:val="20"/>
                <w:szCs w:val="20"/>
                <w:color w:val="auto"/>
              </w:rPr>
            </w:pPr>
            <w:r>
              <w:rPr>
                <w:rFonts w:ascii="Arial" w:cs="Arial" w:eastAsia="Arial" w:hAnsi="Arial"/>
                <w:sz w:val="13"/>
                <w:szCs w:val="13"/>
                <w:color w:val="auto"/>
              </w:rPr>
              <w:t>Industry</w:t>
            </w:r>
          </w:p>
        </w:tc>
        <w:tc>
          <w:tcPr>
            <w:tcW w:w="1180" w:type="dxa"/>
            <w:vAlign w:val="bottom"/>
          </w:tcPr>
          <w:p>
            <w:pPr>
              <w:ind w:left="200"/>
              <w:spacing w:after="0"/>
              <w:rPr>
                <w:sz w:val="20"/>
                <w:szCs w:val="20"/>
                <w:color w:val="auto"/>
              </w:rPr>
            </w:pPr>
            <w:r>
              <w:rPr>
                <w:rFonts w:ascii="Arial" w:cs="Arial" w:eastAsia="Arial" w:hAnsi="Arial"/>
                <w:sz w:val="13"/>
                <w:szCs w:val="13"/>
                <w:color w:val="auto"/>
              </w:rPr>
              <w:t>International</w:t>
            </w:r>
          </w:p>
        </w:tc>
        <w:tc>
          <w:tcPr>
            <w:tcW w:w="940" w:type="dxa"/>
            <w:vAlign w:val="bottom"/>
          </w:tcPr>
          <w:p>
            <w:pPr>
              <w:ind w:left="220"/>
              <w:spacing w:after="0"/>
              <w:rPr>
                <w:sz w:val="20"/>
                <w:szCs w:val="20"/>
                <w:color w:val="auto"/>
              </w:rPr>
            </w:pPr>
            <w:r>
              <w:rPr>
                <w:rFonts w:ascii="Arial" w:cs="Arial" w:eastAsia="Arial" w:hAnsi="Arial"/>
                <w:sz w:val="13"/>
                <w:szCs w:val="13"/>
                <w:color w:val="auto"/>
              </w:rPr>
              <w:t>Investor</w:t>
            </w:r>
          </w:p>
        </w:tc>
        <w:tc>
          <w:tcPr>
            <w:tcW w:w="840" w:type="dxa"/>
            <w:vAlign w:val="bottom"/>
          </w:tcPr>
          <w:p>
            <w:pPr>
              <w:ind w:left="160"/>
              <w:spacing w:after="0"/>
              <w:rPr>
                <w:sz w:val="20"/>
                <w:szCs w:val="20"/>
                <w:color w:val="auto"/>
              </w:rPr>
            </w:pPr>
            <w:r>
              <w:rPr>
                <w:rFonts w:ascii="Arial" w:cs="Arial" w:eastAsia="Arial" w:hAnsi="Arial"/>
                <w:sz w:val="13"/>
                <w:szCs w:val="13"/>
                <w:color w:val="auto"/>
              </w:rPr>
              <w:t>Public</w:t>
            </w: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Health,</w:t>
            </w:r>
          </w:p>
        </w:tc>
        <w:tc>
          <w:tcPr>
            <w:tcW w:w="1380" w:type="dxa"/>
            <w:vAlign w:val="bottom"/>
          </w:tcPr>
          <w:p>
            <w:pPr>
              <w:ind w:left="280"/>
              <w:spacing w:after="0"/>
              <w:rPr>
                <w:sz w:val="20"/>
                <w:szCs w:val="20"/>
                <w:color w:val="auto"/>
              </w:rPr>
            </w:pPr>
            <w:r>
              <w:rPr>
                <w:rFonts w:ascii="Arial" w:cs="Arial" w:eastAsia="Arial" w:hAnsi="Arial"/>
                <w:sz w:val="13"/>
                <w:szCs w:val="13"/>
                <w:color w:val="auto"/>
              </w:rPr>
              <w:t>Compensation</w:t>
            </w:r>
          </w:p>
        </w:tc>
        <w:tc>
          <w:tcPr>
            <w:tcW w:w="900" w:type="dxa"/>
            <w:vAlign w:val="bottom"/>
          </w:tcPr>
          <w:p>
            <w:pPr>
              <w:ind w:left="240"/>
              <w:spacing w:after="0"/>
              <w:rPr>
                <w:sz w:val="20"/>
                <w:szCs w:val="20"/>
                <w:color w:val="auto"/>
              </w:rPr>
            </w:pPr>
            <w:r>
              <w:rPr>
                <w:rFonts w:ascii="Arial" w:cs="Arial" w:eastAsia="Arial" w:hAnsi="Arial"/>
                <w:sz w:val="13"/>
                <w:szCs w:val="13"/>
                <w:color w:val="auto"/>
              </w:rPr>
              <w:t>Capital</w:t>
            </w:r>
          </w:p>
        </w:tc>
        <w:tc>
          <w:tcPr>
            <w:tcW w:w="1020" w:type="dxa"/>
            <w:vAlign w:val="bottom"/>
          </w:tcPr>
          <w:p>
            <w:pPr>
              <w:ind w:left="140"/>
              <w:spacing w:after="0"/>
              <w:rPr>
                <w:sz w:val="20"/>
                <w:szCs w:val="20"/>
                <w:color w:val="auto"/>
              </w:rPr>
            </w:pPr>
            <w:r>
              <w:rPr>
                <w:rFonts w:ascii="Arial" w:cs="Arial" w:eastAsia="Arial" w:hAnsi="Arial"/>
                <w:sz w:val="13"/>
                <w:szCs w:val="13"/>
                <w:color w:val="auto"/>
              </w:rPr>
              <w:t>Reporting/</w:t>
            </w:r>
          </w:p>
        </w:tc>
        <w:tc>
          <w:tcPr>
            <w:tcW w:w="1120" w:type="dxa"/>
            <w:vAlign w:val="bottom"/>
          </w:tcPr>
          <w:p>
            <w:pPr>
              <w:ind w:left="200"/>
              <w:spacing w:after="0"/>
              <w:rPr>
                <w:sz w:val="20"/>
                <w:szCs w:val="20"/>
                <w:color w:val="auto"/>
              </w:rPr>
            </w:pPr>
            <w:r>
              <w:rPr>
                <w:rFonts w:ascii="Arial" w:cs="Arial" w:eastAsia="Arial" w:hAnsi="Arial"/>
                <w:sz w:val="13"/>
                <w:szCs w:val="13"/>
                <w:color w:val="auto"/>
              </w:rPr>
              <w:t>Background</w:t>
            </w:r>
          </w:p>
        </w:tc>
        <w:tc>
          <w:tcPr>
            <w:tcW w:w="1180" w:type="dxa"/>
            <w:vAlign w:val="bottom"/>
          </w:tcPr>
          <w:p>
            <w:pPr>
              <w:ind w:left="200"/>
              <w:spacing w:after="0"/>
              <w:rPr>
                <w:sz w:val="20"/>
                <w:szCs w:val="20"/>
                <w:color w:val="auto"/>
              </w:rPr>
            </w:pPr>
            <w:r>
              <w:rPr>
                <w:rFonts w:ascii="Arial" w:cs="Arial" w:eastAsia="Arial" w:hAnsi="Arial"/>
                <w:sz w:val="13"/>
                <w:szCs w:val="13"/>
                <w:color w:val="auto"/>
              </w:rPr>
              <w:t>Experience</w:t>
            </w:r>
          </w:p>
        </w:tc>
        <w:tc>
          <w:tcPr>
            <w:tcW w:w="940" w:type="dxa"/>
            <w:vAlign w:val="bottom"/>
          </w:tcPr>
          <w:p>
            <w:pPr>
              <w:ind w:left="220"/>
              <w:spacing w:after="0"/>
              <w:rPr>
                <w:sz w:val="20"/>
                <w:szCs w:val="20"/>
                <w:color w:val="auto"/>
              </w:rPr>
            </w:pPr>
            <w:r>
              <w:rPr>
                <w:rFonts w:ascii="Arial" w:cs="Arial" w:eastAsia="Arial" w:hAnsi="Arial"/>
                <w:sz w:val="13"/>
                <w:szCs w:val="13"/>
                <w:color w:val="auto"/>
              </w:rPr>
              <w:t>Relations</w:t>
            </w:r>
          </w:p>
        </w:tc>
        <w:tc>
          <w:tcPr>
            <w:tcW w:w="840" w:type="dxa"/>
            <w:vAlign w:val="bottom"/>
          </w:tcPr>
          <w:p>
            <w:pPr>
              <w:ind w:left="160"/>
              <w:spacing w:after="0"/>
              <w:rPr>
                <w:sz w:val="20"/>
                <w:szCs w:val="20"/>
                <w:color w:val="auto"/>
              </w:rPr>
            </w:pPr>
            <w:r>
              <w:rPr>
                <w:rFonts w:ascii="Arial" w:cs="Arial" w:eastAsia="Arial" w:hAnsi="Arial"/>
                <w:sz w:val="13"/>
                <w:szCs w:val="13"/>
                <w:color w:val="auto"/>
              </w:rPr>
              <w:t>Company</w:t>
            </w:r>
          </w:p>
        </w:tc>
      </w:tr>
      <w:tr>
        <w:trPr>
          <w:trHeight w:val="148"/>
        </w:trPr>
        <w:tc>
          <w:tcPr>
            <w:tcW w:w="1160" w:type="dxa"/>
            <w:vAlign w:val="bottom"/>
          </w:tcPr>
          <w:p>
            <w:pPr>
              <w:spacing w:after="0"/>
              <w:rPr>
                <w:sz w:val="20"/>
                <w:szCs w:val="20"/>
                <w:color w:val="auto"/>
              </w:rPr>
            </w:pPr>
            <w:r>
              <w:rPr>
                <w:rFonts w:ascii="Arial" w:cs="Arial" w:eastAsia="Arial" w:hAnsi="Arial"/>
                <w:sz w:val="13"/>
                <w:szCs w:val="13"/>
                <w:color w:val="auto"/>
              </w:rPr>
              <w:t>Safety &amp;</w:t>
            </w:r>
          </w:p>
        </w:tc>
        <w:tc>
          <w:tcPr>
            <w:tcW w:w="1380" w:type="dxa"/>
            <w:vAlign w:val="bottom"/>
          </w:tcPr>
          <w:p>
            <w:pPr>
              <w:spacing w:after="0"/>
              <w:rPr>
                <w:sz w:val="12"/>
                <w:szCs w:val="12"/>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auto"/>
              </w:rPr>
              <w:t>Markets</w:t>
            </w:r>
          </w:p>
        </w:tc>
        <w:tc>
          <w:tcPr>
            <w:tcW w:w="1020" w:type="dxa"/>
            <w:vAlign w:val="bottom"/>
          </w:tcPr>
          <w:p>
            <w:pPr>
              <w:ind w:left="140"/>
              <w:spacing w:after="0"/>
              <w:rPr>
                <w:sz w:val="20"/>
                <w:szCs w:val="20"/>
                <w:color w:val="auto"/>
              </w:rPr>
            </w:pPr>
            <w:r>
              <w:rPr>
                <w:rFonts w:ascii="Arial" w:cs="Arial" w:eastAsia="Arial" w:hAnsi="Arial"/>
                <w:sz w:val="13"/>
                <w:szCs w:val="13"/>
                <w:color w:val="auto"/>
              </w:rPr>
              <w:t>Accounting</w:t>
            </w: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Executive</w:t>
            </w:r>
          </w:p>
        </w:tc>
      </w:tr>
      <w:tr>
        <w:trPr>
          <w:trHeight w:val="176"/>
        </w:trPr>
        <w:tc>
          <w:tcPr>
            <w:tcW w:w="1160" w:type="dxa"/>
            <w:vAlign w:val="bottom"/>
          </w:tcPr>
          <w:p>
            <w:pPr>
              <w:spacing w:after="0"/>
              <w:rPr>
                <w:sz w:val="20"/>
                <w:szCs w:val="20"/>
                <w:color w:val="auto"/>
              </w:rPr>
            </w:pPr>
            <w:r>
              <w:rPr>
                <w:rFonts w:ascii="Arial" w:cs="Arial" w:eastAsia="Arial" w:hAnsi="Arial"/>
                <w:sz w:val="13"/>
                <w:szCs w:val="13"/>
                <w:color w:val="auto"/>
              </w:rPr>
              <w:t>Sustainability</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ind w:left="140"/>
              <w:spacing w:after="0"/>
              <w:rPr>
                <w:sz w:val="20"/>
                <w:szCs w:val="20"/>
                <w:color w:val="auto"/>
              </w:rPr>
            </w:pPr>
            <w:r>
              <w:rPr>
                <w:rFonts w:ascii="Arial" w:cs="Arial" w:eastAsia="Arial" w:hAnsi="Arial"/>
                <w:sz w:val="13"/>
                <w:szCs w:val="13"/>
                <w:color w:val="auto"/>
              </w:rPr>
              <w:t>Experience</w:t>
            </w: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Experience</w:t>
            </w:r>
          </w:p>
        </w:tc>
      </w:tr>
    </w:tbl>
    <w:p>
      <w:pPr>
        <w:spacing w:after="0" w:line="752" w:lineRule="exact"/>
        <w:rPr>
          <w:sz w:val="20"/>
          <w:szCs w:val="20"/>
          <w:color w:val="auto"/>
        </w:rPr>
      </w:pPr>
    </w:p>
    <w:p>
      <w:pPr>
        <w:sectPr>
          <w:pgSz w:w="11900" w:h="16838" w:orient="portrait"/>
          <w:cols w:equalWidth="0" w:num="2">
            <w:col w:w="1740" w:space="420"/>
            <w:col w:w="9080"/>
          </w:cols>
          <w:pgMar w:left="320" w:top="130" w:right="339" w:bottom="1440" w:gutter="0" w:footer="0" w:header="0"/>
          <w:type w:val="continuous"/>
        </w:sectPr>
      </w:pPr>
    </w:p>
    <w:p>
      <w:pPr>
        <w:spacing w:after="0" w:line="9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FFFFFF"/>
        </w:rPr>
        <w:t>CARLOS M.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2948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94894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INDEPENDENT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69</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2009</w:t>
      </w:r>
    </w:p>
    <w:p>
      <w:pPr>
        <w:ind w:left="200"/>
        <w:spacing w:after="0"/>
        <w:rPr>
          <w:sz w:val="20"/>
          <w:szCs w:val="20"/>
          <w:color w:val="auto"/>
        </w:rPr>
      </w:pPr>
      <w:r>
        <w:rPr>
          <w:rFonts w:ascii="Arial" w:cs="Arial" w:eastAsia="Arial" w:hAnsi="Arial"/>
          <w:sz w:val="13"/>
          <w:szCs w:val="13"/>
          <w:b w:val="1"/>
          <w:bCs w:val="1"/>
          <w:color w:val="00529B"/>
        </w:rPr>
        <w:t>Board Committees:</w:t>
      </w:r>
    </w:p>
    <w:p>
      <w:pPr>
        <w:ind w:left="200" w:right="420"/>
        <w:spacing w:after="0" w:line="261" w:lineRule="auto"/>
        <w:rPr>
          <w:sz w:val="20"/>
          <w:szCs w:val="20"/>
          <w:color w:val="auto"/>
        </w:rPr>
      </w:pPr>
      <w:r>
        <w:rPr>
          <w:rFonts w:ascii="Arial" w:cs="Arial" w:eastAsia="Arial" w:hAnsi="Arial"/>
          <w:sz w:val="13"/>
          <w:szCs w:val="13"/>
          <w:color w:val="auto"/>
        </w:rPr>
        <w:t>Audit; Governance; Sustainability</w:t>
      </w:r>
    </w:p>
    <w:p>
      <w:pPr>
        <w:spacing w:after="0" w:line="174" w:lineRule="exact"/>
        <w:rPr>
          <w:sz w:val="20"/>
          <w:szCs w:val="20"/>
          <w:color w:val="auto"/>
        </w:rPr>
      </w:pPr>
    </w:p>
    <w:p>
      <w:pPr>
        <w:ind w:left="200"/>
        <w:spacing w:after="0" w:line="249" w:lineRule="auto"/>
        <w:rPr>
          <w:sz w:val="20"/>
          <w:szCs w:val="20"/>
          <w:color w:val="auto"/>
        </w:rPr>
      </w:pPr>
      <w:r>
        <w:rPr>
          <w:rFonts w:ascii="Arial" w:cs="Arial" w:eastAsia="Arial" w:hAnsi="Arial"/>
          <w:sz w:val="13"/>
          <w:szCs w:val="13"/>
          <w:b w:val="1"/>
          <w:bCs w:val="1"/>
          <w:color w:val="00529B"/>
        </w:rPr>
        <w:t>Current Public Company Directorships:</w:t>
      </w:r>
    </w:p>
    <w:p>
      <w:pPr>
        <w:spacing w:after="0" w:line="1" w:lineRule="exact"/>
        <w:rPr>
          <w:sz w:val="20"/>
          <w:szCs w:val="20"/>
          <w:color w:val="auto"/>
        </w:rPr>
      </w:pPr>
    </w:p>
    <w:p>
      <w:pPr>
        <w:ind w:left="200" w:right="420"/>
        <w:spacing w:after="0" w:line="261" w:lineRule="auto"/>
        <w:rPr>
          <w:sz w:val="20"/>
          <w:szCs w:val="20"/>
          <w:color w:val="auto"/>
        </w:rPr>
      </w:pPr>
      <w:r>
        <w:rPr>
          <w:rFonts w:ascii="Arial" w:cs="Arial" w:eastAsia="Arial" w:hAnsi="Arial"/>
          <w:sz w:val="13"/>
          <w:szCs w:val="13"/>
          <w:color w:val="auto"/>
        </w:rPr>
        <w:t>Exelon Corporation MetLife, Inc.</w:t>
      </w:r>
    </w:p>
    <w:p>
      <w:pPr>
        <w:spacing w:after="0" w:line="174" w:lineRule="exact"/>
        <w:rPr>
          <w:sz w:val="20"/>
          <w:szCs w:val="20"/>
          <w:color w:val="auto"/>
        </w:rPr>
      </w:pPr>
    </w:p>
    <w:p>
      <w:pPr>
        <w:ind w:left="200" w:right="20"/>
        <w:spacing w:after="0" w:line="249" w:lineRule="auto"/>
        <w:rPr>
          <w:sz w:val="20"/>
          <w:szCs w:val="20"/>
          <w:color w:val="auto"/>
        </w:rPr>
      </w:pPr>
      <w:r>
        <w:rPr>
          <w:rFonts w:ascii="Arial" w:cs="Arial" w:eastAsia="Arial" w:hAnsi="Arial"/>
          <w:sz w:val="13"/>
          <w:szCs w:val="13"/>
          <w:b w:val="1"/>
          <w:bCs w:val="1"/>
          <w:color w:val="00529B"/>
        </w:rPr>
        <w:t>Former Public Company Directorships</w:t>
      </w:r>
    </w:p>
    <w:p>
      <w:pPr>
        <w:ind w:left="200"/>
        <w:spacing w:after="0"/>
        <w:rPr>
          <w:sz w:val="20"/>
          <w:szCs w:val="20"/>
          <w:color w:val="auto"/>
        </w:rPr>
      </w:pPr>
      <w:r>
        <w:rPr>
          <w:rFonts w:ascii="Arial" w:cs="Arial" w:eastAsia="Arial" w:hAnsi="Arial"/>
          <w:sz w:val="13"/>
          <w:szCs w:val="13"/>
          <w:b w:val="1"/>
          <w:bCs w:val="1"/>
          <w:color w:val="00529B"/>
        </w:rPr>
        <w:t>(within the last 5 years):</w:t>
      </w:r>
    </w:p>
    <w:p>
      <w:pPr>
        <w:ind w:left="200"/>
        <w:spacing w:after="0"/>
        <w:rPr>
          <w:sz w:val="20"/>
          <w:szCs w:val="20"/>
          <w:color w:val="auto"/>
        </w:rPr>
      </w:pPr>
      <w:r>
        <w:rPr>
          <w:rFonts w:ascii="Arial" w:cs="Arial" w:eastAsia="Arial" w:hAnsi="Arial"/>
          <w:sz w:val="13"/>
          <w:szCs w:val="13"/>
          <w:color w:val="auto"/>
        </w:rPr>
        <w:t>Time Warner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Secretary Gutierrez is Co-Founder, Executive Chairman and CEO of EmPath, Inc., a skills intelligence software technology company. Previously, Secretary Gutierrez was Co-Chair of Albright Stonebridge Group, a commercial diplomacy and strategic advisory firm, from April 2013 to July 2020. He joined Albright Stonebridge from Citigroup Inc. where he was Vice Chairman of the Institutional Clients Group and a member of the Senior Strategic Advisory Group at Citigroup Inc. from 2011 to February 2013. Prior to joining Citigroup, Secretary Gutierrez was with communications and public affairs consulting firm APCO Worldwide Inc., where he was Chairman of the Global Political Strategies division in 2010. He served as U.S. Secretary of Commerce from February 2005 to January 2009, where he worked with foreign government and business leaders to advance economic relationships and enhance trade. Prior to his government service, Secretary Gutierrez was with Kellogg Company, a global manufacturer and marketer of well-known food brands, for nearly 30 years. After assignments in Latin America, Canada, Asia, and the United States, he became President and Chief Executive Officer in 1999 and Chairman of the Board in 2000, positions he held until 2005. Secretary Gutierrez currently serves as an external director on the U.S. Board of PwC, a private professional services firm. He is a member of the Human Freedom Advisory Council at the George W. Bush Institute, the Bo’ao Forum for Asia and the Tent Partnership for Refugees Advisory Council. He is also a cofounder of The Dream. US, a scholarship fund for undocumented students.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20"/>
                <w:szCs w:val="20"/>
                <w:color w:val="auto"/>
              </w:rPr>
            </w:pPr>
            <w:r>
              <w:rPr>
                <w:rFonts w:ascii="Arial" w:cs="Arial" w:eastAsia="Arial" w:hAnsi="Arial"/>
                <w:sz w:val="13"/>
                <w:szCs w:val="13"/>
                <w:color w:val="auto"/>
              </w:rPr>
              <w:t>Executive</w:t>
            </w:r>
          </w:p>
        </w:tc>
        <w:tc>
          <w:tcPr>
            <w:tcW w:w="1240" w:type="dxa"/>
            <w:vAlign w:val="bottom"/>
          </w:tcPr>
          <w:p>
            <w:pPr>
              <w:ind w:left="300"/>
              <w:spacing w:after="0"/>
              <w:rPr>
                <w:sz w:val="20"/>
                <w:szCs w:val="20"/>
                <w:color w:val="auto"/>
              </w:rPr>
            </w:pPr>
            <w:r>
              <w:rPr>
                <w:rFonts w:ascii="Arial" w:cs="Arial" w:eastAsia="Arial" w:hAnsi="Arial"/>
                <w:sz w:val="13"/>
                <w:szCs w:val="13"/>
                <w:color w:val="auto"/>
              </w:rPr>
              <w:t>Financial</w:t>
            </w:r>
          </w:p>
        </w:tc>
        <w:tc>
          <w:tcPr>
            <w:tcW w:w="1360" w:type="dxa"/>
            <w:vAlign w:val="bottom"/>
          </w:tcPr>
          <w:p>
            <w:pPr>
              <w:ind w:left="280"/>
              <w:spacing w:after="0"/>
              <w:rPr>
                <w:sz w:val="20"/>
                <w:szCs w:val="20"/>
                <w:color w:val="auto"/>
              </w:rPr>
            </w:pPr>
            <w:r>
              <w:rPr>
                <w:rFonts w:ascii="Arial" w:cs="Arial" w:eastAsia="Arial" w:hAnsi="Arial"/>
                <w:sz w:val="13"/>
                <w:szCs w:val="13"/>
                <w:color w:val="auto"/>
              </w:rPr>
              <w:t>Government,</w:t>
            </w:r>
          </w:p>
        </w:tc>
        <w:tc>
          <w:tcPr>
            <w:tcW w:w="1340" w:type="dxa"/>
            <w:vAlign w:val="bottom"/>
          </w:tcPr>
          <w:p>
            <w:pPr>
              <w:ind w:left="300"/>
              <w:spacing w:after="0"/>
              <w:rPr>
                <w:sz w:val="20"/>
                <w:szCs w:val="20"/>
                <w:color w:val="auto"/>
              </w:rPr>
            </w:pPr>
            <w:r>
              <w:rPr>
                <w:rFonts w:ascii="Arial" w:cs="Arial" w:eastAsia="Arial" w:hAnsi="Arial"/>
                <w:sz w:val="13"/>
                <w:szCs w:val="13"/>
                <w:color w:val="auto"/>
              </w:rPr>
              <w:t>International</w:t>
            </w:r>
          </w:p>
        </w:tc>
        <w:tc>
          <w:tcPr>
            <w:tcW w:w="1060" w:type="dxa"/>
            <w:vAlign w:val="bottom"/>
          </w:tcPr>
          <w:p>
            <w:pPr>
              <w:ind w:left="300"/>
              <w:spacing w:after="0"/>
              <w:rPr>
                <w:sz w:val="20"/>
                <w:szCs w:val="20"/>
                <w:color w:val="auto"/>
              </w:rPr>
            </w:pPr>
            <w:r>
              <w:rPr>
                <w:rFonts w:ascii="Arial" w:cs="Arial" w:eastAsia="Arial" w:hAnsi="Arial"/>
                <w:sz w:val="13"/>
                <w:szCs w:val="13"/>
                <w:color w:val="auto"/>
              </w:rPr>
              <w:t>Investor</w:t>
            </w:r>
          </w:p>
        </w:tc>
        <w:tc>
          <w:tcPr>
            <w:tcW w:w="1120" w:type="dxa"/>
            <w:vAlign w:val="bottom"/>
          </w:tcPr>
          <w:p>
            <w:pPr>
              <w:ind w:left="200"/>
              <w:spacing w:after="0"/>
              <w:rPr>
                <w:sz w:val="20"/>
                <w:szCs w:val="20"/>
                <w:color w:val="auto"/>
              </w:rPr>
            </w:pPr>
            <w:r>
              <w:rPr>
                <w:rFonts w:ascii="Arial" w:cs="Arial" w:eastAsia="Arial" w:hAnsi="Arial"/>
                <w:sz w:val="13"/>
                <w:szCs w:val="13"/>
                <w:color w:val="auto"/>
              </w:rPr>
              <w:t>Public</w:t>
            </w:r>
          </w:p>
        </w:tc>
        <w:tc>
          <w:tcPr>
            <w:tcW w:w="1040" w:type="dxa"/>
            <w:vAlign w:val="bottom"/>
          </w:tcPr>
          <w:p>
            <w:pPr>
              <w:ind w:left="260"/>
              <w:spacing w:after="0"/>
              <w:rPr>
                <w:sz w:val="20"/>
                <w:szCs w:val="20"/>
                <w:color w:val="auto"/>
              </w:rPr>
            </w:pPr>
            <w:r>
              <w:rPr>
                <w:rFonts w:ascii="Arial" w:cs="Arial" w:eastAsia="Arial" w:hAnsi="Arial"/>
                <w:sz w:val="13"/>
                <w:szCs w:val="13"/>
                <w:color w:val="auto"/>
              </w:rPr>
              <w:t>Risk</w:t>
            </w:r>
          </w:p>
        </w:tc>
      </w:tr>
      <w:tr>
        <w:trPr>
          <w:trHeight w:val="149"/>
        </w:trPr>
        <w:tc>
          <w:tcPr>
            <w:tcW w:w="1180" w:type="dxa"/>
            <w:vAlign w:val="bottom"/>
          </w:tcPr>
          <w:p>
            <w:pPr>
              <w:spacing w:after="0"/>
              <w:rPr>
                <w:sz w:val="20"/>
                <w:szCs w:val="20"/>
                <w:color w:val="auto"/>
              </w:rPr>
            </w:pPr>
            <w:r>
              <w:rPr>
                <w:rFonts w:ascii="Arial" w:cs="Arial" w:eastAsia="Arial" w:hAnsi="Arial"/>
                <w:sz w:val="13"/>
                <w:szCs w:val="13"/>
                <w:color w:val="auto"/>
              </w:rPr>
              <w:t>Compensation</w:t>
            </w:r>
          </w:p>
        </w:tc>
        <w:tc>
          <w:tcPr>
            <w:tcW w:w="1240" w:type="dxa"/>
            <w:vAlign w:val="bottom"/>
          </w:tcPr>
          <w:p>
            <w:pPr>
              <w:ind w:left="300"/>
              <w:spacing w:after="0"/>
              <w:rPr>
                <w:sz w:val="20"/>
                <w:szCs w:val="20"/>
                <w:color w:val="auto"/>
              </w:rPr>
            </w:pPr>
            <w:r>
              <w:rPr>
                <w:rFonts w:ascii="Arial" w:cs="Arial" w:eastAsia="Arial" w:hAnsi="Arial"/>
                <w:sz w:val="13"/>
                <w:szCs w:val="13"/>
                <w:color w:val="auto"/>
              </w:rPr>
              <w:t>Reporting/</w:t>
            </w:r>
          </w:p>
        </w:tc>
        <w:tc>
          <w:tcPr>
            <w:tcW w:w="1360" w:type="dxa"/>
            <w:vAlign w:val="bottom"/>
          </w:tcPr>
          <w:p>
            <w:pPr>
              <w:ind w:left="280"/>
              <w:spacing w:after="0"/>
              <w:rPr>
                <w:sz w:val="20"/>
                <w:szCs w:val="20"/>
                <w:color w:val="auto"/>
              </w:rPr>
            </w:pPr>
            <w:r>
              <w:rPr>
                <w:rFonts w:ascii="Arial" w:cs="Arial" w:eastAsia="Arial" w:hAnsi="Arial"/>
                <w:sz w:val="13"/>
                <w:szCs w:val="13"/>
                <w:color w:val="auto"/>
              </w:rPr>
              <w:t>Legal &amp;</w:t>
            </w:r>
          </w:p>
        </w:tc>
        <w:tc>
          <w:tcPr>
            <w:tcW w:w="1340" w:type="dxa"/>
            <w:vAlign w:val="bottom"/>
          </w:tcPr>
          <w:p>
            <w:pPr>
              <w:ind w:left="300"/>
              <w:spacing w:after="0"/>
              <w:rPr>
                <w:sz w:val="20"/>
                <w:szCs w:val="20"/>
                <w:color w:val="auto"/>
              </w:rPr>
            </w:pPr>
            <w:r>
              <w:rPr>
                <w:rFonts w:ascii="Arial" w:cs="Arial" w:eastAsia="Arial" w:hAnsi="Arial"/>
                <w:sz w:val="13"/>
                <w:szCs w:val="13"/>
                <w:color w:val="auto"/>
              </w:rPr>
              <w:t>Experience</w:t>
            </w:r>
          </w:p>
        </w:tc>
        <w:tc>
          <w:tcPr>
            <w:tcW w:w="1060" w:type="dxa"/>
            <w:vAlign w:val="bottom"/>
          </w:tcPr>
          <w:p>
            <w:pPr>
              <w:ind w:left="300"/>
              <w:spacing w:after="0"/>
              <w:rPr>
                <w:sz w:val="20"/>
                <w:szCs w:val="20"/>
                <w:color w:val="auto"/>
              </w:rPr>
            </w:pPr>
            <w:r>
              <w:rPr>
                <w:rFonts w:ascii="Arial" w:cs="Arial" w:eastAsia="Arial" w:hAnsi="Arial"/>
                <w:sz w:val="13"/>
                <w:szCs w:val="13"/>
                <w:color w:val="auto"/>
              </w:rPr>
              <w:t>Relations</w:t>
            </w:r>
          </w:p>
        </w:tc>
        <w:tc>
          <w:tcPr>
            <w:tcW w:w="1120" w:type="dxa"/>
            <w:vAlign w:val="bottom"/>
          </w:tcPr>
          <w:p>
            <w:pPr>
              <w:ind w:left="200"/>
              <w:spacing w:after="0"/>
              <w:rPr>
                <w:sz w:val="20"/>
                <w:szCs w:val="20"/>
                <w:color w:val="auto"/>
              </w:rPr>
            </w:pPr>
            <w:r>
              <w:rPr>
                <w:rFonts w:ascii="Arial" w:cs="Arial" w:eastAsia="Arial" w:hAnsi="Arial"/>
                <w:sz w:val="13"/>
                <w:szCs w:val="13"/>
                <w:color w:val="auto"/>
              </w:rPr>
              <w:t>Company</w:t>
            </w:r>
          </w:p>
        </w:tc>
        <w:tc>
          <w:tcPr>
            <w:tcW w:w="1040" w:type="dxa"/>
            <w:vAlign w:val="bottom"/>
          </w:tcPr>
          <w:p>
            <w:pPr>
              <w:ind w:left="260"/>
              <w:spacing w:after="0"/>
              <w:rPr>
                <w:sz w:val="20"/>
                <w:szCs w:val="20"/>
                <w:color w:val="auto"/>
              </w:rPr>
            </w:pPr>
            <w:r>
              <w:rPr>
                <w:rFonts w:ascii="Arial" w:cs="Arial" w:eastAsia="Arial" w:hAnsi="Arial"/>
                <w:sz w:val="13"/>
                <w:szCs w:val="13"/>
                <w:color w:val="auto"/>
              </w:rPr>
              <w:t>Management</w:t>
            </w:r>
          </w:p>
        </w:tc>
      </w:tr>
      <w:tr>
        <w:trPr>
          <w:trHeight w:val="148"/>
        </w:trPr>
        <w:tc>
          <w:tcPr>
            <w:tcW w:w="1180" w:type="dxa"/>
            <w:vAlign w:val="bottom"/>
          </w:tcPr>
          <w:p>
            <w:pPr>
              <w:spacing w:after="0"/>
              <w:rPr>
                <w:sz w:val="12"/>
                <w:szCs w:val="12"/>
                <w:color w:val="auto"/>
              </w:rPr>
            </w:pPr>
          </w:p>
        </w:tc>
        <w:tc>
          <w:tcPr>
            <w:tcW w:w="1240" w:type="dxa"/>
            <w:vAlign w:val="bottom"/>
          </w:tcPr>
          <w:p>
            <w:pPr>
              <w:ind w:left="300"/>
              <w:spacing w:after="0"/>
              <w:rPr>
                <w:sz w:val="20"/>
                <w:szCs w:val="20"/>
                <w:color w:val="auto"/>
              </w:rPr>
            </w:pPr>
            <w:r>
              <w:rPr>
                <w:rFonts w:ascii="Arial" w:cs="Arial" w:eastAsia="Arial" w:hAnsi="Arial"/>
                <w:sz w:val="13"/>
                <w:szCs w:val="13"/>
                <w:color w:val="auto"/>
              </w:rPr>
              <w:t>Accounting</w:t>
            </w:r>
          </w:p>
        </w:tc>
        <w:tc>
          <w:tcPr>
            <w:tcW w:w="1360" w:type="dxa"/>
            <w:vAlign w:val="bottom"/>
          </w:tcPr>
          <w:p>
            <w:pPr>
              <w:ind w:left="280"/>
              <w:spacing w:after="0"/>
              <w:rPr>
                <w:sz w:val="20"/>
                <w:szCs w:val="20"/>
                <w:color w:val="auto"/>
              </w:rPr>
            </w:pPr>
            <w:r>
              <w:rPr>
                <w:rFonts w:ascii="Arial" w:cs="Arial" w:eastAsia="Arial" w:hAnsi="Arial"/>
                <w:sz w:val="13"/>
                <w:szCs w:val="13"/>
                <w:color w:val="auto"/>
              </w:rPr>
              <w:t>Regulatory</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Executive</w:t>
            </w:r>
          </w:p>
        </w:tc>
        <w:tc>
          <w:tcPr>
            <w:tcW w:w="1040" w:type="dxa"/>
            <w:vAlign w:val="bottom"/>
          </w:tcPr>
          <w:p>
            <w:pPr>
              <w:spacing w:after="0"/>
              <w:rPr>
                <w:sz w:val="12"/>
                <w:szCs w:val="12"/>
                <w:color w:val="auto"/>
              </w:rPr>
            </w:pPr>
          </w:p>
        </w:tc>
      </w:tr>
      <w:tr>
        <w:trPr>
          <w:trHeight w:val="176"/>
        </w:trPr>
        <w:tc>
          <w:tcPr>
            <w:tcW w:w="1180" w:type="dxa"/>
            <w:vAlign w:val="bottom"/>
          </w:tcPr>
          <w:p>
            <w:pPr>
              <w:spacing w:after="0"/>
              <w:rPr>
                <w:sz w:val="15"/>
                <w:szCs w:val="15"/>
                <w:color w:val="auto"/>
              </w:rPr>
            </w:pPr>
          </w:p>
        </w:tc>
        <w:tc>
          <w:tcPr>
            <w:tcW w:w="1240" w:type="dxa"/>
            <w:vAlign w:val="bottom"/>
          </w:tcPr>
          <w:p>
            <w:pPr>
              <w:ind w:left="300"/>
              <w:spacing w:after="0"/>
              <w:rPr>
                <w:sz w:val="20"/>
                <w:szCs w:val="20"/>
                <w:color w:val="auto"/>
              </w:rPr>
            </w:pPr>
            <w:r>
              <w:rPr>
                <w:rFonts w:ascii="Arial" w:cs="Arial" w:eastAsia="Arial" w:hAnsi="Arial"/>
                <w:sz w:val="13"/>
                <w:szCs w:val="13"/>
                <w:color w:val="auto"/>
              </w:rPr>
              <w:t>Experience</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Experience</w:t>
            </w:r>
          </w:p>
        </w:tc>
        <w:tc>
          <w:tcPr>
            <w:tcW w:w="10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736600</wp:posOffset>
            </wp:positionV>
            <wp:extent cx="600075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180"/>
        <w:spacing w:after="0"/>
        <w:rPr>
          <w:sz w:val="20"/>
          <w:szCs w:val="20"/>
          <w:color w:val="auto"/>
        </w:rPr>
      </w:pP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73025</wp:posOffset>
            </wp:positionV>
            <wp:extent cx="71532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1780" w:space="380"/>
            <w:col w:w="908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139825" cy="196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39825" cy="196850"/>
                    </a:xfrm>
                    <a:prstGeom prst="rect">
                      <a:avLst/>
                    </a:prstGeom>
                    <a:noFill/>
                  </pic:spPr>
                </pic:pic>
              </a:graphicData>
            </a:graphic>
          </wp:anchor>
        </w:drawing>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4860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PRESIDENT AND CHIEF</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EXECUTIVE OFFICER</w:t>
      </w: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63</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2015</w:t>
      </w:r>
    </w:p>
    <w:p>
      <w:pPr>
        <w:spacing w:after="0" w:line="201" w:lineRule="exact"/>
        <w:rPr>
          <w:sz w:val="20"/>
          <w:szCs w:val="20"/>
          <w:color w:val="auto"/>
        </w:rPr>
      </w:pPr>
    </w:p>
    <w:p>
      <w:pPr>
        <w:ind w:left="200"/>
        <w:spacing w:after="0" w:line="249" w:lineRule="auto"/>
        <w:rPr>
          <w:sz w:val="20"/>
          <w:szCs w:val="20"/>
          <w:color w:val="auto"/>
        </w:rPr>
      </w:pPr>
      <w:r>
        <w:rPr>
          <w:rFonts w:ascii="Arial" w:cs="Arial" w:eastAsia="Arial" w:hAnsi="Arial"/>
          <w:sz w:val="13"/>
          <w:szCs w:val="13"/>
          <w:b w:val="1"/>
          <w:bCs w:val="1"/>
          <w:color w:val="00529B"/>
        </w:rPr>
        <w:t>Current Public Company Directorships: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Lockheed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1482725" cy="196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8272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Ms. Hollub became President and Chief Executive Officer of Occidental Petroleum Corporation in April 2016. She has been a member of Occidental’s Board of Directors since 2015. During her 40-year career with Occidental, Ms. Hollub has held a variety of management and technical positions with responsibilities on three continents, including roles in the United States, Russia, Venezuela and Ecuador. Most recently, she served as Occidental’s President and Chief Operating Officer, overseeing the company’s oil and gas, chemical and midstream operations. Ms. Hollub previously was Senior Executive Vice President, Occidental Petroleum, and President, Oxy Oil and Gas, where she was responsible for operations in the U.S., the Middle East and Latin America. Prior to that, she held a variety of leadership positions, including Executive Vice President, Occidental, and President, Oxy Oil and Gas, Americas; Vice President, Occidental, and Executive Vice President, U.S. Operations, Oxy Oil and Gas; Executive Vice President, California Operations; and President and General Manager of the company’s Permian Basin operations. Ms. Hollub started her career at Cities Service, which was acquired by Occidental. Ms. Hollub serves on the boards of Lockheed Martin and the American Petroleum Institute. She is the chair of the World Economic Forum’s Oil and Gas Community and a member of the Oil and Gas Climate Initiative. A graduate of the University of Alabama, Ms. Hollub holds a Bachelor of Science in Mineral Engineering. She was inducted into the University of Alabama College of Engineering 2016 class of Distinguished Engineering Fellows.</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20"/>
                <w:szCs w:val="20"/>
                <w:color w:val="auto"/>
              </w:rPr>
            </w:pPr>
            <w:r>
              <w:rPr>
                <w:rFonts w:ascii="Arial" w:cs="Arial" w:eastAsia="Arial" w:hAnsi="Arial"/>
                <w:sz w:val="13"/>
                <w:szCs w:val="13"/>
                <w:color w:val="auto"/>
              </w:rPr>
              <w:t>Environmental,</w:t>
            </w:r>
          </w:p>
        </w:tc>
        <w:tc>
          <w:tcPr>
            <w:tcW w:w="1240" w:type="dxa"/>
            <w:vAlign w:val="bottom"/>
          </w:tcPr>
          <w:p>
            <w:pPr>
              <w:ind w:left="320"/>
              <w:spacing w:after="0"/>
              <w:rPr>
                <w:sz w:val="20"/>
                <w:szCs w:val="20"/>
                <w:color w:val="auto"/>
              </w:rPr>
            </w:pPr>
            <w:r>
              <w:rPr>
                <w:rFonts w:ascii="Arial" w:cs="Arial" w:eastAsia="Arial" w:hAnsi="Arial"/>
                <w:sz w:val="13"/>
                <w:szCs w:val="13"/>
                <w:color w:val="auto"/>
              </w:rPr>
              <w:t>Financial</w:t>
            </w:r>
          </w:p>
        </w:tc>
        <w:tc>
          <w:tcPr>
            <w:tcW w:w="1300" w:type="dxa"/>
            <w:vAlign w:val="bottom"/>
          </w:tcPr>
          <w:p>
            <w:pPr>
              <w:ind w:left="240"/>
              <w:spacing w:after="0"/>
              <w:rPr>
                <w:sz w:val="20"/>
                <w:szCs w:val="20"/>
                <w:color w:val="auto"/>
              </w:rPr>
            </w:pPr>
            <w:r>
              <w:rPr>
                <w:rFonts w:ascii="Arial" w:cs="Arial" w:eastAsia="Arial" w:hAnsi="Arial"/>
                <w:sz w:val="13"/>
                <w:szCs w:val="13"/>
                <w:color w:val="auto"/>
              </w:rPr>
              <w:t>Government,</w:t>
            </w:r>
          </w:p>
        </w:tc>
        <w:tc>
          <w:tcPr>
            <w:tcW w:w="1220" w:type="dxa"/>
            <w:vAlign w:val="bottom"/>
          </w:tcPr>
          <w:p>
            <w:pPr>
              <w:ind w:left="280"/>
              <w:spacing w:after="0"/>
              <w:rPr>
                <w:sz w:val="20"/>
                <w:szCs w:val="20"/>
                <w:color w:val="auto"/>
              </w:rPr>
            </w:pPr>
            <w:r>
              <w:rPr>
                <w:rFonts w:ascii="Arial" w:cs="Arial" w:eastAsia="Arial" w:hAnsi="Arial"/>
                <w:sz w:val="13"/>
                <w:szCs w:val="13"/>
                <w:color w:val="auto"/>
              </w:rPr>
              <w:t>Industry</w:t>
            </w:r>
          </w:p>
        </w:tc>
        <w:tc>
          <w:tcPr>
            <w:tcW w:w="1240" w:type="dxa"/>
            <w:vAlign w:val="bottom"/>
          </w:tcPr>
          <w:p>
            <w:pPr>
              <w:ind w:left="240"/>
              <w:spacing w:after="0"/>
              <w:rPr>
                <w:sz w:val="20"/>
                <w:szCs w:val="20"/>
                <w:color w:val="auto"/>
              </w:rPr>
            </w:pPr>
            <w:r>
              <w:rPr>
                <w:rFonts w:ascii="Arial" w:cs="Arial" w:eastAsia="Arial" w:hAnsi="Arial"/>
                <w:sz w:val="13"/>
                <w:szCs w:val="13"/>
                <w:color w:val="auto"/>
              </w:rPr>
              <w:t>International</w:t>
            </w:r>
          </w:p>
        </w:tc>
        <w:tc>
          <w:tcPr>
            <w:tcW w:w="1160" w:type="dxa"/>
            <w:vAlign w:val="bottom"/>
          </w:tcPr>
          <w:p>
            <w:pPr>
              <w:ind w:left="260"/>
              <w:spacing w:after="0"/>
              <w:rPr>
                <w:sz w:val="20"/>
                <w:szCs w:val="20"/>
                <w:color w:val="auto"/>
              </w:rPr>
            </w:pPr>
            <w:r>
              <w:rPr>
                <w:rFonts w:ascii="Arial" w:cs="Arial" w:eastAsia="Arial" w:hAnsi="Arial"/>
                <w:sz w:val="13"/>
                <w:szCs w:val="13"/>
                <w:color w:val="auto"/>
              </w:rPr>
              <w:t>Public</w:t>
            </w:r>
          </w:p>
        </w:tc>
        <w:tc>
          <w:tcPr>
            <w:tcW w:w="1020" w:type="dxa"/>
            <w:vAlign w:val="bottom"/>
          </w:tcPr>
          <w:p>
            <w:pPr>
              <w:ind w:left="220"/>
              <w:spacing w:after="0"/>
              <w:rPr>
                <w:sz w:val="20"/>
                <w:szCs w:val="20"/>
                <w:color w:val="auto"/>
              </w:rPr>
            </w:pPr>
            <w:r>
              <w:rPr>
                <w:rFonts w:ascii="Arial" w:cs="Arial" w:eastAsia="Arial" w:hAnsi="Arial"/>
                <w:sz w:val="13"/>
                <w:szCs w:val="13"/>
                <w:color w:val="auto"/>
              </w:rPr>
              <w:t>Risk</w:t>
            </w:r>
          </w:p>
        </w:tc>
      </w:tr>
      <w:tr>
        <w:trPr>
          <w:trHeight w:val="148"/>
        </w:trPr>
        <w:tc>
          <w:tcPr>
            <w:tcW w:w="1220" w:type="dxa"/>
            <w:vAlign w:val="bottom"/>
          </w:tcPr>
          <w:p>
            <w:pPr>
              <w:spacing w:after="0"/>
              <w:rPr>
                <w:sz w:val="20"/>
                <w:szCs w:val="20"/>
                <w:color w:val="auto"/>
              </w:rPr>
            </w:pPr>
            <w:r>
              <w:rPr>
                <w:rFonts w:ascii="Arial" w:cs="Arial" w:eastAsia="Arial" w:hAnsi="Arial"/>
                <w:sz w:val="13"/>
                <w:szCs w:val="13"/>
                <w:color w:val="auto"/>
              </w:rPr>
              <w:t>Health,</w:t>
            </w:r>
          </w:p>
        </w:tc>
        <w:tc>
          <w:tcPr>
            <w:tcW w:w="1240" w:type="dxa"/>
            <w:vAlign w:val="bottom"/>
          </w:tcPr>
          <w:p>
            <w:pPr>
              <w:ind w:left="320"/>
              <w:spacing w:after="0"/>
              <w:rPr>
                <w:sz w:val="20"/>
                <w:szCs w:val="20"/>
                <w:color w:val="auto"/>
              </w:rPr>
            </w:pPr>
            <w:r>
              <w:rPr>
                <w:rFonts w:ascii="Arial" w:cs="Arial" w:eastAsia="Arial" w:hAnsi="Arial"/>
                <w:sz w:val="13"/>
                <w:szCs w:val="13"/>
                <w:color w:val="auto"/>
              </w:rPr>
              <w:t>Reporting/</w:t>
            </w:r>
          </w:p>
        </w:tc>
        <w:tc>
          <w:tcPr>
            <w:tcW w:w="1300" w:type="dxa"/>
            <w:vAlign w:val="bottom"/>
          </w:tcPr>
          <w:p>
            <w:pPr>
              <w:ind w:left="240"/>
              <w:spacing w:after="0"/>
              <w:rPr>
                <w:sz w:val="20"/>
                <w:szCs w:val="20"/>
                <w:color w:val="auto"/>
              </w:rPr>
            </w:pPr>
            <w:r>
              <w:rPr>
                <w:rFonts w:ascii="Arial" w:cs="Arial" w:eastAsia="Arial" w:hAnsi="Arial"/>
                <w:sz w:val="13"/>
                <w:szCs w:val="13"/>
                <w:color w:val="auto"/>
              </w:rPr>
              <w:t>Legal &amp;</w:t>
            </w:r>
          </w:p>
        </w:tc>
        <w:tc>
          <w:tcPr>
            <w:tcW w:w="1220" w:type="dxa"/>
            <w:vAlign w:val="bottom"/>
          </w:tcPr>
          <w:p>
            <w:pPr>
              <w:ind w:left="280"/>
              <w:spacing w:after="0"/>
              <w:rPr>
                <w:sz w:val="20"/>
                <w:szCs w:val="20"/>
                <w:color w:val="auto"/>
              </w:rPr>
            </w:pPr>
            <w:r>
              <w:rPr>
                <w:rFonts w:ascii="Arial" w:cs="Arial" w:eastAsia="Arial" w:hAnsi="Arial"/>
                <w:sz w:val="13"/>
                <w:szCs w:val="13"/>
                <w:color w:val="auto"/>
              </w:rPr>
              <w:t>Background</w:t>
            </w:r>
          </w:p>
        </w:tc>
        <w:tc>
          <w:tcPr>
            <w:tcW w:w="1240" w:type="dxa"/>
            <w:vAlign w:val="bottom"/>
          </w:tcPr>
          <w:p>
            <w:pPr>
              <w:ind w:left="240"/>
              <w:spacing w:after="0"/>
              <w:rPr>
                <w:sz w:val="20"/>
                <w:szCs w:val="20"/>
                <w:color w:val="auto"/>
              </w:rPr>
            </w:pPr>
            <w:r>
              <w:rPr>
                <w:rFonts w:ascii="Arial" w:cs="Arial" w:eastAsia="Arial" w:hAnsi="Arial"/>
                <w:sz w:val="13"/>
                <w:szCs w:val="13"/>
                <w:color w:val="auto"/>
              </w:rPr>
              <w:t>Experience</w:t>
            </w:r>
          </w:p>
        </w:tc>
        <w:tc>
          <w:tcPr>
            <w:tcW w:w="1160" w:type="dxa"/>
            <w:vAlign w:val="bottom"/>
          </w:tcPr>
          <w:p>
            <w:pPr>
              <w:ind w:left="260"/>
              <w:spacing w:after="0"/>
              <w:rPr>
                <w:sz w:val="20"/>
                <w:szCs w:val="20"/>
                <w:color w:val="auto"/>
              </w:rPr>
            </w:pPr>
            <w:r>
              <w:rPr>
                <w:rFonts w:ascii="Arial" w:cs="Arial" w:eastAsia="Arial" w:hAnsi="Arial"/>
                <w:sz w:val="13"/>
                <w:szCs w:val="13"/>
                <w:color w:val="auto"/>
              </w:rPr>
              <w:t>Company</w:t>
            </w:r>
          </w:p>
        </w:tc>
        <w:tc>
          <w:tcPr>
            <w:tcW w:w="1020" w:type="dxa"/>
            <w:vAlign w:val="bottom"/>
          </w:tcPr>
          <w:p>
            <w:pPr>
              <w:ind w:left="220"/>
              <w:spacing w:after="0"/>
              <w:rPr>
                <w:sz w:val="20"/>
                <w:szCs w:val="20"/>
                <w:color w:val="auto"/>
              </w:rPr>
            </w:pPr>
            <w:r>
              <w:rPr>
                <w:rFonts w:ascii="Arial" w:cs="Arial" w:eastAsia="Arial" w:hAnsi="Arial"/>
                <w:sz w:val="13"/>
                <w:szCs w:val="13"/>
                <w:color w:val="auto"/>
              </w:rPr>
              <w:t>Management</w:t>
            </w:r>
          </w:p>
        </w:tc>
      </w:tr>
      <w:tr>
        <w:trPr>
          <w:trHeight w:val="148"/>
        </w:trPr>
        <w:tc>
          <w:tcPr>
            <w:tcW w:w="1220" w:type="dxa"/>
            <w:vAlign w:val="bottom"/>
          </w:tcPr>
          <w:p>
            <w:pPr>
              <w:spacing w:after="0"/>
              <w:rPr>
                <w:sz w:val="20"/>
                <w:szCs w:val="20"/>
                <w:color w:val="auto"/>
              </w:rPr>
            </w:pPr>
            <w:r>
              <w:rPr>
                <w:rFonts w:ascii="Arial" w:cs="Arial" w:eastAsia="Arial" w:hAnsi="Arial"/>
                <w:sz w:val="13"/>
                <w:szCs w:val="13"/>
                <w:color w:val="auto"/>
              </w:rPr>
              <w:t>Safety &amp;</w:t>
            </w:r>
          </w:p>
        </w:tc>
        <w:tc>
          <w:tcPr>
            <w:tcW w:w="1240" w:type="dxa"/>
            <w:vAlign w:val="bottom"/>
          </w:tcPr>
          <w:p>
            <w:pPr>
              <w:ind w:left="320"/>
              <w:spacing w:after="0"/>
              <w:rPr>
                <w:sz w:val="20"/>
                <w:szCs w:val="20"/>
                <w:color w:val="auto"/>
              </w:rPr>
            </w:pPr>
            <w:r>
              <w:rPr>
                <w:rFonts w:ascii="Arial" w:cs="Arial" w:eastAsia="Arial" w:hAnsi="Arial"/>
                <w:sz w:val="13"/>
                <w:szCs w:val="13"/>
                <w:color w:val="auto"/>
              </w:rPr>
              <w:t>Accounting</w:t>
            </w:r>
          </w:p>
        </w:tc>
        <w:tc>
          <w:tcPr>
            <w:tcW w:w="1300" w:type="dxa"/>
            <w:vAlign w:val="bottom"/>
          </w:tcPr>
          <w:p>
            <w:pPr>
              <w:ind w:left="240"/>
              <w:spacing w:after="0"/>
              <w:rPr>
                <w:sz w:val="20"/>
                <w:szCs w:val="20"/>
                <w:color w:val="auto"/>
              </w:rPr>
            </w:pPr>
            <w:r>
              <w:rPr>
                <w:rFonts w:ascii="Arial" w:cs="Arial" w:eastAsia="Arial" w:hAnsi="Arial"/>
                <w:sz w:val="13"/>
                <w:szCs w:val="13"/>
                <w:color w:val="auto"/>
              </w:rPr>
              <w:t>Regulatory</w:t>
            </w: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ind w:left="260"/>
              <w:spacing w:after="0"/>
              <w:rPr>
                <w:sz w:val="20"/>
                <w:szCs w:val="20"/>
                <w:color w:val="auto"/>
              </w:rPr>
            </w:pPr>
            <w:r>
              <w:rPr>
                <w:rFonts w:ascii="Arial" w:cs="Arial" w:eastAsia="Arial" w:hAnsi="Arial"/>
                <w:sz w:val="13"/>
                <w:szCs w:val="13"/>
                <w:color w:val="auto"/>
              </w:rPr>
              <w:t>Executive</w:t>
            </w:r>
          </w:p>
        </w:tc>
        <w:tc>
          <w:tcPr>
            <w:tcW w:w="1020" w:type="dxa"/>
            <w:vAlign w:val="bottom"/>
          </w:tcPr>
          <w:p>
            <w:pPr>
              <w:spacing w:after="0"/>
              <w:rPr>
                <w:sz w:val="12"/>
                <w:szCs w:val="12"/>
                <w:color w:val="auto"/>
              </w:rPr>
            </w:pPr>
          </w:p>
        </w:tc>
      </w:tr>
      <w:tr>
        <w:trPr>
          <w:trHeight w:val="176"/>
        </w:trPr>
        <w:tc>
          <w:tcPr>
            <w:tcW w:w="1220" w:type="dxa"/>
            <w:vAlign w:val="bottom"/>
          </w:tcPr>
          <w:p>
            <w:pPr>
              <w:spacing w:after="0"/>
              <w:rPr>
                <w:sz w:val="20"/>
                <w:szCs w:val="20"/>
                <w:color w:val="auto"/>
              </w:rPr>
            </w:pPr>
            <w:r>
              <w:rPr>
                <w:rFonts w:ascii="Arial" w:cs="Arial" w:eastAsia="Arial" w:hAnsi="Arial"/>
                <w:sz w:val="13"/>
                <w:szCs w:val="13"/>
                <w:color w:val="auto"/>
              </w:rPr>
              <w:t>Sustainability</w:t>
            </w:r>
          </w:p>
        </w:tc>
        <w:tc>
          <w:tcPr>
            <w:tcW w:w="1240" w:type="dxa"/>
            <w:vAlign w:val="bottom"/>
          </w:tcPr>
          <w:p>
            <w:pPr>
              <w:ind w:left="320"/>
              <w:spacing w:after="0"/>
              <w:rPr>
                <w:sz w:val="20"/>
                <w:szCs w:val="20"/>
                <w:color w:val="auto"/>
              </w:rPr>
            </w:pPr>
            <w:r>
              <w:rPr>
                <w:rFonts w:ascii="Arial" w:cs="Arial" w:eastAsia="Arial" w:hAnsi="Arial"/>
                <w:sz w:val="13"/>
                <w:szCs w:val="13"/>
                <w:color w:val="auto"/>
              </w:rPr>
              <w:t>Experience</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3"/>
                <w:szCs w:val="13"/>
                <w:color w:val="auto"/>
              </w:rPr>
              <w:t>Experience</w:t>
            </w:r>
          </w:p>
        </w:tc>
        <w:tc>
          <w:tcPr>
            <w:tcW w:w="10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1780" w:space="380"/>
            <w:col w:w="8920"/>
          </w:cols>
          <w:pgMar w:left="320" w:top="130" w:right="499" w:bottom="1440" w:gutter="0" w:footer="0" w:header="0"/>
          <w:type w:val="continuous"/>
        </w:sectPr>
      </w:pP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WILLIAM R. KLESSE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4942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INDEPENDENT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76</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2013</w:t>
      </w:r>
    </w:p>
    <w:p>
      <w:pPr>
        <w:ind w:left="200"/>
        <w:spacing w:after="0"/>
        <w:rPr>
          <w:sz w:val="20"/>
          <w:szCs w:val="20"/>
          <w:color w:val="auto"/>
        </w:rPr>
      </w:pPr>
      <w:r>
        <w:rPr>
          <w:rFonts w:ascii="Arial" w:cs="Arial" w:eastAsia="Arial" w:hAnsi="Arial"/>
          <w:sz w:val="13"/>
          <w:szCs w:val="13"/>
          <w:b w:val="1"/>
          <w:bCs w:val="1"/>
          <w:color w:val="00529B"/>
        </w:rPr>
        <w:t>Board Committees:</w:t>
      </w:r>
    </w:p>
    <w:p>
      <w:pPr>
        <w:ind w:left="200"/>
        <w:spacing w:after="0" w:line="250" w:lineRule="auto"/>
        <w:rPr>
          <w:sz w:val="20"/>
          <w:szCs w:val="20"/>
          <w:color w:val="auto"/>
        </w:rPr>
      </w:pPr>
      <w:r>
        <w:rPr>
          <w:rFonts w:ascii="Arial" w:cs="Arial" w:eastAsia="Arial" w:hAnsi="Arial"/>
          <w:sz w:val="13"/>
          <w:szCs w:val="13"/>
          <w:color w:val="auto"/>
        </w:rPr>
        <w:t>Environmental, Health and Safety (Chair); Compensation</w:t>
      </w:r>
    </w:p>
    <w:p>
      <w:pPr>
        <w:spacing w:after="0" w:line="180" w:lineRule="exact"/>
        <w:rPr>
          <w:sz w:val="20"/>
          <w:szCs w:val="20"/>
          <w:color w:val="auto"/>
        </w:rPr>
      </w:pPr>
    </w:p>
    <w:p>
      <w:pPr>
        <w:ind w:left="200" w:right="40"/>
        <w:spacing w:after="0" w:line="249" w:lineRule="auto"/>
        <w:rPr>
          <w:sz w:val="20"/>
          <w:szCs w:val="20"/>
          <w:color w:val="auto"/>
        </w:rPr>
      </w:pPr>
      <w:r>
        <w:rPr>
          <w:rFonts w:ascii="Arial" w:cs="Arial" w:eastAsia="Arial" w:hAnsi="Arial"/>
          <w:sz w:val="13"/>
          <w:szCs w:val="13"/>
          <w:b w:val="1"/>
          <w:bCs w:val="1"/>
          <w:color w:val="00529B"/>
        </w:rPr>
        <w:t>Former Public Company Directorships:</w:t>
      </w:r>
    </w:p>
    <w:p>
      <w:pPr>
        <w:ind w:left="200"/>
        <w:spacing w:after="0"/>
        <w:rPr>
          <w:sz w:val="20"/>
          <w:szCs w:val="20"/>
          <w:color w:val="auto"/>
        </w:rPr>
      </w:pPr>
      <w:r>
        <w:rPr>
          <w:rFonts w:ascii="Arial" w:cs="Arial" w:eastAsia="Arial" w:hAnsi="Arial"/>
          <w:sz w:val="13"/>
          <w:szCs w:val="13"/>
          <w:b w:val="1"/>
          <w:bCs w:val="1"/>
          <w:color w:val="00529B"/>
        </w:rPr>
        <w:t>(within the last 5 years):</w:t>
      </w:r>
    </w:p>
    <w:p>
      <w:pPr>
        <w:ind w:left="200"/>
        <w:spacing w:after="0"/>
        <w:rPr>
          <w:sz w:val="20"/>
          <w:szCs w:val="20"/>
          <w:color w:val="auto"/>
        </w:rPr>
      </w:pPr>
      <w:r>
        <w:rPr>
          <w:rFonts w:ascii="Arial" w:cs="Arial" w:eastAsia="Arial" w:hAnsi="Arial"/>
          <w:sz w:val="13"/>
          <w:szCs w:val="13"/>
          <w:color w:val="auto"/>
        </w:rPr>
        <w:t>MEG Energy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Mr. Klesse is the former Chief Executive Officer and former Chairman of the Board of Valero Energy Corporation (Valero), an international manufacturer and marketer of transportation fuels, other petrochemical products and power. He joined the Valero board as Vice Chairman in 2005 and served as Chairman of the Board from 2007 until his retirement in December 2014. From 2006 to May 2014, he served as Chief Executive Officer of Valero and served as President from 2008 to 2013. From 2003 to 2005, Mr. Klesse was Valero’s Executive Vice President and Chief Operating Officer. Prior to that, he served as Executive Vice President of Refining and Commercial Operations following Valero’s 2001 acquisition of Ultramar Diamond Shamrock Corporation, where he had been Executive Vice President of the company’s refining operations. Mr. Klesse began his 45-plus year career in the energy industry at Diamond Shamrock Corporation, which merged with Ultramar Corporation in 1996. Mr. Klesse is a trustee of the University of Dayton, Texas Biomedical Research Institute and United Way of San Antonio and Bexar County and serves on the Advisory Board of the San Antonio Food Bank and the UTSA Engineering Advisory Council at the Margie and Bill Klesse College of Engineering and Integrated Design. He also serves on the boards of The Briscoe Western Art Museum and Christus Santa Rosa Foundation. Mr. Klesse holds a bachelor’s degree in Chemical Engineering from the University of Dayton and a Master of Business Administration with an emphasis in Finance from West Texas A&amp;M University.</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Environmental,</w:t>
            </w:r>
          </w:p>
        </w:tc>
        <w:tc>
          <w:tcPr>
            <w:tcW w:w="1360" w:type="dxa"/>
            <w:vAlign w:val="bottom"/>
          </w:tcPr>
          <w:p>
            <w:pPr>
              <w:ind w:left="260"/>
              <w:spacing w:after="0"/>
              <w:rPr>
                <w:sz w:val="20"/>
                <w:szCs w:val="20"/>
                <w:color w:val="auto"/>
              </w:rPr>
            </w:pPr>
            <w:r>
              <w:rPr>
                <w:rFonts w:ascii="Arial" w:cs="Arial" w:eastAsia="Arial" w:hAnsi="Arial"/>
                <w:sz w:val="13"/>
                <w:szCs w:val="13"/>
                <w:color w:val="auto"/>
              </w:rPr>
              <w:t>Executive</w:t>
            </w:r>
          </w:p>
        </w:tc>
        <w:tc>
          <w:tcPr>
            <w:tcW w:w="920" w:type="dxa"/>
            <w:vAlign w:val="bottom"/>
          </w:tcPr>
          <w:p>
            <w:pPr>
              <w:ind w:left="220"/>
              <w:spacing w:after="0"/>
              <w:rPr>
                <w:sz w:val="20"/>
                <w:szCs w:val="20"/>
                <w:color w:val="auto"/>
              </w:rPr>
            </w:pPr>
            <w:r>
              <w:rPr>
                <w:rFonts w:ascii="Arial" w:cs="Arial" w:eastAsia="Arial" w:hAnsi="Arial"/>
                <w:sz w:val="13"/>
                <w:szCs w:val="13"/>
                <w:color w:val="auto"/>
              </w:rPr>
              <w:t>Finance/</w:t>
            </w:r>
          </w:p>
        </w:tc>
        <w:tc>
          <w:tcPr>
            <w:tcW w:w="1040" w:type="dxa"/>
            <w:vAlign w:val="bottom"/>
          </w:tcPr>
          <w:p>
            <w:pPr>
              <w:ind w:left="160"/>
              <w:spacing w:after="0"/>
              <w:rPr>
                <w:sz w:val="20"/>
                <w:szCs w:val="20"/>
                <w:color w:val="auto"/>
              </w:rPr>
            </w:pPr>
            <w:r>
              <w:rPr>
                <w:rFonts w:ascii="Arial" w:cs="Arial" w:eastAsia="Arial" w:hAnsi="Arial"/>
                <w:sz w:val="13"/>
                <w:szCs w:val="13"/>
                <w:color w:val="auto"/>
              </w:rPr>
              <w:t>Financial</w:t>
            </w:r>
          </w:p>
        </w:tc>
        <w:tc>
          <w:tcPr>
            <w:tcW w:w="1120" w:type="dxa"/>
            <w:vAlign w:val="bottom"/>
          </w:tcPr>
          <w:p>
            <w:pPr>
              <w:ind w:left="200"/>
              <w:spacing w:after="0"/>
              <w:rPr>
                <w:sz w:val="20"/>
                <w:szCs w:val="20"/>
                <w:color w:val="auto"/>
              </w:rPr>
            </w:pPr>
            <w:r>
              <w:rPr>
                <w:rFonts w:ascii="Arial" w:cs="Arial" w:eastAsia="Arial" w:hAnsi="Arial"/>
                <w:sz w:val="13"/>
                <w:szCs w:val="13"/>
                <w:color w:val="auto"/>
              </w:rPr>
              <w:t>Industry</w:t>
            </w:r>
          </w:p>
        </w:tc>
        <w:tc>
          <w:tcPr>
            <w:tcW w:w="900" w:type="dxa"/>
            <w:vAlign w:val="bottom"/>
          </w:tcPr>
          <w:p>
            <w:pPr>
              <w:ind w:left="180"/>
              <w:spacing w:after="0"/>
              <w:rPr>
                <w:sz w:val="20"/>
                <w:szCs w:val="20"/>
                <w:color w:val="auto"/>
              </w:rPr>
            </w:pPr>
            <w:r>
              <w:rPr>
                <w:rFonts w:ascii="Arial" w:cs="Arial" w:eastAsia="Arial" w:hAnsi="Arial"/>
                <w:sz w:val="13"/>
                <w:szCs w:val="13"/>
                <w:color w:val="auto"/>
              </w:rPr>
              <w:t>Investor</w:t>
            </w:r>
          </w:p>
        </w:tc>
        <w:tc>
          <w:tcPr>
            <w:tcW w:w="1020" w:type="dxa"/>
            <w:vAlign w:val="bottom"/>
          </w:tcPr>
          <w:p>
            <w:pPr>
              <w:ind w:left="160"/>
              <w:spacing w:after="0"/>
              <w:rPr>
                <w:sz w:val="20"/>
                <w:szCs w:val="20"/>
                <w:color w:val="auto"/>
              </w:rPr>
            </w:pPr>
            <w:r>
              <w:rPr>
                <w:rFonts w:ascii="Arial" w:cs="Arial" w:eastAsia="Arial" w:hAnsi="Arial"/>
                <w:sz w:val="13"/>
                <w:szCs w:val="13"/>
                <w:color w:val="auto"/>
              </w:rPr>
              <w:t>Public</w:t>
            </w:r>
          </w:p>
        </w:tc>
        <w:tc>
          <w:tcPr>
            <w:tcW w:w="980" w:type="dxa"/>
            <w:vAlign w:val="bottom"/>
          </w:tcPr>
          <w:p>
            <w:pPr>
              <w:ind w:left="180"/>
              <w:spacing w:after="0"/>
              <w:rPr>
                <w:sz w:val="20"/>
                <w:szCs w:val="20"/>
                <w:color w:val="auto"/>
              </w:rPr>
            </w:pPr>
            <w:r>
              <w:rPr>
                <w:rFonts w:ascii="Arial" w:cs="Arial" w:eastAsia="Arial" w:hAnsi="Arial"/>
                <w:sz w:val="13"/>
                <w:szCs w:val="13"/>
                <w:color w:val="auto"/>
              </w:rPr>
              <w:t>Risk</w:t>
            </w:r>
          </w:p>
        </w:tc>
      </w:tr>
      <w:tr>
        <w:trPr>
          <w:trHeight w:val="149"/>
        </w:trPr>
        <w:tc>
          <w:tcPr>
            <w:tcW w:w="1160" w:type="dxa"/>
            <w:vAlign w:val="bottom"/>
          </w:tcPr>
          <w:p>
            <w:pPr>
              <w:spacing w:after="0"/>
              <w:rPr>
                <w:sz w:val="20"/>
                <w:szCs w:val="20"/>
                <w:color w:val="auto"/>
              </w:rPr>
            </w:pPr>
            <w:r>
              <w:rPr>
                <w:rFonts w:ascii="Arial" w:cs="Arial" w:eastAsia="Arial" w:hAnsi="Arial"/>
                <w:sz w:val="13"/>
                <w:szCs w:val="13"/>
                <w:color w:val="auto"/>
              </w:rPr>
              <w:t>Health,</w:t>
            </w:r>
          </w:p>
        </w:tc>
        <w:tc>
          <w:tcPr>
            <w:tcW w:w="1360" w:type="dxa"/>
            <w:vAlign w:val="bottom"/>
          </w:tcPr>
          <w:p>
            <w:pPr>
              <w:ind w:left="260"/>
              <w:spacing w:after="0"/>
              <w:rPr>
                <w:sz w:val="20"/>
                <w:szCs w:val="20"/>
                <w:color w:val="auto"/>
              </w:rPr>
            </w:pPr>
            <w:r>
              <w:rPr>
                <w:rFonts w:ascii="Arial" w:cs="Arial" w:eastAsia="Arial" w:hAnsi="Arial"/>
                <w:sz w:val="13"/>
                <w:szCs w:val="13"/>
                <w:color w:val="auto"/>
              </w:rPr>
              <w:t>Compensation</w:t>
            </w:r>
          </w:p>
        </w:tc>
        <w:tc>
          <w:tcPr>
            <w:tcW w:w="920" w:type="dxa"/>
            <w:vAlign w:val="bottom"/>
          </w:tcPr>
          <w:p>
            <w:pPr>
              <w:ind w:left="220"/>
              <w:spacing w:after="0"/>
              <w:rPr>
                <w:sz w:val="20"/>
                <w:szCs w:val="20"/>
                <w:color w:val="auto"/>
              </w:rPr>
            </w:pPr>
            <w:r>
              <w:rPr>
                <w:rFonts w:ascii="Arial" w:cs="Arial" w:eastAsia="Arial" w:hAnsi="Arial"/>
                <w:sz w:val="13"/>
                <w:szCs w:val="13"/>
                <w:color w:val="auto"/>
              </w:rPr>
              <w:t>Capital</w:t>
            </w:r>
          </w:p>
        </w:tc>
        <w:tc>
          <w:tcPr>
            <w:tcW w:w="1040" w:type="dxa"/>
            <w:vAlign w:val="bottom"/>
          </w:tcPr>
          <w:p>
            <w:pPr>
              <w:ind w:left="160"/>
              <w:spacing w:after="0"/>
              <w:rPr>
                <w:sz w:val="20"/>
                <w:szCs w:val="20"/>
                <w:color w:val="auto"/>
              </w:rPr>
            </w:pPr>
            <w:r>
              <w:rPr>
                <w:rFonts w:ascii="Arial" w:cs="Arial" w:eastAsia="Arial" w:hAnsi="Arial"/>
                <w:sz w:val="13"/>
                <w:szCs w:val="13"/>
                <w:color w:val="auto"/>
              </w:rPr>
              <w:t>Reporting/</w:t>
            </w:r>
          </w:p>
        </w:tc>
        <w:tc>
          <w:tcPr>
            <w:tcW w:w="1120" w:type="dxa"/>
            <w:vAlign w:val="bottom"/>
          </w:tcPr>
          <w:p>
            <w:pPr>
              <w:ind w:left="200"/>
              <w:spacing w:after="0"/>
              <w:rPr>
                <w:sz w:val="20"/>
                <w:szCs w:val="20"/>
                <w:color w:val="auto"/>
              </w:rPr>
            </w:pPr>
            <w:r>
              <w:rPr>
                <w:rFonts w:ascii="Arial" w:cs="Arial" w:eastAsia="Arial" w:hAnsi="Arial"/>
                <w:sz w:val="13"/>
                <w:szCs w:val="13"/>
                <w:color w:val="auto"/>
              </w:rPr>
              <w:t>Background</w:t>
            </w:r>
          </w:p>
        </w:tc>
        <w:tc>
          <w:tcPr>
            <w:tcW w:w="900" w:type="dxa"/>
            <w:vAlign w:val="bottom"/>
          </w:tcPr>
          <w:p>
            <w:pPr>
              <w:ind w:left="180"/>
              <w:spacing w:after="0"/>
              <w:rPr>
                <w:sz w:val="20"/>
                <w:szCs w:val="20"/>
                <w:color w:val="auto"/>
              </w:rPr>
            </w:pPr>
            <w:r>
              <w:rPr>
                <w:rFonts w:ascii="Arial" w:cs="Arial" w:eastAsia="Arial" w:hAnsi="Arial"/>
                <w:sz w:val="13"/>
                <w:szCs w:val="13"/>
                <w:color w:val="auto"/>
              </w:rPr>
              <w:t>Relations</w:t>
            </w:r>
          </w:p>
        </w:tc>
        <w:tc>
          <w:tcPr>
            <w:tcW w:w="1020" w:type="dxa"/>
            <w:vAlign w:val="bottom"/>
          </w:tcPr>
          <w:p>
            <w:pPr>
              <w:ind w:left="160"/>
              <w:spacing w:after="0"/>
              <w:rPr>
                <w:sz w:val="20"/>
                <w:szCs w:val="20"/>
                <w:color w:val="auto"/>
              </w:rPr>
            </w:pPr>
            <w:r>
              <w:rPr>
                <w:rFonts w:ascii="Arial" w:cs="Arial" w:eastAsia="Arial" w:hAnsi="Arial"/>
                <w:sz w:val="13"/>
                <w:szCs w:val="13"/>
                <w:color w:val="auto"/>
              </w:rPr>
              <w:t>Company</w:t>
            </w:r>
          </w:p>
        </w:tc>
        <w:tc>
          <w:tcPr>
            <w:tcW w:w="980" w:type="dxa"/>
            <w:vAlign w:val="bottom"/>
          </w:tcPr>
          <w:p>
            <w:pPr>
              <w:ind w:left="180"/>
              <w:spacing w:after="0"/>
              <w:rPr>
                <w:sz w:val="20"/>
                <w:szCs w:val="20"/>
                <w:color w:val="auto"/>
              </w:rPr>
            </w:pPr>
            <w:r>
              <w:rPr>
                <w:rFonts w:ascii="Arial" w:cs="Arial" w:eastAsia="Arial" w:hAnsi="Arial"/>
                <w:sz w:val="13"/>
                <w:szCs w:val="13"/>
                <w:color w:val="auto"/>
              </w:rPr>
              <w:t>Management</w:t>
            </w:r>
          </w:p>
        </w:tc>
      </w:tr>
      <w:tr>
        <w:trPr>
          <w:trHeight w:val="148"/>
        </w:trPr>
        <w:tc>
          <w:tcPr>
            <w:tcW w:w="1160" w:type="dxa"/>
            <w:vAlign w:val="bottom"/>
          </w:tcPr>
          <w:p>
            <w:pPr>
              <w:spacing w:after="0"/>
              <w:rPr>
                <w:sz w:val="20"/>
                <w:szCs w:val="20"/>
                <w:color w:val="auto"/>
              </w:rPr>
            </w:pPr>
            <w:r>
              <w:rPr>
                <w:rFonts w:ascii="Arial" w:cs="Arial" w:eastAsia="Arial" w:hAnsi="Arial"/>
                <w:sz w:val="13"/>
                <w:szCs w:val="13"/>
                <w:color w:val="auto"/>
              </w:rPr>
              <w:t>Safety &amp;</w:t>
            </w:r>
          </w:p>
        </w:tc>
        <w:tc>
          <w:tcPr>
            <w:tcW w:w="1360" w:type="dxa"/>
            <w:vAlign w:val="bottom"/>
          </w:tcPr>
          <w:p>
            <w:pPr>
              <w:spacing w:after="0"/>
              <w:rPr>
                <w:sz w:val="12"/>
                <w:szCs w:val="12"/>
                <w:color w:val="auto"/>
              </w:rPr>
            </w:pPr>
          </w:p>
        </w:tc>
        <w:tc>
          <w:tcPr>
            <w:tcW w:w="920" w:type="dxa"/>
            <w:vAlign w:val="bottom"/>
          </w:tcPr>
          <w:p>
            <w:pPr>
              <w:ind w:left="220"/>
              <w:spacing w:after="0"/>
              <w:rPr>
                <w:sz w:val="20"/>
                <w:szCs w:val="20"/>
                <w:color w:val="auto"/>
              </w:rPr>
            </w:pPr>
            <w:r>
              <w:rPr>
                <w:rFonts w:ascii="Arial" w:cs="Arial" w:eastAsia="Arial" w:hAnsi="Arial"/>
                <w:sz w:val="13"/>
                <w:szCs w:val="13"/>
                <w:color w:val="auto"/>
              </w:rPr>
              <w:t>Markets</w:t>
            </w:r>
          </w:p>
        </w:tc>
        <w:tc>
          <w:tcPr>
            <w:tcW w:w="1040" w:type="dxa"/>
            <w:vAlign w:val="bottom"/>
          </w:tcPr>
          <w:p>
            <w:pPr>
              <w:ind w:left="160"/>
              <w:spacing w:after="0"/>
              <w:rPr>
                <w:sz w:val="20"/>
                <w:szCs w:val="20"/>
                <w:color w:val="auto"/>
              </w:rPr>
            </w:pPr>
            <w:r>
              <w:rPr>
                <w:rFonts w:ascii="Arial" w:cs="Arial" w:eastAsia="Arial" w:hAnsi="Arial"/>
                <w:sz w:val="13"/>
                <w:szCs w:val="13"/>
                <w:color w:val="auto"/>
              </w:rPr>
              <w:t>Accounting</w:t>
            </w: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Executive</w:t>
            </w:r>
          </w:p>
        </w:tc>
        <w:tc>
          <w:tcPr>
            <w:tcW w:w="980" w:type="dxa"/>
            <w:vAlign w:val="bottom"/>
          </w:tcPr>
          <w:p>
            <w:pPr>
              <w:spacing w:after="0"/>
              <w:rPr>
                <w:sz w:val="12"/>
                <w:szCs w:val="12"/>
                <w:color w:val="auto"/>
              </w:rPr>
            </w:pPr>
          </w:p>
        </w:tc>
      </w:tr>
      <w:tr>
        <w:trPr>
          <w:trHeight w:val="176"/>
        </w:trPr>
        <w:tc>
          <w:tcPr>
            <w:tcW w:w="1160" w:type="dxa"/>
            <w:vAlign w:val="bottom"/>
          </w:tcPr>
          <w:p>
            <w:pPr>
              <w:spacing w:after="0"/>
              <w:rPr>
                <w:sz w:val="20"/>
                <w:szCs w:val="20"/>
                <w:color w:val="auto"/>
              </w:rPr>
            </w:pPr>
            <w:r>
              <w:rPr>
                <w:rFonts w:ascii="Arial" w:cs="Arial" w:eastAsia="Arial" w:hAnsi="Arial"/>
                <w:sz w:val="13"/>
                <w:szCs w:val="13"/>
                <w:color w:val="auto"/>
              </w:rPr>
              <w:t>Sustainability</w:t>
            </w: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ind w:left="160"/>
              <w:spacing w:after="0"/>
              <w:rPr>
                <w:sz w:val="20"/>
                <w:szCs w:val="20"/>
                <w:color w:val="auto"/>
              </w:rPr>
            </w:pPr>
            <w:r>
              <w:rPr>
                <w:rFonts w:ascii="Arial" w:cs="Arial" w:eastAsia="Arial" w:hAnsi="Arial"/>
                <w:sz w:val="13"/>
                <w:szCs w:val="13"/>
                <w:color w:val="auto"/>
              </w:rPr>
              <w:t>Experience</w:t>
            </w: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Experience</w:t>
            </w:r>
          </w:p>
        </w:tc>
        <w:tc>
          <w:tcPr>
            <w:tcW w:w="9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230505</wp:posOffset>
            </wp:positionV>
            <wp:extent cx="71323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360"/>
            <w:col w:w="8920"/>
          </w:cols>
          <w:pgMar w:left="320" w:top="130" w:right="499" w:bottom="1440" w:gutter="0" w:footer="0" w:header="0"/>
          <w:type w:val="continuous"/>
        </w:sect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9060"/>
        <w:spacing w:after="0"/>
        <w:rPr>
          <w:sz w:val="20"/>
          <w:szCs w:val="20"/>
          <w:color w:val="auto"/>
        </w:rPr>
      </w:pPr>
      <w:r>
        <w:rPr>
          <w:rFonts w:ascii="Arial" w:cs="Arial" w:eastAsia="Arial" w:hAnsi="Arial"/>
          <w:sz w:val="15"/>
          <w:szCs w:val="15"/>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251585" cy="1974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51585" cy="197485"/>
                    </a:xfrm>
                    <a:prstGeom prst="rect">
                      <a:avLst/>
                    </a:prstGeom>
                    <a:noFill/>
                  </pic:spPr>
                </pic:pic>
              </a:graphicData>
            </a:graphic>
          </wp:anchor>
        </w:drawing>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CLAIRE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177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174"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left="2260" w:right="220"/>
        <w:spacing w:after="0" w:line="241" w:lineRule="auto"/>
        <w:rPr>
          <w:sz w:val="20"/>
          <w:szCs w:val="20"/>
          <w:color w:val="auto"/>
        </w:rPr>
      </w:pPr>
      <w:r>
        <w:rPr>
          <w:rFonts w:ascii="Arial" w:cs="Arial" w:eastAsia="Arial" w:hAnsi="Arial"/>
          <w:sz w:val="13"/>
          <w:szCs w:val="13"/>
          <w:color w:val="auto"/>
        </w:rPr>
        <w:t>Ms. O’Neill served as the Managing Director for Climate and Energy at the World Business Council for Sustainable Development (WBCSD) from August 2020 until December 2021. Prior to that, Ms. O’Neill served as COP26 President-Designate from July 2019 until February 2020. Before leading the UK’s successful bid to host COP 26, Ms. O’Neill served as a UK Member of Parliament for Devizes from 2010 until 2019, where she was a Government Whip and Minister for Rail before being appointed as Minister of State for Energy and Clean Growth. Ms. O’Neill currently serves as Co-Chair of the Global Imperatives Advisory Board for the WBCSD, an Executive Board Director and Chair of the International Advisory Council for Climate Impact X and a co-founder and co-chair of the Responsible Energy Forum, among other senior advisory roles regarding climate and sustainability matters. From March 2022 to January 2023, Ms. O’Neill served as an Executive Board Director and Audit Committee member of Scottish Power. Ms. O’Neill has a Bachelor of Arts in Geography from Brasenose College at Oxford University and a Master of Business Administration from Harvard Business School.</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00529B"/>
              </w:rPr>
              <w:t>INDEPENDENT</w:t>
            </w:r>
          </w:p>
        </w:tc>
        <w:tc>
          <w:tcPr>
            <w:tcW w:w="2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4"/>
                <w:szCs w:val="14"/>
                <w:b w:val="1"/>
                <w:bCs w:val="1"/>
                <w:color w:val="00529B"/>
              </w:rPr>
              <w:t>Core Competencies</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58</w:t>
            </w:r>
          </w:p>
        </w:tc>
        <w:tc>
          <w:tcPr>
            <w:tcW w:w="20" w:type="dxa"/>
            <w:vAlign w:val="bottom"/>
            <w:shd w:val="clear" w:color="auto" w:fill="00519B"/>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2023</w:t>
            </w:r>
          </w:p>
        </w:tc>
        <w:tc>
          <w:tcPr>
            <w:tcW w:w="20" w:type="dxa"/>
            <w:vAlign w:val="bottom"/>
            <w:shd w:val="clear" w:color="auto" w:fill="00519B"/>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920" w:type="dxa"/>
            <w:vAlign w:val="bottom"/>
          </w:tcPr>
          <w:p>
            <w:pPr>
              <w:spacing w:after="0"/>
              <w:rPr>
                <w:sz w:val="20"/>
                <w:szCs w:val="20"/>
                <w:color w:val="auto"/>
              </w:rPr>
            </w:pPr>
            <w:r>
              <w:rPr>
                <w:rFonts w:ascii="Arial" w:cs="Arial" w:eastAsia="Arial" w:hAnsi="Arial"/>
                <w:sz w:val="13"/>
                <w:szCs w:val="13"/>
                <w:b w:val="1"/>
                <w:bCs w:val="1"/>
                <w:color w:val="00529B"/>
              </w:rPr>
              <w:t>Board Committees:</w:t>
            </w:r>
          </w:p>
        </w:tc>
        <w:tc>
          <w:tcPr>
            <w:tcW w:w="20" w:type="dxa"/>
            <w:vAlign w:val="bottom"/>
            <w:shd w:val="clear" w:color="auto" w:fill="00519B"/>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920" w:type="dxa"/>
            <w:vAlign w:val="bottom"/>
            <w:vMerge w:val="restart"/>
          </w:tcPr>
          <w:p>
            <w:pPr>
              <w:spacing w:after="0"/>
              <w:rPr>
                <w:sz w:val="20"/>
                <w:szCs w:val="20"/>
                <w:color w:val="auto"/>
              </w:rPr>
            </w:pPr>
            <w:r>
              <w:rPr>
                <w:rFonts w:ascii="Arial" w:cs="Arial" w:eastAsia="Arial" w:hAnsi="Arial"/>
                <w:sz w:val="13"/>
                <w:szCs w:val="13"/>
                <w:color w:val="auto"/>
              </w:rPr>
              <w:t>Governance; Sustainability</w:t>
            </w:r>
          </w:p>
        </w:tc>
        <w:tc>
          <w:tcPr>
            <w:tcW w:w="20" w:type="dxa"/>
            <w:vAlign w:val="bottom"/>
            <w:shd w:val="clear" w:color="auto" w:fill="00519B"/>
          </w:tcPr>
          <w:p>
            <w:pPr>
              <w:spacing w:after="0"/>
              <w:rPr>
                <w:sz w:val="6"/>
                <w:szCs w:val="6"/>
                <w:color w:val="auto"/>
              </w:rPr>
            </w:pPr>
          </w:p>
        </w:tc>
        <w:tc>
          <w:tcPr>
            <w:tcW w:w="1700" w:type="dxa"/>
            <w:vAlign w:val="bottom"/>
            <w:vMerge w:val="restart"/>
          </w:tcPr>
          <w:p>
            <w:pPr>
              <w:ind w:left="120"/>
              <w:spacing w:after="0"/>
              <w:rPr>
                <w:sz w:val="20"/>
                <w:szCs w:val="20"/>
                <w:color w:val="auto"/>
              </w:rPr>
            </w:pPr>
            <w:r>
              <w:rPr>
                <w:rFonts w:ascii="Arial" w:cs="Arial" w:eastAsia="Arial" w:hAnsi="Arial"/>
                <w:sz w:val="13"/>
                <w:szCs w:val="13"/>
                <w:color w:val="auto"/>
              </w:rPr>
              <w:t>Environmental,</w:t>
            </w:r>
          </w:p>
        </w:tc>
        <w:tc>
          <w:tcPr>
            <w:tcW w:w="1060" w:type="dxa"/>
            <w:vAlign w:val="bottom"/>
            <w:vMerge w:val="restart"/>
          </w:tcPr>
          <w:p>
            <w:pPr>
              <w:ind w:left="240"/>
              <w:spacing w:after="0"/>
              <w:rPr>
                <w:sz w:val="20"/>
                <w:szCs w:val="20"/>
                <w:color w:val="auto"/>
              </w:rPr>
            </w:pPr>
            <w:r>
              <w:rPr>
                <w:rFonts w:ascii="Arial" w:cs="Arial" w:eastAsia="Arial" w:hAnsi="Arial"/>
                <w:sz w:val="13"/>
                <w:szCs w:val="13"/>
                <w:color w:val="auto"/>
              </w:rPr>
              <w:t>Finance/</w:t>
            </w:r>
          </w:p>
        </w:tc>
        <w:tc>
          <w:tcPr>
            <w:tcW w:w="1300" w:type="dxa"/>
            <w:vAlign w:val="bottom"/>
            <w:vMerge w:val="restart"/>
          </w:tcPr>
          <w:p>
            <w:pPr>
              <w:ind w:left="280"/>
              <w:spacing w:after="0"/>
              <w:rPr>
                <w:sz w:val="20"/>
                <w:szCs w:val="20"/>
                <w:color w:val="auto"/>
              </w:rPr>
            </w:pPr>
            <w:r>
              <w:rPr>
                <w:rFonts w:ascii="Arial" w:cs="Arial" w:eastAsia="Arial" w:hAnsi="Arial"/>
                <w:sz w:val="13"/>
                <w:szCs w:val="13"/>
                <w:color w:val="auto"/>
              </w:rPr>
              <w:t>Financial</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Government,</w:t>
            </w: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Industry</w:t>
            </w:r>
          </w:p>
        </w:tc>
        <w:tc>
          <w:tcPr>
            <w:tcW w:w="1080" w:type="dxa"/>
            <w:vAlign w:val="bottom"/>
            <w:vMerge w:val="restart"/>
          </w:tcPr>
          <w:p>
            <w:pPr>
              <w:ind w:left="340"/>
              <w:spacing w:after="0"/>
              <w:rPr>
                <w:sz w:val="20"/>
                <w:szCs w:val="20"/>
                <w:color w:val="auto"/>
              </w:rPr>
            </w:pPr>
            <w:r>
              <w:rPr>
                <w:rFonts w:ascii="Arial" w:cs="Arial" w:eastAsia="Arial" w:hAnsi="Arial"/>
                <w:sz w:val="13"/>
                <w:szCs w:val="13"/>
                <w:color w:val="auto"/>
              </w:rPr>
              <w:t>International</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ind w:left="120"/>
              <w:spacing w:after="0"/>
              <w:rPr>
                <w:sz w:val="20"/>
                <w:szCs w:val="20"/>
                <w:color w:val="auto"/>
              </w:rPr>
            </w:pPr>
            <w:r>
              <w:rPr>
                <w:rFonts w:ascii="Arial" w:cs="Arial" w:eastAsia="Arial" w:hAnsi="Arial"/>
                <w:sz w:val="13"/>
                <w:szCs w:val="13"/>
                <w:color w:val="auto"/>
              </w:rPr>
              <w:t>Health,</w:t>
            </w:r>
          </w:p>
        </w:tc>
        <w:tc>
          <w:tcPr>
            <w:tcW w:w="1060" w:type="dxa"/>
            <w:vAlign w:val="bottom"/>
          </w:tcPr>
          <w:p>
            <w:pPr>
              <w:ind w:left="240"/>
              <w:spacing w:after="0"/>
              <w:rPr>
                <w:sz w:val="20"/>
                <w:szCs w:val="20"/>
                <w:color w:val="auto"/>
              </w:rPr>
            </w:pPr>
            <w:r>
              <w:rPr>
                <w:rFonts w:ascii="Arial" w:cs="Arial" w:eastAsia="Arial" w:hAnsi="Arial"/>
                <w:sz w:val="13"/>
                <w:szCs w:val="13"/>
                <w:color w:val="auto"/>
              </w:rPr>
              <w:t>Capital</w:t>
            </w:r>
          </w:p>
        </w:tc>
        <w:tc>
          <w:tcPr>
            <w:tcW w:w="1300" w:type="dxa"/>
            <w:vAlign w:val="bottom"/>
          </w:tcPr>
          <w:p>
            <w:pPr>
              <w:ind w:left="280"/>
              <w:spacing w:after="0"/>
              <w:rPr>
                <w:sz w:val="20"/>
                <w:szCs w:val="20"/>
                <w:color w:val="auto"/>
              </w:rPr>
            </w:pPr>
            <w:r>
              <w:rPr>
                <w:rFonts w:ascii="Arial" w:cs="Arial" w:eastAsia="Arial" w:hAnsi="Arial"/>
                <w:sz w:val="13"/>
                <w:szCs w:val="13"/>
                <w:color w:val="auto"/>
              </w:rPr>
              <w:t>Reporting/</w:t>
            </w:r>
          </w:p>
        </w:tc>
        <w:tc>
          <w:tcPr>
            <w:tcW w:w="1540" w:type="dxa"/>
            <w:vAlign w:val="bottom"/>
          </w:tcPr>
          <w:p>
            <w:pPr>
              <w:ind w:left="360"/>
              <w:spacing w:after="0"/>
              <w:rPr>
                <w:sz w:val="20"/>
                <w:szCs w:val="20"/>
                <w:color w:val="auto"/>
              </w:rPr>
            </w:pPr>
            <w:r>
              <w:rPr>
                <w:rFonts w:ascii="Arial" w:cs="Arial" w:eastAsia="Arial" w:hAnsi="Arial"/>
                <w:sz w:val="13"/>
                <w:szCs w:val="13"/>
                <w:color w:val="auto"/>
              </w:rPr>
              <w:t>Legal &amp;</w:t>
            </w:r>
          </w:p>
        </w:tc>
        <w:tc>
          <w:tcPr>
            <w:tcW w:w="1480" w:type="dxa"/>
            <w:vAlign w:val="bottom"/>
          </w:tcPr>
          <w:p>
            <w:pPr>
              <w:ind w:left="400"/>
              <w:spacing w:after="0"/>
              <w:rPr>
                <w:sz w:val="20"/>
                <w:szCs w:val="20"/>
                <w:color w:val="auto"/>
              </w:rPr>
            </w:pPr>
            <w:r>
              <w:rPr>
                <w:rFonts w:ascii="Arial" w:cs="Arial" w:eastAsia="Arial" w:hAnsi="Arial"/>
                <w:sz w:val="13"/>
                <w:szCs w:val="13"/>
                <w:color w:val="auto"/>
              </w:rPr>
              <w:t>Background</w:t>
            </w:r>
          </w:p>
        </w:tc>
        <w:tc>
          <w:tcPr>
            <w:tcW w:w="1080" w:type="dxa"/>
            <w:vAlign w:val="bottom"/>
          </w:tcPr>
          <w:p>
            <w:pPr>
              <w:ind w:left="340"/>
              <w:spacing w:after="0"/>
              <w:rPr>
                <w:sz w:val="20"/>
                <w:szCs w:val="20"/>
                <w:color w:val="auto"/>
              </w:rPr>
            </w:pPr>
            <w:r>
              <w:rPr>
                <w:rFonts w:ascii="Arial" w:cs="Arial" w:eastAsia="Arial" w:hAnsi="Arial"/>
                <w:sz w:val="13"/>
                <w:szCs w:val="13"/>
                <w:color w:val="auto"/>
              </w:rPr>
              <w:t>Experience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ind w:left="120"/>
              <w:spacing w:after="0"/>
              <w:rPr>
                <w:sz w:val="20"/>
                <w:szCs w:val="20"/>
                <w:color w:val="auto"/>
              </w:rPr>
            </w:pPr>
            <w:r>
              <w:rPr>
                <w:rFonts w:ascii="Arial" w:cs="Arial" w:eastAsia="Arial" w:hAnsi="Arial"/>
                <w:sz w:val="13"/>
                <w:szCs w:val="13"/>
                <w:color w:val="auto"/>
              </w:rPr>
              <w:t>Safety &amp;</w:t>
            </w:r>
          </w:p>
        </w:tc>
        <w:tc>
          <w:tcPr>
            <w:tcW w:w="1060" w:type="dxa"/>
            <w:vAlign w:val="bottom"/>
          </w:tcPr>
          <w:p>
            <w:pPr>
              <w:ind w:left="240"/>
              <w:spacing w:after="0"/>
              <w:rPr>
                <w:sz w:val="20"/>
                <w:szCs w:val="20"/>
                <w:color w:val="auto"/>
              </w:rPr>
            </w:pPr>
            <w:r>
              <w:rPr>
                <w:rFonts w:ascii="Arial" w:cs="Arial" w:eastAsia="Arial" w:hAnsi="Arial"/>
                <w:sz w:val="13"/>
                <w:szCs w:val="13"/>
                <w:color w:val="auto"/>
              </w:rPr>
              <w:t>Markets</w:t>
            </w:r>
          </w:p>
        </w:tc>
        <w:tc>
          <w:tcPr>
            <w:tcW w:w="1300" w:type="dxa"/>
            <w:vAlign w:val="bottom"/>
          </w:tcPr>
          <w:p>
            <w:pPr>
              <w:ind w:left="280"/>
              <w:spacing w:after="0"/>
              <w:rPr>
                <w:sz w:val="20"/>
                <w:szCs w:val="20"/>
                <w:color w:val="auto"/>
              </w:rPr>
            </w:pPr>
            <w:r>
              <w:rPr>
                <w:rFonts w:ascii="Arial" w:cs="Arial" w:eastAsia="Arial" w:hAnsi="Arial"/>
                <w:sz w:val="13"/>
                <w:szCs w:val="13"/>
                <w:color w:val="auto"/>
              </w:rPr>
              <w:t>Accounting</w:t>
            </w:r>
          </w:p>
        </w:tc>
        <w:tc>
          <w:tcPr>
            <w:tcW w:w="1540" w:type="dxa"/>
            <w:vAlign w:val="bottom"/>
          </w:tcPr>
          <w:p>
            <w:pPr>
              <w:ind w:left="360"/>
              <w:spacing w:after="0"/>
              <w:rPr>
                <w:sz w:val="20"/>
                <w:szCs w:val="20"/>
                <w:color w:val="auto"/>
              </w:rPr>
            </w:pPr>
            <w:r>
              <w:rPr>
                <w:rFonts w:ascii="Arial" w:cs="Arial" w:eastAsia="Arial" w:hAnsi="Arial"/>
                <w:sz w:val="13"/>
                <w:szCs w:val="13"/>
                <w:color w:val="auto"/>
              </w:rPr>
              <w:t>Regulatory</w:t>
            </w: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ind w:left="120"/>
              <w:spacing w:after="0"/>
              <w:rPr>
                <w:sz w:val="20"/>
                <w:szCs w:val="20"/>
                <w:color w:val="auto"/>
              </w:rPr>
            </w:pPr>
            <w:r>
              <w:rPr>
                <w:rFonts w:ascii="Arial" w:cs="Arial" w:eastAsia="Arial" w:hAnsi="Arial"/>
                <w:sz w:val="13"/>
                <w:szCs w:val="13"/>
                <w:color w:val="auto"/>
              </w:rPr>
              <w:t>Sustainability</w:t>
            </w:r>
          </w:p>
        </w:tc>
        <w:tc>
          <w:tcPr>
            <w:tcW w:w="1060" w:type="dxa"/>
            <w:vAlign w:val="bottom"/>
          </w:tcPr>
          <w:p>
            <w:pPr>
              <w:spacing w:after="0"/>
              <w:rPr>
                <w:sz w:val="15"/>
                <w:szCs w:val="15"/>
                <w:color w:val="auto"/>
              </w:rPr>
            </w:pPr>
          </w:p>
        </w:tc>
        <w:tc>
          <w:tcPr>
            <w:tcW w:w="1300" w:type="dxa"/>
            <w:vAlign w:val="bottom"/>
          </w:tcPr>
          <w:p>
            <w:pPr>
              <w:ind w:left="280"/>
              <w:spacing w:after="0"/>
              <w:rPr>
                <w:sz w:val="20"/>
                <w:szCs w:val="20"/>
                <w:color w:val="auto"/>
              </w:rPr>
            </w:pPr>
            <w:r>
              <w:rPr>
                <w:rFonts w:ascii="Arial" w:cs="Arial" w:eastAsia="Arial" w:hAnsi="Arial"/>
                <w:sz w:val="13"/>
                <w:szCs w:val="13"/>
                <w:color w:val="auto"/>
              </w:rPr>
              <w:t>Experience</w:t>
            </w:r>
          </w:p>
        </w:tc>
        <w:tc>
          <w:tcPr>
            <w:tcW w:w="1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594485" cy="196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94485" cy="196850"/>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3206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174"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left="2160" w:right="180"/>
        <w:spacing w:after="0" w:line="241" w:lineRule="auto"/>
        <w:rPr>
          <w:sz w:val="20"/>
          <w:szCs w:val="20"/>
          <w:color w:val="auto"/>
        </w:rPr>
      </w:pPr>
      <w:r>
        <w:rPr>
          <w:rFonts w:ascii="Arial" w:cs="Arial" w:eastAsia="Arial" w:hAnsi="Arial"/>
          <w:sz w:val="13"/>
          <w:szCs w:val="13"/>
          <w:color w:val="auto"/>
        </w:rPr>
        <w:t>Mr. Poladian is currently a director and the former Executive Vice President and Chief Operating Officer (2002-2016) of Lowe Enterprises, Inc., a privately-held diversified national real estate company active in commercial, residential and hospitality property investment, management and development. During his tenure as Chief Operating Officer, Mr. Poladian oversaw human resources, risk management, construction, finance and legal functions across the firm. Mr. Poladian was with Arthur Andersen from 1974 to 2002, admitted to Partner in 1984, Managing Partner, Pacific Southwest in 1989, and is a certified public accountant (inactive). He is a past member of the Young Presidents Organization, the California Society of CPAs and the American Institute of CPAs. Mr. Poladian was appointed to the California State Board of Accountancy and served in the position for nine years. He is a Director Emeritus of the YMCA of Metropolitan Los Angeles, a member of the Board of Advisors of the USC Price School of Public Policy, a member of the Board of Advisors of the Ronald Reagan UCLA Medical Center and a former Trustee of Loyola Marymount University. Mr. Poladian holds a bachelor’s degree in Accounting from Loyola Marymount University.</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INDEPENDENT</w:t>
            </w:r>
          </w:p>
        </w:tc>
        <w:tc>
          <w:tcPr>
            <w:tcW w:w="1120" w:type="dxa"/>
            <w:vAlign w:val="bottom"/>
            <w:tcBorders>
              <w:left w:val="single" w:sz="8" w:color="00519B"/>
            </w:tcBorders>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71</w:t>
            </w:r>
          </w:p>
        </w:tc>
        <w:tc>
          <w:tcPr>
            <w:tcW w:w="2520" w:type="dxa"/>
            <w:vAlign w:val="bottom"/>
            <w:tcBorders>
              <w:left w:val="single" w:sz="8" w:color="00519B"/>
            </w:tcBorders>
            <w:gridSpan w:val="2"/>
          </w:tcPr>
          <w:p>
            <w:pPr>
              <w:ind w:left="160"/>
              <w:spacing w:after="0" w:line="150" w:lineRule="exact"/>
              <w:rPr>
                <w:sz w:val="20"/>
                <w:szCs w:val="20"/>
                <w:color w:val="auto"/>
              </w:rPr>
            </w:pPr>
            <w:r>
              <w:rPr>
                <w:rFonts w:ascii="Arial" w:cs="Arial" w:eastAsia="Arial" w:hAnsi="Arial"/>
                <w:sz w:val="14"/>
                <w:szCs w:val="14"/>
                <w:b w:val="1"/>
                <w:bCs w:val="1"/>
                <w:color w:val="00529B"/>
              </w:rPr>
              <w:t>Core Competencies</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00" w:type="dxa"/>
            <w:vAlign w:val="bottom"/>
            <w:gridSpan w:val="2"/>
          </w:tcPr>
          <w:p>
            <w:pPr>
              <w:ind w:left="200"/>
              <w:spacing w:after="0" w:line="148" w:lineRule="exact"/>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2008</w:t>
            </w:r>
          </w:p>
        </w:tc>
        <w:tc>
          <w:tcPr>
            <w:tcW w:w="1120" w:type="dxa"/>
            <w:vAlign w:val="bottom"/>
            <w:tcBorders>
              <w:left w:val="single" w:sz="8" w:color="00519B"/>
            </w:tcBorders>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0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00529B"/>
              </w:rPr>
              <w:t>Board Committees:</w:t>
            </w:r>
          </w:p>
        </w:tc>
        <w:tc>
          <w:tcPr>
            <w:tcW w:w="1120" w:type="dxa"/>
            <w:vAlign w:val="bottom"/>
            <w:tcBorders>
              <w:left w:val="single" w:sz="8" w:color="00519B"/>
            </w:tcBorders>
          </w:tcPr>
          <w:p>
            <w:pPr>
              <w:spacing w:after="0"/>
              <w:rPr>
                <w:sz w:val="5"/>
                <w:szCs w:val="5"/>
                <w:color w:val="auto"/>
              </w:rPr>
            </w:pPr>
          </w:p>
        </w:tc>
        <w:tc>
          <w:tcPr>
            <w:tcW w:w="1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Governance (Chair); Audit;</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Compensation</w:t>
            </w: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Borders>
              <w:left w:val="single" w:sz="8" w:color="00519B"/>
            </w:tcBorders>
          </w:tcPr>
          <w:p>
            <w:pPr>
              <w:spacing w:after="0"/>
              <w:rPr>
                <w:sz w:val="7"/>
                <w:szCs w:val="7"/>
                <w:color w:val="auto"/>
              </w:rPr>
            </w:pPr>
          </w:p>
        </w:tc>
        <w:tc>
          <w:tcPr>
            <w:tcW w:w="1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Current Public Company</w:t>
            </w:r>
          </w:p>
        </w:tc>
        <w:tc>
          <w:tcPr>
            <w:tcW w:w="1120" w:type="dxa"/>
            <w:vAlign w:val="bottom"/>
          </w:tcPr>
          <w:p>
            <w:pPr>
              <w:ind w:left="160"/>
              <w:spacing w:after="0"/>
              <w:rPr>
                <w:sz w:val="20"/>
                <w:szCs w:val="20"/>
                <w:color w:val="auto"/>
              </w:rPr>
            </w:pPr>
            <w:r>
              <w:rPr>
                <w:rFonts w:ascii="Arial" w:cs="Arial" w:eastAsia="Arial" w:hAnsi="Arial"/>
                <w:sz w:val="13"/>
                <w:szCs w:val="13"/>
                <w:color w:val="auto"/>
              </w:rPr>
              <w:t>Corporate</w:t>
            </w:r>
          </w:p>
        </w:tc>
        <w:tc>
          <w:tcPr>
            <w:tcW w:w="1400" w:type="dxa"/>
            <w:vAlign w:val="bottom"/>
          </w:tcPr>
          <w:p>
            <w:pPr>
              <w:ind w:left="240"/>
              <w:spacing w:after="0"/>
              <w:rPr>
                <w:sz w:val="20"/>
                <w:szCs w:val="20"/>
                <w:color w:val="auto"/>
              </w:rPr>
            </w:pPr>
            <w:r>
              <w:rPr>
                <w:rFonts w:ascii="Arial" w:cs="Arial" w:eastAsia="Arial" w:hAnsi="Arial"/>
                <w:sz w:val="13"/>
                <w:szCs w:val="13"/>
                <w:color w:val="auto"/>
              </w:rPr>
              <w:t>Executive</w:t>
            </w:r>
          </w:p>
        </w:tc>
        <w:tc>
          <w:tcPr>
            <w:tcW w:w="1020" w:type="dxa"/>
            <w:vAlign w:val="bottom"/>
          </w:tcPr>
          <w:p>
            <w:pPr>
              <w:ind w:left="300"/>
              <w:spacing w:after="0"/>
              <w:rPr>
                <w:sz w:val="20"/>
                <w:szCs w:val="20"/>
                <w:color w:val="auto"/>
              </w:rPr>
            </w:pPr>
            <w:r>
              <w:rPr>
                <w:rFonts w:ascii="Arial" w:cs="Arial" w:eastAsia="Arial" w:hAnsi="Arial"/>
                <w:sz w:val="13"/>
                <w:szCs w:val="13"/>
                <w:color w:val="auto"/>
              </w:rPr>
              <w:t>Finance/</w:t>
            </w:r>
          </w:p>
        </w:tc>
        <w:tc>
          <w:tcPr>
            <w:tcW w:w="1140" w:type="dxa"/>
            <w:vAlign w:val="bottom"/>
          </w:tcPr>
          <w:p>
            <w:pPr>
              <w:ind w:left="200"/>
              <w:spacing w:after="0"/>
              <w:rPr>
                <w:sz w:val="20"/>
                <w:szCs w:val="20"/>
                <w:color w:val="auto"/>
              </w:rPr>
            </w:pPr>
            <w:r>
              <w:rPr>
                <w:rFonts w:ascii="Arial" w:cs="Arial" w:eastAsia="Arial" w:hAnsi="Arial"/>
                <w:sz w:val="13"/>
                <w:szCs w:val="13"/>
                <w:color w:val="auto"/>
              </w:rPr>
              <w:t>Financial</w:t>
            </w:r>
          </w:p>
        </w:tc>
        <w:tc>
          <w:tcPr>
            <w:tcW w:w="1320" w:type="dxa"/>
            <w:vAlign w:val="bottom"/>
          </w:tcPr>
          <w:p>
            <w:pPr>
              <w:ind w:left="240"/>
              <w:spacing w:after="0"/>
              <w:rPr>
                <w:sz w:val="20"/>
                <w:szCs w:val="20"/>
                <w:color w:val="auto"/>
              </w:rPr>
            </w:pPr>
            <w:r>
              <w:rPr>
                <w:rFonts w:ascii="Arial" w:cs="Arial" w:eastAsia="Arial" w:hAnsi="Arial"/>
                <w:sz w:val="13"/>
                <w:szCs w:val="13"/>
                <w:color w:val="auto"/>
              </w:rPr>
              <w:t>Government,</w:t>
            </w:r>
          </w:p>
        </w:tc>
        <w:tc>
          <w:tcPr>
            <w:tcW w:w="1340" w:type="dxa"/>
            <w:vAlign w:val="bottom"/>
          </w:tcPr>
          <w:p>
            <w:pPr>
              <w:ind w:left="280"/>
              <w:spacing w:after="0"/>
              <w:rPr>
                <w:sz w:val="20"/>
                <w:szCs w:val="20"/>
                <w:color w:val="auto"/>
              </w:rPr>
            </w:pPr>
            <w:r>
              <w:rPr>
                <w:rFonts w:ascii="Arial" w:cs="Arial" w:eastAsia="Arial" w:hAnsi="Arial"/>
                <w:sz w:val="13"/>
                <w:szCs w:val="13"/>
                <w:color w:val="auto"/>
              </w:rPr>
              <w:t>Risk</w:t>
            </w:r>
          </w:p>
        </w:tc>
        <w:tc>
          <w:tcPr>
            <w:tcW w:w="1900" w:type="dxa"/>
            <w:vAlign w:val="bottom"/>
          </w:tcPr>
          <w:p>
            <w:pPr>
              <w:ind w:left="260"/>
              <w:spacing w:after="0"/>
              <w:rPr>
                <w:sz w:val="20"/>
                <w:szCs w:val="20"/>
                <w:color w:val="auto"/>
              </w:rPr>
            </w:pPr>
            <w:r>
              <w:rPr>
                <w:rFonts w:ascii="Arial" w:cs="Arial" w:eastAsia="Arial" w:hAnsi="Arial"/>
                <w:sz w:val="13"/>
                <w:szCs w:val="13"/>
                <w:color w:val="auto"/>
              </w:rPr>
              <w:t>Technology/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Directorships:</w:t>
            </w:r>
          </w:p>
        </w:tc>
        <w:tc>
          <w:tcPr>
            <w:tcW w:w="1120" w:type="dxa"/>
            <w:vAlign w:val="bottom"/>
          </w:tcPr>
          <w:p>
            <w:pPr>
              <w:ind w:left="160"/>
              <w:spacing w:after="0"/>
              <w:rPr>
                <w:sz w:val="20"/>
                <w:szCs w:val="20"/>
                <w:color w:val="auto"/>
              </w:rPr>
            </w:pPr>
            <w:r>
              <w:rPr>
                <w:rFonts w:ascii="Arial" w:cs="Arial" w:eastAsia="Arial" w:hAnsi="Arial"/>
                <w:sz w:val="13"/>
                <w:szCs w:val="13"/>
                <w:color w:val="auto"/>
              </w:rPr>
              <w:t>Governance</w:t>
            </w:r>
          </w:p>
        </w:tc>
        <w:tc>
          <w:tcPr>
            <w:tcW w:w="140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1020" w:type="dxa"/>
            <w:vAlign w:val="bottom"/>
          </w:tcPr>
          <w:p>
            <w:pPr>
              <w:ind w:left="300"/>
              <w:spacing w:after="0"/>
              <w:rPr>
                <w:sz w:val="20"/>
                <w:szCs w:val="20"/>
                <w:color w:val="auto"/>
              </w:rPr>
            </w:pPr>
            <w:r>
              <w:rPr>
                <w:rFonts w:ascii="Arial" w:cs="Arial" w:eastAsia="Arial" w:hAnsi="Arial"/>
                <w:sz w:val="13"/>
                <w:szCs w:val="13"/>
                <w:color w:val="auto"/>
              </w:rPr>
              <w:t>Capital</w:t>
            </w:r>
          </w:p>
        </w:tc>
        <w:tc>
          <w:tcPr>
            <w:tcW w:w="1140" w:type="dxa"/>
            <w:vAlign w:val="bottom"/>
          </w:tcPr>
          <w:p>
            <w:pPr>
              <w:ind w:left="200"/>
              <w:spacing w:after="0"/>
              <w:rPr>
                <w:sz w:val="20"/>
                <w:szCs w:val="20"/>
                <w:color w:val="auto"/>
              </w:rPr>
            </w:pPr>
            <w:r>
              <w:rPr>
                <w:rFonts w:ascii="Arial" w:cs="Arial" w:eastAsia="Arial" w:hAnsi="Arial"/>
                <w:sz w:val="13"/>
                <w:szCs w:val="13"/>
                <w:color w:val="auto"/>
              </w:rPr>
              <w:t>Reporting/</w:t>
            </w:r>
          </w:p>
        </w:tc>
        <w:tc>
          <w:tcPr>
            <w:tcW w:w="1320" w:type="dxa"/>
            <w:vAlign w:val="bottom"/>
          </w:tcPr>
          <w:p>
            <w:pPr>
              <w:ind w:left="240"/>
              <w:spacing w:after="0"/>
              <w:rPr>
                <w:sz w:val="20"/>
                <w:szCs w:val="20"/>
                <w:color w:val="auto"/>
              </w:rPr>
            </w:pPr>
            <w:r>
              <w:rPr>
                <w:rFonts w:ascii="Arial" w:cs="Arial" w:eastAsia="Arial" w:hAnsi="Arial"/>
                <w:sz w:val="13"/>
                <w:szCs w:val="13"/>
                <w:color w:val="auto"/>
              </w:rPr>
              <w:t>Legal &amp;</w:t>
            </w:r>
          </w:p>
        </w:tc>
        <w:tc>
          <w:tcPr>
            <w:tcW w:w="1340" w:type="dxa"/>
            <w:vAlign w:val="bottom"/>
          </w:tcPr>
          <w:p>
            <w:pPr>
              <w:ind w:left="280"/>
              <w:spacing w:after="0"/>
              <w:rPr>
                <w:sz w:val="20"/>
                <w:szCs w:val="20"/>
                <w:color w:val="auto"/>
              </w:rPr>
            </w:pPr>
            <w:r>
              <w:rPr>
                <w:rFonts w:ascii="Arial" w:cs="Arial" w:eastAsia="Arial" w:hAnsi="Arial"/>
                <w:sz w:val="13"/>
                <w:szCs w:val="13"/>
                <w:color w:val="auto"/>
              </w:rPr>
              <w:t>Management</w:t>
            </w:r>
          </w:p>
        </w:tc>
        <w:tc>
          <w:tcPr>
            <w:tcW w:w="1900" w:type="dxa"/>
            <w:vAlign w:val="bottom"/>
          </w:tcPr>
          <w:p>
            <w:pPr>
              <w:ind w:left="260"/>
              <w:spacing w:after="0"/>
              <w:rPr>
                <w:sz w:val="20"/>
                <w:szCs w:val="20"/>
                <w:color w:val="auto"/>
              </w:rPr>
            </w:pPr>
            <w:r>
              <w:rPr>
                <w:rFonts w:ascii="Arial" w:cs="Arial" w:eastAsia="Arial" w:hAnsi="Arial"/>
                <w:sz w:val="13"/>
                <w:szCs w:val="13"/>
                <w:color w:val="auto"/>
              </w:rPr>
              <w:t>Cyber Security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Public Storage</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Markets</w:t>
            </w:r>
          </w:p>
        </w:tc>
        <w:tc>
          <w:tcPr>
            <w:tcW w:w="1140" w:type="dxa"/>
            <w:vAlign w:val="bottom"/>
          </w:tcPr>
          <w:p>
            <w:pPr>
              <w:ind w:left="200"/>
              <w:spacing w:after="0"/>
              <w:rPr>
                <w:sz w:val="20"/>
                <w:szCs w:val="20"/>
                <w:color w:val="auto"/>
              </w:rPr>
            </w:pPr>
            <w:r>
              <w:rPr>
                <w:rFonts w:ascii="Arial" w:cs="Arial" w:eastAsia="Arial" w:hAnsi="Arial"/>
                <w:sz w:val="13"/>
                <w:szCs w:val="13"/>
                <w:color w:val="auto"/>
              </w:rPr>
              <w:t>Accounting</w:t>
            </w:r>
          </w:p>
        </w:tc>
        <w:tc>
          <w:tcPr>
            <w:tcW w:w="1320" w:type="dxa"/>
            <w:vAlign w:val="bottom"/>
          </w:tcPr>
          <w:p>
            <w:pPr>
              <w:ind w:left="240"/>
              <w:spacing w:after="0"/>
              <w:rPr>
                <w:sz w:val="20"/>
                <w:szCs w:val="20"/>
                <w:color w:val="auto"/>
              </w:rPr>
            </w:pPr>
            <w:r>
              <w:rPr>
                <w:rFonts w:ascii="Arial" w:cs="Arial" w:eastAsia="Arial" w:hAnsi="Arial"/>
                <w:sz w:val="13"/>
                <w:szCs w:val="13"/>
                <w:color w:val="auto"/>
              </w:rPr>
              <w:t>Regulatory</w:t>
            </w: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Western Asset</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Experience</w:t>
            </w: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Management Company</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Funds</w:t>
            </w: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Former Public Company</w:t>
            </w: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Directorships</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00529B"/>
              </w:rPr>
              <w:t>(within the last 5 years):</w:t>
            </w:r>
          </w:p>
        </w:tc>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California Resources</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Corporation</w:t>
            </w: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00" w:type="dxa"/>
            <w:vAlign w:val="bottom"/>
            <w:tcBorders>
              <w:bottom w:val="single" w:sz="8" w:color="00519B"/>
            </w:tcBorders>
          </w:tcPr>
          <w:p>
            <w:pPr>
              <w:spacing w:after="0"/>
              <w:rPr>
                <w:sz w:val="8"/>
                <w:szCs w:val="8"/>
                <w:color w:val="auto"/>
              </w:rPr>
            </w:pPr>
          </w:p>
        </w:tc>
        <w:tc>
          <w:tcPr>
            <w:tcW w:w="200" w:type="dxa"/>
            <w:vAlign w:val="bottom"/>
            <w:tcBorders>
              <w:bottom w:val="single" w:sz="8" w:color="00519B"/>
            </w:tcBorders>
          </w:tcPr>
          <w:p>
            <w:pPr>
              <w:spacing w:after="0"/>
              <w:rPr>
                <w:sz w:val="8"/>
                <w:szCs w:val="8"/>
                <w:color w:val="auto"/>
              </w:rPr>
            </w:pPr>
          </w:p>
        </w:tc>
        <w:tc>
          <w:tcPr>
            <w:tcW w:w="1120" w:type="dxa"/>
            <w:vAlign w:val="bottom"/>
            <w:tcBorders>
              <w:bottom w:val="single" w:sz="8" w:color="00519B"/>
            </w:tcBorders>
          </w:tcPr>
          <w:p>
            <w:pPr>
              <w:spacing w:after="0"/>
              <w:rPr>
                <w:sz w:val="8"/>
                <w:szCs w:val="8"/>
                <w:color w:val="auto"/>
              </w:rPr>
            </w:pPr>
          </w:p>
        </w:tc>
        <w:tc>
          <w:tcPr>
            <w:tcW w:w="1400" w:type="dxa"/>
            <w:vAlign w:val="bottom"/>
            <w:tcBorders>
              <w:bottom w:val="single" w:sz="8" w:color="00519B"/>
            </w:tcBorders>
          </w:tcPr>
          <w:p>
            <w:pPr>
              <w:spacing w:after="0"/>
              <w:rPr>
                <w:sz w:val="8"/>
                <w:szCs w:val="8"/>
                <w:color w:val="auto"/>
              </w:rPr>
            </w:pPr>
          </w:p>
        </w:tc>
        <w:tc>
          <w:tcPr>
            <w:tcW w:w="1020" w:type="dxa"/>
            <w:vAlign w:val="bottom"/>
            <w:tcBorders>
              <w:bottom w:val="single" w:sz="8" w:color="00519B"/>
            </w:tcBorders>
          </w:tcPr>
          <w:p>
            <w:pPr>
              <w:spacing w:after="0"/>
              <w:rPr>
                <w:sz w:val="8"/>
                <w:szCs w:val="8"/>
                <w:color w:val="auto"/>
              </w:rPr>
            </w:pPr>
          </w:p>
        </w:tc>
        <w:tc>
          <w:tcPr>
            <w:tcW w:w="1140" w:type="dxa"/>
            <w:vAlign w:val="bottom"/>
            <w:tcBorders>
              <w:bottom w:val="single" w:sz="8" w:color="00519B"/>
            </w:tcBorders>
          </w:tcPr>
          <w:p>
            <w:pPr>
              <w:spacing w:after="0"/>
              <w:rPr>
                <w:sz w:val="8"/>
                <w:szCs w:val="8"/>
                <w:color w:val="auto"/>
              </w:rPr>
            </w:pPr>
          </w:p>
        </w:tc>
        <w:tc>
          <w:tcPr>
            <w:tcW w:w="1320" w:type="dxa"/>
            <w:vAlign w:val="bottom"/>
            <w:tcBorders>
              <w:bottom w:val="single" w:sz="8" w:color="00519B"/>
            </w:tcBorders>
          </w:tcPr>
          <w:p>
            <w:pPr>
              <w:spacing w:after="0"/>
              <w:rPr>
                <w:sz w:val="8"/>
                <w:szCs w:val="8"/>
                <w:color w:val="auto"/>
              </w:rPr>
            </w:pPr>
          </w:p>
        </w:tc>
        <w:tc>
          <w:tcPr>
            <w:tcW w:w="1340" w:type="dxa"/>
            <w:vAlign w:val="bottom"/>
            <w:tcBorders>
              <w:bottom w:val="single" w:sz="8" w:color="00519B"/>
            </w:tcBorders>
          </w:tcPr>
          <w:p>
            <w:pPr>
              <w:spacing w:after="0"/>
              <w:rPr>
                <w:sz w:val="8"/>
                <w:szCs w:val="8"/>
                <w:color w:val="auto"/>
              </w:rPr>
            </w:pPr>
          </w:p>
        </w:tc>
        <w:tc>
          <w:tcPr>
            <w:tcW w:w="1900" w:type="dxa"/>
            <w:vAlign w:val="bottom"/>
            <w:tcBorders>
              <w:bottom w:val="single" w:sz="8" w:color="00519B"/>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1800" w:type="dxa"/>
            <w:vAlign w:val="bottom"/>
            <w:vMerge w:val="restart"/>
          </w:tcPr>
          <w:p>
            <w:pPr>
              <w:spacing w:after="0"/>
              <w:rPr>
                <w:sz w:val="20"/>
                <w:szCs w:val="20"/>
                <w:color w:val="auto"/>
              </w:rPr>
            </w:pPr>
            <w:r>
              <w:rPr>
                <w:rFonts w:ascii="Arial" w:cs="Arial" w:eastAsia="Arial" w:hAnsi="Arial"/>
                <w:sz w:val="13"/>
                <w:szCs w:val="13"/>
                <w:b w:val="1"/>
                <w:bCs w:val="1"/>
                <w:color w:val="00529B"/>
              </w:rPr>
              <w:t>2023 PROXY STATEMENT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8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-27940</wp:posOffset>
            </wp:positionV>
            <wp:extent cx="825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251585" cy="1974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51585" cy="197485"/>
                    </a:xfrm>
                    <a:prstGeom prst="rect">
                      <a:avLst/>
                    </a:prstGeom>
                    <a:noFill/>
                  </pic:spPr>
                </pic:pic>
              </a:graphicData>
            </a:graphic>
          </wp:anchor>
        </w:drawing>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KEN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2199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INDEPENDENT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68</w:t>
      </w:r>
    </w:p>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2023</w:t>
      </w:r>
    </w:p>
    <w:p>
      <w:pPr>
        <w:spacing w:after="0" w:line="201" w:lineRule="exact"/>
        <w:rPr>
          <w:sz w:val="20"/>
          <w:szCs w:val="20"/>
          <w:color w:val="auto"/>
        </w:rPr>
      </w:pPr>
    </w:p>
    <w:p>
      <w:pPr>
        <w:ind w:left="200"/>
        <w:spacing w:after="0" w:line="249" w:lineRule="auto"/>
        <w:rPr>
          <w:sz w:val="20"/>
          <w:szCs w:val="20"/>
          <w:color w:val="auto"/>
        </w:rPr>
      </w:pPr>
      <w:r>
        <w:rPr>
          <w:rFonts w:ascii="Arial" w:cs="Arial" w:eastAsia="Arial" w:hAnsi="Arial"/>
          <w:sz w:val="13"/>
          <w:szCs w:val="13"/>
          <w:b w:val="1"/>
          <w:bCs w:val="1"/>
          <w:color w:val="00529B"/>
        </w:rPr>
        <w:t>Current Public Company Directorships:</w:t>
      </w:r>
    </w:p>
    <w:p>
      <w:pPr>
        <w:spacing w:after="0" w:line="1" w:lineRule="exact"/>
        <w:rPr>
          <w:sz w:val="20"/>
          <w:szCs w:val="20"/>
          <w:color w:val="auto"/>
        </w:rPr>
      </w:pPr>
    </w:p>
    <w:p>
      <w:pPr>
        <w:ind w:left="200" w:right="100"/>
        <w:spacing w:after="0" w:line="250" w:lineRule="auto"/>
        <w:rPr>
          <w:sz w:val="20"/>
          <w:szCs w:val="20"/>
          <w:color w:val="auto"/>
        </w:rPr>
      </w:pPr>
      <w:r>
        <w:rPr>
          <w:rFonts w:ascii="Arial" w:cs="Arial" w:eastAsia="Arial" w:hAnsi="Arial"/>
          <w:sz w:val="13"/>
          <w:szCs w:val="13"/>
          <w:color w:val="auto"/>
        </w:rPr>
        <w:t>Abercrombie &amp; Fitch Co. Paylocity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534160"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3416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Mr. Robinson served as the Senior Vice President of Audit and Controls at Exelon Corporation from 2016 to 2020. Before Exelon, Mr. Robinson held several senior leadership positions during his nearly 40-year career at The Procter &amp; Gamble Company, including Vice President, Global Diversity &amp; Inclusion; Global Risk and Compliance Leader; Chief Audit Executive; and Vice President, Finance. Mr. Robinson currently serves on the boards of directors of Abercrombie &amp; Fitch Co., Paylocity Holding Corporation and Morgan Stanley U.S. Banks. He also serves as a Trustee of the International Financial Reporting Standards Foundation and is board chair of the National Underground Railroad Freedom Center Museum. Mr. Robinson has a Bachelor of Science from Mississippi State University and a Master of Business Administration from the University of Memphis.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Core Competencies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Environmental,</w:t>
            </w:r>
          </w:p>
        </w:tc>
        <w:tc>
          <w:tcPr>
            <w:tcW w:w="1320" w:type="dxa"/>
            <w:vAlign w:val="bottom"/>
          </w:tcPr>
          <w:p>
            <w:pPr>
              <w:ind w:left="240"/>
              <w:spacing w:after="0"/>
              <w:rPr>
                <w:sz w:val="20"/>
                <w:szCs w:val="20"/>
                <w:color w:val="auto"/>
              </w:rPr>
            </w:pPr>
            <w:r>
              <w:rPr>
                <w:rFonts w:ascii="Arial" w:cs="Arial" w:eastAsia="Arial" w:hAnsi="Arial"/>
                <w:sz w:val="13"/>
                <w:szCs w:val="13"/>
                <w:color w:val="auto"/>
              </w:rPr>
              <w:t>Executive</w:t>
            </w:r>
          </w:p>
        </w:tc>
        <w:tc>
          <w:tcPr>
            <w:tcW w:w="860" w:type="dxa"/>
            <w:vAlign w:val="bottom"/>
          </w:tcPr>
          <w:p>
            <w:pPr>
              <w:ind w:left="200"/>
              <w:spacing w:after="0"/>
              <w:rPr>
                <w:sz w:val="20"/>
                <w:szCs w:val="20"/>
                <w:color w:val="auto"/>
              </w:rPr>
            </w:pPr>
            <w:r>
              <w:rPr>
                <w:rFonts w:ascii="Arial" w:cs="Arial" w:eastAsia="Arial" w:hAnsi="Arial"/>
                <w:sz w:val="13"/>
                <w:szCs w:val="13"/>
                <w:color w:val="auto"/>
              </w:rPr>
              <w:t>Finance/</w:t>
            </w:r>
          </w:p>
        </w:tc>
        <w:tc>
          <w:tcPr>
            <w:tcW w:w="980" w:type="dxa"/>
            <w:vAlign w:val="bottom"/>
          </w:tcPr>
          <w:p>
            <w:pPr>
              <w:ind w:left="120"/>
              <w:spacing w:after="0"/>
              <w:rPr>
                <w:sz w:val="20"/>
                <w:szCs w:val="20"/>
                <w:color w:val="auto"/>
              </w:rPr>
            </w:pPr>
            <w:r>
              <w:rPr>
                <w:rFonts w:ascii="Arial" w:cs="Arial" w:eastAsia="Arial" w:hAnsi="Arial"/>
                <w:sz w:val="13"/>
                <w:szCs w:val="13"/>
                <w:color w:val="auto"/>
              </w:rPr>
              <w:t>Financial</w:t>
            </w:r>
          </w:p>
        </w:tc>
        <w:tc>
          <w:tcPr>
            <w:tcW w:w="1140" w:type="dxa"/>
            <w:vAlign w:val="bottom"/>
          </w:tcPr>
          <w:p>
            <w:pPr>
              <w:ind w:left="200"/>
              <w:spacing w:after="0"/>
              <w:rPr>
                <w:sz w:val="20"/>
                <w:szCs w:val="20"/>
                <w:color w:val="auto"/>
              </w:rPr>
            </w:pPr>
            <w:r>
              <w:rPr>
                <w:rFonts w:ascii="Arial" w:cs="Arial" w:eastAsia="Arial" w:hAnsi="Arial"/>
                <w:sz w:val="13"/>
                <w:szCs w:val="13"/>
                <w:color w:val="auto"/>
              </w:rPr>
              <w:t>International</w:t>
            </w:r>
          </w:p>
        </w:tc>
        <w:tc>
          <w:tcPr>
            <w:tcW w:w="1040" w:type="dxa"/>
            <w:vAlign w:val="bottom"/>
          </w:tcPr>
          <w:p>
            <w:pPr>
              <w:ind w:left="200"/>
              <w:spacing w:after="0"/>
              <w:rPr>
                <w:sz w:val="20"/>
                <w:szCs w:val="20"/>
                <w:color w:val="auto"/>
              </w:rPr>
            </w:pPr>
            <w:r>
              <w:rPr>
                <w:rFonts w:ascii="Arial" w:cs="Arial" w:eastAsia="Arial" w:hAnsi="Arial"/>
                <w:sz w:val="13"/>
                <w:szCs w:val="13"/>
                <w:color w:val="auto"/>
              </w:rPr>
              <w:t>Public</w:t>
            </w:r>
          </w:p>
        </w:tc>
        <w:tc>
          <w:tcPr>
            <w:tcW w:w="1160" w:type="dxa"/>
            <w:vAlign w:val="bottom"/>
          </w:tcPr>
          <w:p>
            <w:pPr>
              <w:ind w:left="180"/>
              <w:spacing w:after="0"/>
              <w:rPr>
                <w:sz w:val="20"/>
                <w:szCs w:val="20"/>
                <w:color w:val="auto"/>
              </w:rPr>
            </w:pPr>
            <w:r>
              <w:rPr>
                <w:rFonts w:ascii="Arial" w:cs="Arial" w:eastAsia="Arial" w:hAnsi="Arial"/>
                <w:sz w:val="13"/>
                <w:szCs w:val="13"/>
                <w:color w:val="auto"/>
              </w:rPr>
              <w:t>Risk</w:t>
            </w:r>
          </w:p>
        </w:tc>
        <w:tc>
          <w:tcPr>
            <w:tcW w:w="920" w:type="dxa"/>
            <w:vAlign w:val="bottom"/>
          </w:tcPr>
          <w:p>
            <w:pPr>
              <w:ind w:left="200"/>
              <w:spacing w:after="0"/>
              <w:rPr>
                <w:sz w:val="20"/>
                <w:szCs w:val="20"/>
                <w:color w:val="auto"/>
              </w:rPr>
            </w:pPr>
            <w:r>
              <w:rPr>
                <w:rFonts w:ascii="Arial" w:cs="Arial" w:eastAsia="Arial" w:hAnsi="Arial"/>
                <w:sz w:val="13"/>
                <w:szCs w:val="13"/>
                <w:color w:val="auto"/>
                <w:w w:val="98"/>
              </w:rPr>
              <w:t>Technology/</w:t>
            </w:r>
          </w:p>
        </w:tc>
      </w:tr>
      <w:tr>
        <w:trPr>
          <w:trHeight w:val="148"/>
        </w:trPr>
        <w:tc>
          <w:tcPr>
            <w:tcW w:w="1140" w:type="dxa"/>
            <w:vAlign w:val="bottom"/>
          </w:tcPr>
          <w:p>
            <w:pPr>
              <w:spacing w:after="0"/>
              <w:rPr>
                <w:sz w:val="20"/>
                <w:szCs w:val="20"/>
                <w:color w:val="auto"/>
              </w:rPr>
            </w:pPr>
            <w:r>
              <w:rPr>
                <w:rFonts w:ascii="Arial" w:cs="Arial" w:eastAsia="Arial" w:hAnsi="Arial"/>
                <w:sz w:val="13"/>
                <w:szCs w:val="13"/>
                <w:color w:val="auto"/>
              </w:rPr>
              <w:t>Health,</w:t>
            </w:r>
          </w:p>
        </w:tc>
        <w:tc>
          <w:tcPr>
            <w:tcW w:w="132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860" w:type="dxa"/>
            <w:vAlign w:val="bottom"/>
          </w:tcPr>
          <w:p>
            <w:pPr>
              <w:ind w:left="200"/>
              <w:spacing w:after="0"/>
              <w:rPr>
                <w:sz w:val="20"/>
                <w:szCs w:val="20"/>
                <w:color w:val="auto"/>
              </w:rPr>
            </w:pPr>
            <w:r>
              <w:rPr>
                <w:rFonts w:ascii="Arial" w:cs="Arial" w:eastAsia="Arial" w:hAnsi="Arial"/>
                <w:sz w:val="13"/>
                <w:szCs w:val="13"/>
                <w:color w:val="auto"/>
              </w:rPr>
              <w:t>Capital</w:t>
            </w:r>
          </w:p>
        </w:tc>
        <w:tc>
          <w:tcPr>
            <w:tcW w:w="980" w:type="dxa"/>
            <w:vAlign w:val="bottom"/>
          </w:tcPr>
          <w:p>
            <w:pPr>
              <w:ind w:left="120"/>
              <w:spacing w:after="0"/>
              <w:rPr>
                <w:sz w:val="20"/>
                <w:szCs w:val="20"/>
                <w:color w:val="auto"/>
              </w:rPr>
            </w:pPr>
            <w:r>
              <w:rPr>
                <w:rFonts w:ascii="Arial" w:cs="Arial" w:eastAsia="Arial" w:hAnsi="Arial"/>
                <w:sz w:val="13"/>
                <w:szCs w:val="13"/>
                <w:color w:val="auto"/>
              </w:rPr>
              <w:t>Reporting/</w:t>
            </w:r>
          </w:p>
        </w:tc>
        <w:tc>
          <w:tcPr>
            <w:tcW w:w="1140" w:type="dxa"/>
            <w:vAlign w:val="bottom"/>
          </w:tcPr>
          <w:p>
            <w:pPr>
              <w:ind w:left="200"/>
              <w:spacing w:after="0"/>
              <w:rPr>
                <w:sz w:val="20"/>
                <w:szCs w:val="20"/>
                <w:color w:val="auto"/>
              </w:rPr>
            </w:pPr>
            <w:r>
              <w:rPr>
                <w:rFonts w:ascii="Arial" w:cs="Arial" w:eastAsia="Arial" w:hAnsi="Arial"/>
                <w:sz w:val="13"/>
                <w:szCs w:val="13"/>
                <w:color w:val="auto"/>
              </w:rPr>
              <w:t>Experience</w:t>
            </w:r>
          </w:p>
        </w:tc>
        <w:tc>
          <w:tcPr>
            <w:tcW w:w="1040" w:type="dxa"/>
            <w:vAlign w:val="bottom"/>
          </w:tcPr>
          <w:p>
            <w:pPr>
              <w:ind w:left="200"/>
              <w:spacing w:after="0"/>
              <w:rPr>
                <w:sz w:val="20"/>
                <w:szCs w:val="20"/>
                <w:color w:val="auto"/>
              </w:rPr>
            </w:pPr>
            <w:r>
              <w:rPr>
                <w:rFonts w:ascii="Arial" w:cs="Arial" w:eastAsia="Arial" w:hAnsi="Arial"/>
                <w:sz w:val="13"/>
                <w:szCs w:val="13"/>
                <w:color w:val="auto"/>
              </w:rPr>
              <w:t>Company</w:t>
            </w:r>
          </w:p>
        </w:tc>
        <w:tc>
          <w:tcPr>
            <w:tcW w:w="1160" w:type="dxa"/>
            <w:vAlign w:val="bottom"/>
          </w:tcPr>
          <w:p>
            <w:pPr>
              <w:ind w:left="180"/>
              <w:spacing w:after="0"/>
              <w:rPr>
                <w:sz w:val="20"/>
                <w:szCs w:val="20"/>
                <w:color w:val="auto"/>
              </w:rPr>
            </w:pPr>
            <w:r>
              <w:rPr>
                <w:rFonts w:ascii="Arial" w:cs="Arial" w:eastAsia="Arial" w:hAnsi="Arial"/>
                <w:sz w:val="13"/>
                <w:szCs w:val="13"/>
                <w:color w:val="auto"/>
              </w:rPr>
              <w:t>Management</w:t>
            </w:r>
          </w:p>
        </w:tc>
        <w:tc>
          <w:tcPr>
            <w:tcW w:w="920" w:type="dxa"/>
            <w:vAlign w:val="bottom"/>
          </w:tcPr>
          <w:p>
            <w:pPr>
              <w:ind w:left="200"/>
              <w:spacing w:after="0"/>
              <w:rPr>
                <w:sz w:val="20"/>
                <w:szCs w:val="20"/>
                <w:color w:val="auto"/>
              </w:rPr>
            </w:pPr>
            <w:r>
              <w:rPr>
                <w:rFonts w:ascii="Arial" w:cs="Arial" w:eastAsia="Arial" w:hAnsi="Arial"/>
                <w:sz w:val="13"/>
                <w:szCs w:val="13"/>
                <w:color w:val="auto"/>
              </w:rPr>
              <w:t>Cyber</w:t>
            </w:r>
          </w:p>
        </w:tc>
      </w:tr>
      <w:tr>
        <w:trPr>
          <w:trHeight w:val="148"/>
        </w:trPr>
        <w:tc>
          <w:tcPr>
            <w:tcW w:w="1140" w:type="dxa"/>
            <w:vAlign w:val="bottom"/>
          </w:tcPr>
          <w:p>
            <w:pPr>
              <w:spacing w:after="0"/>
              <w:rPr>
                <w:sz w:val="20"/>
                <w:szCs w:val="20"/>
                <w:color w:val="auto"/>
              </w:rPr>
            </w:pPr>
            <w:r>
              <w:rPr>
                <w:rFonts w:ascii="Arial" w:cs="Arial" w:eastAsia="Arial" w:hAnsi="Arial"/>
                <w:sz w:val="13"/>
                <w:szCs w:val="13"/>
                <w:color w:val="auto"/>
              </w:rPr>
              <w:t>Safety &amp;</w:t>
            </w:r>
          </w:p>
        </w:tc>
        <w:tc>
          <w:tcPr>
            <w:tcW w:w="132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Arial" w:cs="Arial" w:eastAsia="Arial" w:hAnsi="Arial"/>
                <w:sz w:val="13"/>
                <w:szCs w:val="13"/>
                <w:color w:val="auto"/>
              </w:rPr>
              <w:t>Markets</w:t>
            </w:r>
          </w:p>
        </w:tc>
        <w:tc>
          <w:tcPr>
            <w:tcW w:w="980" w:type="dxa"/>
            <w:vAlign w:val="bottom"/>
          </w:tcPr>
          <w:p>
            <w:pPr>
              <w:ind w:left="120"/>
              <w:spacing w:after="0"/>
              <w:rPr>
                <w:sz w:val="20"/>
                <w:szCs w:val="20"/>
                <w:color w:val="auto"/>
              </w:rPr>
            </w:pPr>
            <w:r>
              <w:rPr>
                <w:rFonts w:ascii="Arial" w:cs="Arial" w:eastAsia="Arial" w:hAnsi="Arial"/>
                <w:sz w:val="13"/>
                <w:szCs w:val="13"/>
                <w:color w:val="auto"/>
              </w:rPr>
              <w:t>Accounting</w:t>
            </w:r>
          </w:p>
        </w:tc>
        <w:tc>
          <w:tcPr>
            <w:tcW w:w="1140" w:type="dxa"/>
            <w:vAlign w:val="bottom"/>
          </w:tcPr>
          <w:p>
            <w:pPr>
              <w:spacing w:after="0"/>
              <w:rPr>
                <w:sz w:val="12"/>
                <w:szCs w:val="12"/>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Executive</w:t>
            </w:r>
          </w:p>
        </w:tc>
        <w:tc>
          <w:tcPr>
            <w:tcW w:w="1160" w:type="dxa"/>
            <w:vAlign w:val="bottom"/>
          </w:tcPr>
          <w:p>
            <w:pPr>
              <w:spacing w:after="0"/>
              <w:rPr>
                <w:sz w:val="12"/>
                <w:szCs w:val="12"/>
                <w:color w:val="auto"/>
              </w:rPr>
            </w:pPr>
          </w:p>
        </w:tc>
        <w:tc>
          <w:tcPr>
            <w:tcW w:w="920" w:type="dxa"/>
            <w:vAlign w:val="bottom"/>
          </w:tcPr>
          <w:p>
            <w:pPr>
              <w:ind w:left="200"/>
              <w:spacing w:after="0"/>
              <w:rPr>
                <w:sz w:val="20"/>
                <w:szCs w:val="20"/>
                <w:color w:val="auto"/>
              </w:rPr>
            </w:pPr>
            <w:r>
              <w:rPr>
                <w:rFonts w:ascii="Arial" w:cs="Arial" w:eastAsia="Arial" w:hAnsi="Arial"/>
                <w:sz w:val="13"/>
                <w:szCs w:val="13"/>
                <w:color w:val="auto"/>
              </w:rPr>
              <w:t>Security</w:t>
            </w:r>
          </w:p>
        </w:tc>
      </w:tr>
      <w:tr>
        <w:trPr>
          <w:trHeight w:val="176"/>
        </w:trPr>
        <w:tc>
          <w:tcPr>
            <w:tcW w:w="1140" w:type="dxa"/>
            <w:vAlign w:val="bottom"/>
          </w:tcPr>
          <w:p>
            <w:pPr>
              <w:spacing w:after="0"/>
              <w:rPr>
                <w:sz w:val="20"/>
                <w:szCs w:val="20"/>
                <w:color w:val="auto"/>
              </w:rPr>
            </w:pPr>
            <w:r>
              <w:rPr>
                <w:rFonts w:ascii="Arial" w:cs="Arial" w:eastAsia="Arial" w:hAnsi="Arial"/>
                <w:sz w:val="13"/>
                <w:szCs w:val="13"/>
                <w:color w:val="auto"/>
              </w:rPr>
              <w:t>Sustainability</w:t>
            </w: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Arial" w:cs="Arial" w:eastAsia="Arial" w:hAnsi="Arial"/>
                <w:sz w:val="13"/>
                <w:szCs w:val="13"/>
                <w:color w:val="auto"/>
              </w:rPr>
              <w:t>Experience</w:t>
            </w:r>
          </w:p>
        </w:tc>
        <w:tc>
          <w:tcPr>
            <w:tcW w:w="114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Experience</w:t>
            </w: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529" w:lineRule="exact"/>
        <w:rPr>
          <w:sz w:val="20"/>
          <w:szCs w:val="20"/>
          <w:color w:val="auto"/>
        </w:rPr>
      </w:pPr>
    </w:p>
    <w:p>
      <w:pPr>
        <w:sectPr>
          <w:pgSz w:w="11900" w:h="16838" w:orient="portrait"/>
          <w:cols w:equalWidth="0" w:num="2">
            <w:col w:w="1780" w:space="380"/>
            <w:col w:w="9100"/>
          </w:cols>
          <w:pgMar w:left="320" w:top="130" w:right="319" w:bottom="1440" w:gutter="0" w:footer="0" w:header="0"/>
          <w:type w:val="continuous"/>
        </w:sectPr>
      </w:pP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ROBERT M. SHEARER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177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174"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00529B"/>
        </w:rPr>
        <w:t>Director Qualifications</w:t>
      </w:r>
    </w:p>
    <w:p>
      <w:pPr>
        <w:spacing w:after="0" w:line="10" w:lineRule="exact"/>
        <w:rPr>
          <w:sz w:val="20"/>
          <w:szCs w:val="20"/>
          <w:color w:val="auto"/>
        </w:rPr>
      </w:pPr>
    </w:p>
    <w:p>
      <w:pPr>
        <w:ind w:left="2160" w:right="200"/>
        <w:spacing w:after="0" w:line="241" w:lineRule="auto"/>
        <w:rPr>
          <w:sz w:val="20"/>
          <w:szCs w:val="20"/>
          <w:color w:val="auto"/>
        </w:rPr>
      </w:pPr>
      <w:r>
        <w:rPr>
          <w:rFonts w:ascii="Arial" w:cs="Arial" w:eastAsia="Arial" w:hAnsi="Arial"/>
          <w:sz w:val="13"/>
          <w:szCs w:val="13"/>
          <w:color w:val="auto"/>
        </w:rPr>
        <w:t>Mr. Shearer retired in 2017 as a managing director of BlackRock Advisors, LLC, where he also served as co-head of BlackRock’s Equity Dividend team and was a member of the Fundamental Equity Platform within BlackRock’s Portfolio Management Group. Mr. Shearer was also the portfolio manager for both the BlackRock Equity Dividend Fund and Natural Resources Trust, which grew from $500 million to over $50 billion under his leadership. Prior to that, Mr. Shearer managed the Merrill Lynch World Natural Resources Portfolio for Merrill Lynch Investment Managers, which merged with BlackRock in 2006. Mr. Shearer has also held senior leadership roles at David L. Babson &amp; Company, Concert Capital Management and Fiduciary Trust Company International. As a senior research officer for Citicorp Investment Management, he focused on the oil industry, including exploration and production, pipelines and oilfield services. Mr. Shearer holds an undergraduate degree in Economics from the University of Wisconsin, as well as a Master of International Management from the Thunderbird School of Global Management and a Master of Business Administration from the University of Wisconsin. He is a Chartered Financial Analyst.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000" w:type="dxa"/>
            <w:vAlign w:val="bottom"/>
            <w:vMerge w:val="restart"/>
          </w:tcPr>
          <w:p>
            <w:pPr>
              <w:ind w:left="200"/>
              <w:spacing w:after="0"/>
              <w:rPr>
                <w:sz w:val="20"/>
                <w:szCs w:val="20"/>
                <w:color w:val="auto"/>
              </w:rPr>
            </w:pPr>
            <w:r>
              <w:rPr>
                <w:rFonts w:ascii="Arial" w:cs="Arial" w:eastAsia="Arial" w:hAnsi="Arial"/>
                <w:sz w:val="13"/>
                <w:szCs w:val="13"/>
                <w:b w:val="1"/>
                <w:bCs w:val="1"/>
                <w:color w:val="00529B"/>
              </w:rPr>
              <w:t>INDEPENDENT</w:t>
            </w:r>
          </w:p>
        </w:tc>
        <w:tc>
          <w:tcPr>
            <w:tcW w:w="2760" w:type="dxa"/>
            <w:vAlign w:val="bottom"/>
            <w:gridSpan w:val="2"/>
          </w:tcPr>
          <w:p>
            <w:pPr>
              <w:ind w:left="160"/>
              <w:spacing w:after="0"/>
              <w:rPr>
                <w:sz w:val="20"/>
                <w:szCs w:val="20"/>
                <w:color w:val="auto"/>
              </w:rPr>
            </w:pPr>
            <w:r>
              <w:rPr>
                <w:rFonts w:ascii="Arial" w:cs="Arial" w:eastAsia="Arial" w:hAnsi="Arial"/>
                <w:sz w:val="14"/>
                <w:szCs w:val="14"/>
                <w:b w:val="1"/>
                <w:bCs w:val="1"/>
                <w:color w:val="00529B"/>
              </w:rPr>
              <w:t>Core Competencies</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0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0"/>
              <w:spacing w:after="0"/>
              <w:rPr>
                <w:sz w:val="20"/>
                <w:szCs w:val="20"/>
                <w:color w:val="auto"/>
              </w:rPr>
            </w:pPr>
            <w:r>
              <w:rPr>
                <w:rFonts w:ascii="Arial" w:cs="Arial" w:eastAsia="Arial" w:hAnsi="Arial"/>
                <w:sz w:val="13"/>
                <w:szCs w:val="13"/>
                <w:b w:val="1"/>
                <w:bCs w:val="1"/>
                <w:color w:val="00529B"/>
              </w:rPr>
              <w:t xml:space="preserve">Age: </w:t>
            </w:r>
            <w:r>
              <w:rPr>
                <w:rFonts w:ascii="Arial" w:cs="Arial" w:eastAsia="Arial" w:hAnsi="Arial"/>
                <w:sz w:val="13"/>
                <w:szCs w:val="13"/>
                <w:color w:val="000000"/>
              </w:rPr>
              <w:t>67</w:t>
            </w:r>
          </w:p>
        </w:tc>
        <w:tc>
          <w:tcPr>
            <w:tcW w:w="1180" w:type="dxa"/>
            <w:vAlign w:val="bottom"/>
            <w:tcBorders>
              <w:left w:val="single" w:sz="8" w:color="00519B"/>
            </w:tcBorders>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0"/>
              <w:spacing w:after="0"/>
              <w:rPr>
                <w:sz w:val="20"/>
                <w:szCs w:val="20"/>
                <w:color w:val="auto"/>
              </w:rPr>
            </w:pPr>
            <w:r>
              <w:rPr>
                <w:rFonts w:ascii="Arial" w:cs="Arial" w:eastAsia="Arial" w:hAnsi="Arial"/>
                <w:sz w:val="13"/>
                <w:szCs w:val="13"/>
                <w:b w:val="1"/>
                <w:bCs w:val="1"/>
                <w:color w:val="00529B"/>
              </w:rPr>
              <w:t xml:space="preserve">Director Since: </w:t>
            </w:r>
            <w:r>
              <w:rPr>
                <w:rFonts w:ascii="Arial" w:cs="Arial" w:eastAsia="Arial" w:hAnsi="Arial"/>
                <w:sz w:val="13"/>
                <w:szCs w:val="13"/>
                <w:color w:val="000000"/>
              </w:rPr>
              <w:t>2019</w:t>
            </w:r>
          </w:p>
        </w:tc>
        <w:tc>
          <w:tcPr>
            <w:tcW w:w="1180" w:type="dxa"/>
            <w:vAlign w:val="bottom"/>
            <w:tcBorders>
              <w:left w:val="single" w:sz="8" w:color="00519B"/>
            </w:tcBorders>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00" w:type="dxa"/>
            <w:vAlign w:val="bottom"/>
          </w:tcPr>
          <w:p>
            <w:pPr>
              <w:ind w:left="200"/>
              <w:spacing w:after="0"/>
              <w:rPr>
                <w:sz w:val="20"/>
                <w:szCs w:val="20"/>
                <w:color w:val="auto"/>
              </w:rPr>
            </w:pPr>
            <w:r>
              <w:rPr>
                <w:rFonts w:ascii="Arial" w:cs="Arial" w:eastAsia="Arial" w:hAnsi="Arial"/>
                <w:sz w:val="13"/>
                <w:szCs w:val="13"/>
                <w:b w:val="1"/>
                <w:bCs w:val="1"/>
                <w:color w:val="00529B"/>
              </w:rPr>
              <w:t>Board Committees:</w:t>
            </w:r>
          </w:p>
        </w:tc>
        <w:tc>
          <w:tcPr>
            <w:tcW w:w="1180" w:type="dxa"/>
            <w:vAlign w:val="bottom"/>
            <w:tcBorders>
              <w:left w:val="single" w:sz="8" w:color="00519B"/>
            </w:tcBorders>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00" w:type="dxa"/>
            <w:vAlign w:val="bottom"/>
            <w:vMerge w:val="restart"/>
          </w:tcPr>
          <w:p>
            <w:pPr>
              <w:ind w:left="200"/>
              <w:spacing w:after="0"/>
              <w:rPr>
                <w:sz w:val="20"/>
                <w:szCs w:val="20"/>
                <w:color w:val="auto"/>
              </w:rPr>
            </w:pPr>
            <w:r>
              <w:rPr>
                <w:rFonts w:ascii="Arial" w:cs="Arial" w:eastAsia="Arial" w:hAnsi="Arial"/>
                <w:sz w:val="13"/>
                <w:szCs w:val="13"/>
                <w:color w:val="auto"/>
              </w:rPr>
              <w:t>Audit (Chair);</w:t>
            </w:r>
          </w:p>
        </w:tc>
        <w:tc>
          <w:tcPr>
            <w:tcW w:w="1180" w:type="dxa"/>
            <w:vAlign w:val="bottom"/>
            <w:tcBorders>
              <w:left w:val="single" w:sz="8" w:color="00519B"/>
            </w:tcBorders>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0"/>
              <w:spacing w:after="0"/>
              <w:rPr>
                <w:sz w:val="20"/>
                <w:szCs w:val="20"/>
                <w:color w:val="auto"/>
              </w:rPr>
            </w:pPr>
            <w:r>
              <w:rPr>
                <w:rFonts w:ascii="Arial" w:cs="Arial" w:eastAsia="Arial" w:hAnsi="Arial"/>
                <w:sz w:val="13"/>
                <w:szCs w:val="13"/>
                <w:color w:val="auto"/>
              </w:rPr>
              <w:t>Environmental, Health and</w:t>
            </w:r>
          </w:p>
        </w:tc>
        <w:tc>
          <w:tcPr>
            <w:tcW w:w="1180" w:type="dxa"/>
            <w:vAlign w:val="bottom"/>
          </w:tcPr>
          <w:p>
            <w:pPr>
              <w:ind w:left="160"/>
              <w:spacing w:after="0"/>
              <w:rPr>
                <w:sz w:val="20"/>
                <w:szCs w:val="20"/>
                <w:color w:val="auto"/>
              </w:rPr>
            </w:pPr>
            <w:r>
              <w:rPr>
                <w:rFonts w:ascii="Arial" w:cs="Arial" w:eastAsia="Arial" w:hAnsi="Arial"/>
                <w:sz w:val="13"/>
                <w:szCs w:val="13"/>
                <w:color w:val="auto"/>
              </w:rPr>
              <w:t>Corporate</w:t>
            </w:r>
          </w:p>
        </w:tc>
        <w:tc>
          <w:tcPr>
            <w:tcW w:w="1580" w:type="dxa"/>
            <w:vAlign w:val="bottom"/>
          </w:tcPr>
          <w:p>
            <w:pPr>
              <w:ind w:left="300"/>
              <w:spacing w:after="0"/>
              <w:rPr>
                <w:sz w:val="20"/>
                <w:szCs w:val="20"/>
                <w:color w:val="auto"/>
              </w:rPr>
            </w:pPr>
            <w:r>
              <w:rPr>
                <w:rFonts w:ascii="Arial" w:cs="Arial" w:eastAsia="Arial" w:hAnsi="Arial"/>
                <w:sz w:val="13"/>
                <w:szCs w:val="13"/>
                <w:color w:val="auto"/>
              </w:rPr>
              <w:t>Environmental,</w:t>
            </w:r>
          </w:p>
        </w:tc>
        <w:tc>
          <w:tcPr>
            <w:tcW w:w="1120" w:type="dxa"/>
            <w:vAlign w:val="bottom"/>
          </w:tcPr>
          <w:p>
            <w:pPr>
              <w:ind w:left="400"/>
              <w:spacing w:after="0"/>
              <w:rPr>
                <w:sz w:val="20"/>
                <w:szCs w:val="20"/>
                <w:color w:val="auto"/>
              </w:rPr>
            </w:pPr>
            <w:r>
              <w:rPr>
                <w:rFonts w:ascii="Arial" w:cs="Arial" w:eastAsia="Arial" w:hAnsi="Arial"/>
                <w:sz w:val="13"/>
                <w:szCs w:val="13"/>
                <w:color w:val="auto"/>
              </w:rPr>
              <w:t>Finance/</w:t>
            </w:r>
          </w:p>
        </w:tc>
        <w:tc>
          <w:tcPr>
            <w:tcW w:w="1180" w:type="dxa"/>
            <w:vAlign w:val="bottom"/>
          </w:tcPr>
          <w:p>
            <w:pPr>
              <w:ind w:left="200"/>
              <w:spacing w:after="0"/>
              <w:rPr>
                <w:sz w:val="20"/>
                <w:szCs w:val="20"/>
                <w:color w:val="auto"/>
              </w:rPr>
            </w:pPr>
            <w:r>
              <w:rPr>
                <w:rFonts w:ascii="Arial" w:cs="Arial" w:eastAsia="Arial" w:hAnsi="Arial"/>
                <w:sz w:val="13"/>
                <w:szCs w:val="13"/>
                <w:color w:val="auto"/>
              </w:rPr>
              <w:t>Financial</w:t>
            </w:r>
          </w:p>
        </w:tc>
        <w:tc>
          <w:tcPr>
            <w:tcW w:w="1300" w:type="dxa"/>
            <w:vAlign w:val="bottom"/>
          </w:tcPr>
          <w:p>
            <w:pPr>
              <w:ind w:left="300"/>
              <w:spacing w:after="0"/>
              <w:rPr>
                <w:sz w:val="20"/>
                <w:szCs w:val="20"/>
                <w:color w:val="auto"/>
              </w:rPr>
            </w:pPr>
            <w:r>
              <w:rPr>
                <w:rFonts w:ascii="Arial" w:cs="Arial" w:eastAsia="Arial" w:hAnsi="Arial"/>
                <w:sz w:val="13"/>
                <w:szCs w:val="13"/>
                <w:color w:val="auto"/>
              </w:rPr>
              <w:t>Industry</w:t>
            </w:r>
          </w:p>
        </w:tc>
        <w:tc>
          <w:tcPr>
            <w:tcW w:w="1380" w:type="dxa"/>
            <w:vAlign w:val="bottom"/>
          </w:tcPr>
          <w:p>
            <w:pPr>
              <w:ind w:left="300"/>
              <w:spacing w:after="0"/>
              <w:rPr>
                <w:sz w:val="20"/>
                <w:szCs w:val="20"/>
                <w:color w:val="auto"/>
              </w:rPr>
            </w:pPr>
            <w:r>
              <w:rPr>
                <w:rFonts w:ascii="Arial" w:cs="Arial" w:eastAsia="Arial" w:hAnsi="Arial"/>
                <w:sz w:val="13"/>
                <w:szCs w:val="13"/>
                <w:color w:val="auto"/>
              </w:rPr>
              <w:t>International</w:t>
            </w:r>
          </w:p>
        </w:tc>
        <w:tc>
          <w:tcPr>
            <w:tcW w:w="1500" w:type="dxa"/>
            <w:vAlign w:val="bottom"/>
            <w:gridSpan w:val="2"/>
          </w:tcPr>
          <w:p>
            <w:pPr>
              <w:ind w:left="320"/>
              <w:spacing w:after="0"/>
              <w:rPr>
                <w:sz w:val="20"/>
                <w:szCs w:val="20"/>
                <w:color w:val="auto"/>
              </w:rPr>
            </w:pPr>
            <w:r>
              <w:rPr>
                <w:rFonts w:ascii="Arial" w:cs="Arial" w:eastAsia="Arial" w:hAnsi="Arial"/>
                <w:sz w:val="13"/>
                <w:szCs w:val="13"/>
                <w:color w:val="auto"/>
              </w:rPr>
              <w:t>Investor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0"/>
              <w:spacing w:after="0"/>
              <w:rPr>
                <w:sz w:val="20"/>
                <w:szCs w:val="20"/>
                <w:color w:val="auto"/>
              </w:rPr>
            </w:pPr>
            <w:r>
              <w:rPr>
                <w:rFonts w:ascii="Arial" w:cs="Arial" w:eastAsia="Arial" w:hAnsi="Arial"/>
                <w:sz w:val="13"/>
                <w:szCs w:val="13"/>
                <w:color w:val="auto"/>
              </w:rPr>
              <w:t>Safety; Sustainability</w:t>
            </w:r>
          </w:p>
        </w:tc>
        <w:tc>
          <w:tcPr>
            <w:tcW w:w="1180" w:type="dxa"/>
            <w:vAlign w:val="bottom"/>
          </w:tcPr>
          <w:p>
            <w:pPr>
              <w:ind w:left="160"/>
              <w:spacing w:after="0"/>
              <w:rPr>
                <w:sz w:val="20"/>
                <w:szCs w:val="20"/>
                <w:color w:val="auto"/>
              </w:rPr>
            </w:pPr>
            <w:r>
              <w:rPr>
                <w:rFonts w:ascii="Arial" w:cs="Arial" w:eastAsia="Arial" w:hAnsi="Arial"/>
                <w:sz w:val="13"/>
                <w:szCs w:val="13"/>
                <w:color w:val="auto"/>
              </w:rPr>
              <w:t>Governance</w:t>
            </w:r>
          </w:p>
        </w:tc>
        <w:tc>
          <w:tcPr>
            <w:tcW w:w="1580" w:type="dxa"/>
            <w:vAlign w:val="bottom"/>
          </w:tcPr>
          <w:p>
            <w:pPr>
              <w:ind w:left="300"/>
              <w:spacing w:after="0"/>
              <w:rPr>
                <w:sz w:val="20"/>
                <w:szCs w:val="20"/>
                <w:color w:val="auto"/>
              </w:rPr>
            </w:pPr>
            <w:r>
              <w:rPr>
                <w:rFonts w:ascii="Arial" w:cs="Arial" w:eastAsia="Arial" w:hAnsi="Arial"/>
                <w:sz w:val="13"/>
                <w:szCs w:val="13"/>
                <w:color w:val="auto"/>
              </w:rPr>
              <w:t>Health,</w:t>
            </w:r>
          </w:p>
        </w:tc>
        <w:tc>
          <w:tcPr>
            <w:tcW w:w="1120" w:type="dxa"/>
            <w:vAlign w:val="bottom"/>
          </w:tcPr>
          <w:p>
            <w:pPr>
              <w:ind w:left="400"/>
              <w:spacing w:after="0"/>
              <w:rPr>
                <w:sz w:val="20"/>
                <w:szCs w:val="20"/>
                <w:color w:val="auto"/>
              </w:rPr>
            </w:pPr>
            <w:r>
              <w:rPr>
                <w:rFonts w:ascii="Arial" w:cs="Arial" w:eastAsia="Arial" w:hAnsi="Arial"/>
                <w:sz w:val="13"/>
                <w:szCs w:val="13"/>
                <w:color w:val="auto"/>
              </w:rPr>
              <w:t>Capital</w:t>
            </w:r>
          </w:p>
        </w:tc>
        <w:tc>
          <w:tcPr>
            <w:tcW w:w="1180" w:type="dxa"/>
            <w:vAlign w:val="bottom"/>
          </w:tcPr>
          <w:p>
            <w:pPr>
              <w:ind w:left="200"/>
              <w:spacing w:after="0"/>
              <w:rPr>
                <w:sz w:val="20"/>
                <w:szCs w:val="20"/>
                <w:color w:val="auto"/>
              </w:rPr>
            </w:pPr>
            <w:r>
              <w:rPr>
                <w:rFonts w:ascii="Arial" w:cs="Arial" w:eastAsia="Arial" w:hAnsi="Arial"/>
                <w:sz w:val="13"/>
                <w:szCs w:val="13"/>
                <w:color w:val="auto"/>
              </w:rPr>
              <w:t>Reporting/</w:t>
            </w:r>
          </w:p>
        </w:tc>
        <w:tc>
          <w:tcPr>
            <w:tcW w:w="1300" w:type="dxa"/>
            <w:vAlign w:val="bottom"/>
          </w:tcPr>
          <w:p>
            <w:pPr>
              <w:ind w:left="300"/>
              <w:spacing w:after="0"/>
              <w:rPr>
                <w:sz w:val="20"/>
                <w:szCs w:val="20"/>
                <w:color w:val="auto"/>
              </w:rPr>
            </w:pPr>
            <w:r>
              <w:rPr>
                <w:rFonts w:ascii="Arial" w:cs="Arial" w:eastAsia="Arial" w:hAnsi="Arial"/>
                <w:sz w:val="13"/>
                <w:szCs w:val="13"/>
                <w:color w:val="auto"/>
              </w:rPr>
              <w:t>Background</w:t>
            </w:r>
          </w:p>
        </w:tc>
        <w:tc>
          <w:tcPr>
            <w:tcW w:w="1380" w:type="dxa"/>
            <w:vAlign w:val="bottom"/>
          </w:tcPr>
          <w:p>
            <w:pPr>
              <w:ind w:left="300"/>
              <w:spacing w:after="0"/>
              <w:rPr>
                <w:sz w:val="20"/>
                <w:szCs w:val="20"/>
                <w:color w:val="auto"/>
              </w:rPr>
            </w:pPr>
            <w:r>
              <w:rPr>
                <w:rFonts w:ascii="Arial" w:cs="Arial" w:eastAsia="Arial" w:hAnsi="Arial"/>
                <w:sz w:val="13"/>
                <w:szCs w:val="13"/>
                <w:color w:val="auto"/>
              </w:rPr>
              <w:t>Experience</w:t>
            </w:r>
          </w:p>
        </w:tc>
        <w:tc>
          <w:tcPr>
            <w:tcW w:w="1500" w:type="dxa"/>
            <w:vAlign w:val="bottom"/>
            <w:gridSpan w:val="2"/>
          </w:tcPr>
          <w:p>
            <w:pPr>
              <w:ind w:left="320"/>
              <w:spacing w:after="0"/>
              <w:rPr>
                <w:sz w:val="20"/>
                <w:szCs w:val="20"/>
                <w:color w:val="auto"/>
              </w:rPr>
            </w:pPr>
            <w:r>
              <w:rPr>
                <w:rFonts w:ascii="Arial" w:cs="Arial" w:eastAsia="Arial" w:hAnsi="Arial"/>
                <w:sz w:val="13"/>
                <w:szCs w:val="13"/>
                <w:color w:val="auto"/>
              </w:rPr>
              <w:t>Relations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80" w:type="dxa"/>
            <w:vAlign w:val="bottom"/>
          </w:tcPr>
          <w:p>
            <w:pPr>
              <w:ind w:left="300"/>
              <w:spacing w:after="0"/>
              <w:rPr>
                <w:sz w:val="20"/>
                <w:szCs w:val="20"/>
                <w:color w:val="auto"/>
              </w:rPr>
            </w:pPr>
            <w:r>
              <w:rPr>
                <w:rFonts w:ascii="Arial" w:cs="Arial" w:eastAsia="Arial" w:hAnsi="Arial"/>
                <w:sz w:val="13"/>
                <w:szCs w:val="13"/>
                <w:color w:val="auto"/>
              </w:rPr>
              <w:t>Safety &amp;</w:t>
            </w:r>
          </w:p>
        </w:tc>
        <w:tc>
          <w:tcPr>
            <w:tcW w:w="1120" w:type="dxa"/>
            <w:vAlign w:val="bottom"/>
          </w:tcPr>
          <w:p>
            <w:pPr>
              <w:ind w:left="400"/>
              <w:spacing w:after="0"/>
              <w:rPr>
                <w:sz w:val="20"/>
                <w:szCs w:val="20"/>
                <w:color w:val="auto"/>
              </w:rPr>
            </w:pPr>
            <w:r>
              <w:rPr>
                <w:rFonts w:ascii="Arial" w:cs="Arial" w:eastAsia="Arial" w:hAnsi="Arial"/>
                <w:sz w:val="13"/>
                <w:szCs w:val="13"/>
                <w:color w:val="auto"/>
              </w:rPr>
              <w:t>Markets</w:t>
            </w:r>
          </w:p>
        </w:tc>
        <w:tc>
          <w:tcPr>
            <w:tcW w:w="1180" w:type="dxa"/>
            <w:vAlign w:val="bottom"/>
          </w:tcPr>
          <w:p>
            <w:pPr>
              <w:ind w:left="200"/>
              <w:spacing w:after="0"/>
              <w:rPr>
                <w:sz w:val="20"/>
                <w:szCs w:val="20"/>
                <w:color w:val="auto"/>
              </w:rPr>
            </w:pPr>
            <w:r>
              <w:rPr>
                <w:rFonts w:ascii="Arial" w:cs="Arial" w:eastAsia="Arial" w:hAnsi="Arial"/>
                <w:sz w:val="13"/>
                <w:szCs w:val="13"/>
                <w:color w:val="auto"/>
              </w:rPr>
              <w:t>Accounting</w:t>
            </w:r>
          </w:p>
        </w:tc>
        <w:tc>
          <w:tcPr>
            <w:tcW w:w="1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tcPr>
          <w:p>
            <w:pPr>
              <w:ind w:left="300"/>
              <w:spacing w:after="0"/>
              <w:rPr>
                <w:sz w:val="20"/>
                <w:szCs w:val="20"/>
                <w:color w:val="auto"/>
              </w:rPr>
            </w:pPr>
            <w:r>
              <w:rPr>
                <w:rFonts w:ascii="Arial" w:cs="Arial" w:eastAsia="Arial" w:hAnsi="Arial"/>
                <w:sz w:val="13"/>
                <w:szCs w:val="13"/>
                <w:color w:val="auto"/>
              </w:rPr>
              <w:t>Sustainability</w:t>
            </w:r>
          </w:p>
        </w:tc>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3"/>
                <w:szCs w:val="13"/>
                <w:color w:val="auto"/>
              </w:rPr>
              <w:t>Experience</w:t>
            </w:r>
          </w:p>
        </w:tc>
        <w:tc>
          <w:tcPr>
            <w:tcW w:w="1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00" w:type="dxa"/>
            <w:vAlign w:val="bottom"/>
            <w:tcBorders>
              <w:bottom w:val="single" w:sz="8" w:color="00519B"/>
            </w:tcBorders>
          </w:tcPr>
          <w:p>
            <w:pPr>
              <w:spacing w:after="0"/>
              <w:rPr>
                <w:sz w:val="8"/>
                <w:szCs w:val="8"/>
                <w:color w:val="auto"/>
              </w:rPr>
            </w:pPr>
          </w:p>
        </w:tc>
        <w:tc>
          <w:tcPr>
            <w:tcW w:w="1180" w:type="dxa"/>
            <w:vAlign w:val="bottom"/>
            <w:tcBorders>
              <w:bottom w:val="single" w:sz="8" w:color="00519B"/>
            </w:tcBorders>
          </w:tcPr>
          <w:p>
            <w:pPr>
              <w:spacing w:after="0"/>
              <w:rPr>
                <w:sz w:val="8"/>
                <w:szCs w:val="8"/>
                <w:color w:val="auto"/>
              </w:rPr>
            </w:pPr>
          </w:p>
        </w:tc>
        <w:tc>
          <w:tcPr>
            <w:tcW w:w="1580" w:type="dxa"/>
            <w:vAlign w:val="bottom"/>
            <w:tcBorders>
              <w:bottom w:val="single" w:sz="8" w:color="00519B"/>
            </w:tcBorders>
          </w:tcPr>
          <w:p>
            <w:pPr>
              <w:spacing w:after="0"/>
              <w:rPr>
                <w:sz w:val="8"/>
                <w:szCs w:val="8"/>
                <w:color w:val="auto"/>
              </w:rPr>
            </w:pPr>
          </w:p>
        </w:tc>
        <w:tc>
          <w:tcPr>
            <w:tcW w:w="1120" w:type="dxa"/>
            <w:vAlign w:val="bottom"/>
            <w:tcBorders>
              <w:bottom w:val="single" w:sz="8" w:color="00519B"/>
            </w:tcBorders>
          </w:tcPr>
          <w:p>
            <w:pPr>
              <w:spacing w:after="0"/>
              <w:rPr>
                <w:sz w:val="8"/>
                <w:szCs w:val="8"/>
                <w:color w:val="auto"/>
              </w:rPr>
            </w:pPr>
          </w:p>
        </w:tc>
        <w:tc>
          <w:tcPr>
            <w:tcW w:w="1180" w:type="dxa"/>
            <w:vAlign w:val="bottom"/>
            <w:tcBorders>
              <w:bottom w:val="single" w:sz="8" w:color="00519B"/>
            </w:tcBorders>
          </w:tcPr>
          <w:p>
            <w:pPr>
              <w:spacing w:after="0"/>
              <w:rPr>
                <w:sz w:val="8"/>
                <w:szCs w:val="8"/>
                <w:color w:val="auto"/>
              </w:rPr>
            </w:pPr>
          </w:p>
        </w:tc>
        <w:tc>
          <w:tcPr>
            <w:tcW w:w="1300" w:type="dxa"/>
            <w:vAlign w:val="bottom"/>
            <w:tcBorders>
              <w:bottom w:val="single" w:sz="8" w:color="00519B"/>
            </w:tcBorders>
          </w:tcPr>
          <w:p>
            <w:pPr>
              <w:spacing w:after="0"/>
              <w:rPr>
                <w:sz w:val="8"/>
                <w:szCs w:val="8"/>
                <w:color w:val="auto"/>
              </w:rPr>
            </w:pPr>
          </w:p>
        </w:tc>
        <w:tc>
          <w:tcPr>
            <w:tcW w:w="1380" w:type="dxa"/>
            <w:vAlign w:val="bottom"/>
            <w:tcBorders>
              <w:bottom w:val="single" w:sz="8" w:color="00519B"/>
            </w:tcBorders>
          </w:tcPr>
          <w:p>
            <w:pPr>
              <w:spacing w:after="0"/>
              <w:rPr>
                <w:sz w:val="8"/>
                <w:szCs w:val="8"/>
                <w:color w:val="auto"/>
              </w:rPr>
            </w:pPr>
          </w:p>
        </w:tc>
        <w:tc>
          <w:tcPr>
            <w:tcW w:w="860" w:type="dxa"/>
            <w:vAlign w:val="bottom"/>
            <w:tcBorders>
              <w:bottom w:val="single" w:sz="8" w:color="00519B"/>
            </w:tcBorders>
          </w:tcPr>
          <w:p>
            <w:pPr>
              <w:spacing w:after="0"/>
              <w:rPr>
                <w:sz w:val="8"/>
                <w:szCs w:val="8"/>
                <w:color w:val="auto"/>
              </w:rPr>
            </w:pPr>
          </w:p>
        </w:tc>
        <w:tc>
          <w:tcPr>
            <w:tcW w:w="640" w:type="dxa"/>
            <w:vAlign w:val="bottom"/>
            <w:tcBorders>
              <w:bottom w:val="single" w:sz="8" w:color="00519B"/>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5"/>
        </w:trPr>
        <w:tc>
          <w:tcPr>
            <w:tcW w:w="2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0" w:type="dxa"/>
            <w:vAlign w:val="bottom"/>
            <w:tcBorders>
              <w:left w:val="single" w:sz="8" w:color="auto"/>
            </w:tcBorders>
          </w:tcPr>
          <w:p>
            <w:pPr>
              <w:ind w:left="200"/>
              <w:spacing w:after="0"/>
              <w:rPr>
                <w:sz w:val="20"/>
                <w:szCs w:val="20"/>
                <w:color w:val="auto"/>
              </w:rPr>
            </w:pPr>
            <w:r>
              <w:rPr>
                <w:rFonts w:ascii="Arial" w:cs="Arial" w:eastAsia="Arial" w:hAnsi="Arial"/>
                <w:sz w:val="14"/>
                <w:szCs w:val="14"/>
                <w:b w:val="1"/>
                <w:bCs w:val="1"/>
                <w:color w:val="auto"/>
              </w:rPr>
              <w:t>20</w:t>
            </w:r>
          </w:p>
        </w:tc>
        <w:tc>
          <w:tcPr>
            <w:tcW w:w="1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-361315</wp:posOffset>
            </wp:positionV>
            <wp:extent cx="257175" cy="274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9060"/>
        <w:spacing w:after="0"/>
        <w:rPr>
          <w:sz w:val="20"/>
          <w:szCs w:val="20"/>
          <w:color w:val="auto"/>
        </w:rPr>
      </w:pPr>
      <w:r>
        <w:rPr>
          <w:rFonts w:ascii="Arial" w:cs="Arial" w:eastAsia="Arial" w:hAnsi="Arial"/>
          <w:sz w:val="15"/>
          <w:szCs w:val="15"/>
          <w:color w:val="auto"/>
        </w:rPr>
        <w:t>Proposal 1: Election of Directors</w:t>
      </w:r>
    </w:p>
    <w:p>
      <w:pPr>
        <w:spacing w:after="0" w:line="185" w:lineRule="exact"/>
        <w:rPr>
          <w:sz w:val="20"/>
          <w:szCs w:val="20"/>
          <w:color w:val="auto"/>
        </w:rPr>
      </w:pPr>
    </w:p>
    <w:p>
      <w:pPr>
        <w:ind w:right="500"/>
        <w:spacing w:after="0" w:line="290" w:lineRule="auto"/>
        <w:rPr>
          <w:sz w:val="20"/>
          <w:szCs w:val="20"/>
          <w:color w:val="auto"/>
        </w:rPr>
      </w:pPr>
      <w:r>
        <w:rPr>
          <w:rFonts w:ascii="Arial" w:cs="Arial" w:eastAsia="Arial" w:hAnsi="Arial"/>
          <w:sz w:val="36"/>
          <w:szCs w:val="36"/>
          <w:b w:val="1"/>
          <w:bCs w:val="1"/>
          <w:color w:val="auto"/>
        </w:rPr>
        <w:t>Summary of the Board’s Director Nominee Core Competencies and Composition Highlights</w:t>
      </w:r>
    </w:p>
    <w:p>
      <w:pPr>
        <w:spacing w:after="0" w:line="73" w:lineRule="exact"/>
        <w:rPr>
          <w:sz w:val="20"/>
          <w:szCs w:val="20"/>
          <w:color w:val="auto"/>
        </w:rPr>
      </w:pPr>
    </w:p>
    <w:p>
      <w:pPr>
        <w:ind w:right="240"/>
        <w:spacing w:after="0" w:line="238" w:lineRule="auto"/>
        <w:rPr>
          <w:sz w:val="20"/>
          <w:szCs w:val="20"/>
          <w:color w:val="auto"/>
        </w:rPr>
      </w:pPr>
      <w:r>
        <w:rPr>
          <w:rFonts w:ascii="Arial" w:cs="Arial" w:eastAsia="Arial" w:hAnsi="Arial"/>
          <w:sz w:val="15"/>
          <w:szCs w:val="15"/>
          <w:color w:val="auto"/>
        </w:rPr>
        <w:t>The following chart summarizes the competencies that the Board considers valuable to effective oversight of Occidental and illustrates how our Board’s director nominees individually and collectively represent these key competencies. The lack of an indicator for a particular item does not mean that the director does not possess that qualification, skill or experience as we look to each director to be knowledgeable in these areas; rather, the indicator represents that the item is a core competency that contributed to his or her nomination to the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858"/>
        </w:trPr>
        <w:tc>
          <w:tcPr>
            <w:tcW w:w="8160" w:type="dxa"/>
            <w:vAlign w:val="bottom"/>
            <w:tcBorders>
              <w:bottom w:val="single" w:sz="8" w:color="00529B"/>
              <w:right w:val="single" w:sz="8" w:color="00529B"/>
            </w:tcBorders>
          </w:tcPr>
          <w:p>
            <w:pPr>
              <w:spacing w:after="0"/>
              <w:rPr>
                <w:sz w:val="24"/>
                <w:szCs w:val="24"/>
                <w:color w:val="auto"/>
              </w:rPr>
            </w:pPr>
          </w:p>
        </w:tc>
        <w:tc>
          <w:tcPr>
            <w:tcW w:w="300" w:type="dxa"/>
            <w:vAlign w:val="bottom"/>
            <w:tcBorders>
              <w:bottom w:val="single" w:sz="8" w:color="00529B"/>
              <w:right w:val="single" w:sz="8" w:color="D1D2D4"/>
            </w:tcBorders>
          </w:tcPr>
          <w:p>
            <w:pPr>
              <w:spacing w:after="0"/>
              <w:rPr>
                <w:sz w:val="24"/>
                <w:szCs w:val="24"/>
                <w:color w:val="auto"/>
              </w:rPr>
            </w:pPr>
          </w:p>
        </w:tc>
        <w:tc>
          <w:tcPr>
            <w:tcW w:w="320" w:type="dxa"/>
            <w:vAlign w:val="bottom"/>
            <w:tcBorders>
              <w:bottom w:val="single" w:sz="8" w:color="00529B"/>
              <w:right w:val="single" w:sz="8" w:color="D1D2D4"/>
            </w:tcBorders>
          </w:tcPr>
          <w:p>
            <w:pPr>
              <w:spacing w:after="0"/>
              <w:rPr>
                <w:sz w:val="24"/>
                <w:szCs w:val="24"/>
                <w:color w:val="auto"/>
              </w:rPr>
            </w:pPr>
          </w:p>
        </w:tc>
        <w:tc>
          <w:tcPr>
            <w:tcW w:w="300" w:type="dxa"/>
            <w:vAlign w:val="bottom"/>
            <w:tcBorders>
              <w:bottom w:val="single" w:sz="8" w:color="00529B"/>
              <w:right w:val="single" w:sz="8" w:color="D1D2D4"/>
            </w:tcBorders>
          </w:tcPr>
          <w:p>
            <w:pPr>
              <w:spacing w:after="0"/>
              <w:rPr>
                <w:sz w:val="24"/>
                <w:szCs w:val="24"/>
                <w:color w:val="auto"/>
              </w:rPr>
            </w:pPr>
          </w:p>
        </w:tc>
        <w:tc>
          <w:tcPr>
            <w:tcW w:w="300" w:type="dxa"/>
            <w:vAlign w:val="bottom"/>
            <w:tcBorders>
              <w:bottom w:val="single" w:sz="8" w:color="00529B"/>
              <w:right w:val="single" w:sz="8" w:color="D1D2D4"/>
            </w:tcBorders>
          </w:tcPr>
          <w:p>
            <w:pPr>
              <w:spacing w:after="0"/>
              <w:rPr>
                <w:sz w:val="24"/>
                <w:szCs w:val="24"/>
                <w:color w:val="auto"/>
              </w:rPr>
            </w:pPr>
          </w:p>
        </w:tc>
        <w:tc>
          <w:tcPr>
            <w:tcW w:w="320" w:type="dxa"/>
            <w:vAlign w:val="bottom"/>
            <w:tcBorders>
              <w:bottom w:val="single" w:sz="8" w:color="00529B"/>
              <w:right w:val="single" w:sz="8" w:color="D1D2D4"/>
            </w:tcBorders>
          </w:tcPr>
          <w:p>
            <w:pPr>
              <w:spacing w:after="0"/>
              <w:rPr>
                <w:sz w:val="24"/>
                <w:szCs w:val="24"/>
                <w:color w:val="auto"/>
              </w:rPr>
            </w:pPr>
          </w:p>
        </w:tc>
        <w:tc>
          <w:tcPr>
            <w:tcW w:w="340" w:type="dxa"/>
            <w:vAlign w:val="bottom"/>
            <w:tcBorders>
              <w:bottom w:val="single" w:sz="8" w:color="00529B"/>
              <w:right w:val="single" w:sz="8" w:color="D1D2D4"/>
            </w:tcBorders>
          </w:tcPr>
          <w:p>
            <w:pPr>
              <w:spacing w:after="0"/>
              <w:rPr>
                <w:sz w:val="24"/>
                <w:szCs w:val="24"/>
                <w:color w:val="auto"/>
              </w:rPr>
            </w:pPr>
          </w:p>
        </w:tc>
        <w:tc>
          <w:tcPr>
            <w:tcW w:w="320" w:type="dxa"/>
            <w:vAlign w:val="bottom"/>
            <w:tcBorders>
              <w:bottom w:val="single" w:sz="8" w:color="00529B"/>
              <w:right w:val="single" w:sz="8" w:color="D1D2D4"/>
            </w:tcBorders>
          </w:tcPr>
          <w:p>
            <w:pPr>
              <w:spacing w:after="0"/>
              <w:rPr>
                <w:sz w:val="24"/>
                <w:szCs w:val="24"/>
                <w:color w:val="auto"/>
              </w:rPr>
            </w:pPr>
          </w:p>
        </w:tc>
        <w:tc>
          <w:tcPr>
            <w:tcW w:w="300" w:type="dxa"/>
            <w:vAlign w:val="bottom"/>
            <w:tcBorders>
              <w:bottom w:val="single" w:sz="8" w:color="00529B"/>
              <w:right w:val="single" w:sz="8" w:color="D1D2D4"/>
            </w:tcBorders>
          </w:tcPr>
          <w:p>
            <w:pPr>
              <w:spacing w:after="0"/>
              <w:rPr>
                <w:sz w:val="24"/>
                <w:szCs w:val="24"/>
                <w:color w:val="auto"/>
              </w:rPr>
            </w:pPr>
          </w:p>
        </w:tc>
        <w:tc>
          <w:tcPr>
            <w:tcW w:w="280" w:type="dxa"/>
            <w:vAlign w:val="bottom"/>
            <w:tcBorders>
              <w:bottom w:val="single" w:sz="8" w:color="00529B"/>
              <w:right w:val="single" w:sz="8" w:color="00529B"/>
            </w:tcBorders>
          </w:tcPr>
          <w:p>
            <w:pPr>
              <w:spacing w:after="0"/>
              <w:rPr>
                <w:sz w:val="24"/>
                <w:szCs w:val="24"/>
                <w:color w:val="auto"/>
              </w:rPr>
            </w:pPr>
          </w:p>
        </w:tc>
        <w:tc>
          <w:tcPr>
            <w:tcW w:w="300" w:type="dxa"/>
            <w:vAlign w:val="bottom"/>
            <w:tcBorders>
              <w:bottom w:val="single" w:sz="8" w:color="00529B"/>
              <w:right w:val="single" w:sz="8" w:color="00529B"/>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Corporate Governance</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4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tcPr>
          <w:p>
            <w:pPr>
              <w:spacing w:after="0"/>
              <w:rPr>
                <w:sz w:val="17"/>
                <w:szCs w:val="17"/>
                <w:color w:val="auto"/>
              </w:rPr>
            </w:pP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contributes to the Board’s understanding of best practices in corporate governance matters</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vMerge w:val="continue"/>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vMerge w:val="continue"/>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160" w:type="dxa"/>
            <w:vAlign w:val="bottom"/>
            <w:tcBorders>
              <w:bottom w:val="single" w:sz="8" w:color="D1D2D4"/>
              <w:right w:val="single" w:sz="8" w:color="00529B"/>
            </w:tcBorders>
          </w:tcPr>
          <w:p>
            <w:pPr>
              <w:spacing w:after="0"/>
              <w:rPr>
                <w:sz w:val="12"/>
                <w:szCs w:val="12"/>
                <w:color w:val="auto"/>
              </w:rPr>
            </w:pPr>
          </w:p>
        </w:tc>
        <w:tc>
          <w:tcPr>
            <w:tcW w:w="300" w:type="dxa"/>
            <w:vAlign w:val="bottom"/>
            <w:tcBorders>
              <w:bottom w:val="single" w:sz="8" w:color="D1D2D4"/>
              <w:right w:val="single" w:sz="8" w:color="D1D2D4"/>
            </w:tcBorders>
          </w:tcPr>
          <w:p>
            <w:pPr>
              <w:spacing w:after="0"/>
              <w:rPr>
                <w:sz w:val="12"/>
                <w:szCs w:val="12"/>
                <w:color w:val="auto"/>
              </w:rPr>
            </w:pPr>
          </w:p>
        </w:tc>
        <w:tc>
          <w:tcPr>
            <w:tcW w:w="320" w:type="dxa"/>
            <w:vAlign w:val="bottom"/>
            <w:tcBorders>
              <w:bottom w:val="single" w:sz="8" w:color="D1D2D4"/>
              <w:right w:val="single" w:sz="8" w:color="D1D2D4"/>
            </w:tcBorders>
          </w:tcPr>
          <w:p>
            <w:pPr>
              <w:spacing w:after="0"/>
              <w:rPr>
                <w:sz w:val="12"/>
                <w:szCs w:val="12"/>
                <w:color w:val="auto"/>
              </w:rPr>
            </w:pPr>
          </w:p>
        </w:tc>
        <w:tc>
          <w:tcPr>
            <w:tcW w:w="300" w:type="dxa"/>
            <w:vAlign w:val="bottom"/>
            <w:tcBorders>
              <w:bottom w:val="single" w:sz="8" w:color="D1D2D4"/>
              <w:right w:val="single" w:sz="8" w:color="D1D2D4"/>
            </w:tcBorders>
          </w:tcPr>
          <w:p>
            <w:pPr>
              <w:spacing w:after="0"/>
              <w:rPr>
                <w:sz w:val="12"/>
                <w:szCs w:val="12"/>
                <w:color w:val="auto"/>
              </w:rPr>
            </w:pPr>
          </w:p>
        </w:tc>
        <w:tc>
          <w:tcPr>
            <w:tcW w:w="300" w:type="dxa"/>
            <w:vAlign w:val="bottom"/>
            <w:tcBorders>
              <w:bottom w:val="single" w:sz="8" w:color="D1D2D4"/>
              <w:right w:val="single" w:sz="8" w:color="D1D2D4"/>
            </w:tcBorders>
          </w:tcPr>
          <w:p>
            <w:pPr>
              <w:spacing w:after="0"/>
              <w:rPr>
                <w:sz w:val="12"/>
                <w:szCs w:val="12"/>
                <w:color w:val="auto"/>
              </w:rPr>
            </w:pPr>
          </w:p>
        </w:tc>
        <w:tc>
          <w:tcPr>
            <w:tcW w:w="320" w:type="dxa"/>
            <w:vAlign w:val="bottom"/>
            <w:tcBorders>
              <w:bottom w:val="single" w:sz="8" w:color="D1D2D4"/>
              <w:right w:val="single" w:sz="8" w:color="D1D2D4"/>
            </w:tcBorders>
          </w:tcPr>
          <w:p>
            <w:pPr>
              <w:spacing w:after="0"/>
              <w:rPr>
                <w:sz w:val="12"/>
                <w:szCs w:val="12"/>
                <w:color w:val="auto"/>
              </w:rPr>
            </w:pPr>
          </w:p>
        </w:tc>
        <w:tc>
          <w:tcPr>
            <w:tcW w:w="340" w:type="dxa"/>
            <w:vAlign w:val="bottom"/>
            <w:tcBorders>
              <w:bottom w:val="single" w:sz="8" w:color="D1D2D4"/>
              <w:right w:val="single" w:sz="8" w:color="D1D2D4"/>
            </w:tcBorders>
          </w:tcPr>
          <w:p>
            <w:pPr>
              <w:spacing w:after="0"/>
              <w:rPr>
                <w:sz w:val="12"/>
                <w:szCs w:val="12"/>
                <w:color w:val="auto"/>
              </w:rPr>
            </w:pPr>
          </w:p>
        </w:tc>
        <w:tc>
          <w:tcPr>
            <w:tcW w:w="320" w:type="dxa"/>
            <w:vAlign w:val="bottom"/>
            <w:tcBorders>
              <w:bottom w:val="single" w:sz="8" w:color="D1D2D4"/>
              <w:right w:val="single" w:sz="8" w:color="D1D2D4"/>
            </w:tcBorders>
          </w:tcPr>
          <w:p>
            <w:pPr>
              <w:spacing w:after="0"/>
              <w:rPr>
                <w:sz w:val="12"/>
                <w:szCs w:val="12"/>
                <w:color w:val="auto"/>
              </w:rPr>
            </w:pPr>
          </w:p>
        </w:tc>
        <w:tc>
          <w:tcPr>
            <w:tcW w:w="300" w:type="dxa"/>
            <w:vAlign w:val="bottom"/>
            <w:tcBorders>
              <w:bottom w:val="single" w:sz="8" w:color="D1D2D4"/>
              <w:right w:val="single" w:sz="8" w:color="D1D2D4"/>
            </w:tcBorders>
          </w:tcPr>
          <w:p>
            <w:pPr>
              <w:spacing w:after="0"/>
              <w:rPr>
                <w:sz w:val="12"/>
                <w:szCs w:val="12"/>
                <w:color w:val="auto"/>
              </w:rPr>
            </w:pPr>
          </w:p>
        </w:tc>
        <w:tc>
          <w:tcPr>
            <w:tcW w:w="280" w:type="dxa"/>
            <w:vAlign w:val="bottom"/>
            <w:tcBorders>
              <w:bottom w:val="single" w:sz="8" w:color="D1D2D4"/>
              <w:right w:val="single" w:sz="8" w:color="D1D2D4"/>
            </w:tcBorders>
          </w:tcPr>
          <w:p>
            <w:pPr>
              <w:spacing w:after="0"/>
              <w:rPr>
                <w:sz w:val="12"/>
                <w:szCs w:val="12"/>
                <w:color w:val="auto"/>
              </w:rPr>
            </w:pPr>
          </w:p>
        </w:tc>
        <w:tc>
          <w:tcPr>
            <w:tcW w:w="300" w:type="dxa"/>
            <w:vAlign w:val="bottom"/>
            <w:tcBorders>
              <w:bottom w:val="single" w:sz="8" w:color="D1D2D4"/>
              <w:right w:val="single" w:sz="8" w:color="00529B"/>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Environmental, Health, Safety &amp; Sustainability</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contributes to the Board’s oversight and understanding of EHS and sustainability issues and their relationship to the</w:t>
            </w: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4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28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0052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company’s business and strategy</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60" w:type="dxa"/>
            <w:vAlign w:val="bottom"/>
            <w:tcBorders>
              <w:bottom w:val="single" w:sz="8" w:color="D1D2D4"/>
              <w:right w:val="single" w:sz="8" w:color="00529B"/>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4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28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00529B"/>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Executive Compensation</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tcPr>
          <w:p>
            <w:pPr>
              <w:spacing w:after="0"/>
              <w:rPr>
                <w:sz w:val="17"/>
                <w:szCs w:val="17"/>
                <w:color w:val="auto"/>
              </w:rPr>
            </w:pP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contributes to the Board’s ability to attract, motivate and retain executive talent and to align compensation programs</w:t>
            </w: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tcPr>
          <w:p>
            <w:pPr>
              <w:spacing w:after="0"/>
              <w:rPr>
                <w:sz w:val="14"/>
                <w:szCs w:val="14"/>
                <w:color w:val="auto"/>
              </w:rPr>
            </w:pPr>
          </w:p>
        </w:tc>
        <w:tc>
          <w:tcPr>
            <w:tcW w:w="34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28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00529B"/>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with shareholder interests</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60" w:type="dxa"/>
            <w:vAlign w:val="bottom"/>
            <w:tcBorders>
              <w:bottom w:val="single" w:sz="8" w:color="D1D2D4"/>
              <w:right w:val="single" w:sz="8" w:color="00529B"/>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4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28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00529B"/>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Finance/Capital Markets</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valuable in evaluating Occidental’s capital structure, capital allocation and financial strategy (dividends/stock</w:t>
            </w:r>
          </w:p>
        </w:tc>
        <w:tc>
          <w:tcPr>
            <w:tcW w:w="30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tcPr>
          <w:p>
            <w:pPr>
              <w:spacing w:after="0"/>
              <w:rPr>
                <w:sz w:val="14"/>
                <w:szCs w:val="14"/>
                <w:color w:val="auto"/>
              </w:rPr>
            </w:pPr>
          </w:p>
        </w:tc>
        <w:tc>
          <w:tcPr>
            <w:tcW w:w="34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28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0052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repurchases/financing)</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60" w:type="dxa"/>
            <w:vAlign w:val="bottom"/>
            <w:tcBorders>
              <w:bottom w:val="single" w:sz="8" w:color="D1D2D4"/>
              <w:right w:val="single" w:sz="8" w:color="00529B"/>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4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28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00529B"/>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Financial Reporting/Accounting Experience</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critical to the oversight of the company’s financial statements and financial reports</w:t>
            </w:r>
          </w:p>
        </w:tc>
        <w:tc>
          <w:tcPr>
            <w:tcW w:w="300" w:type="dxa"/>
            <w:vAlign w:val="bottom"/>
            <w:tcBorders>
              <w:right w:val="single" w:sz="8" w:color="D1D2D4"/>
            </w:tcBorders>
            <w:vMerge w:val="continue"/>
          </w:tcPr>
          <w:p>
            <w:pPr>
              <w:spacing w:after="0"/>
              <w:rPr>
                <w:sz w:val="16"/>
                <w:szCs w:val="16"/>
                <w:color w:val="auto"/>
              </w:rPr>
            </w:pPr>
          </w:p>
        </w:tc>
        <w:tc>
          <w:tcPr>
            <w:tcW w:w="320" w:type="dxa"/>
            <w:vAlign w:val="bottom"/>
            <w:tcBorders>
              <w:right w:val="single" w:sz="8" w:color="D1D2D4"/>
            </w:tcBorders>
            <w:vMerge w:val="continue"/>
          </w:tcPr>
          <w:p>
            <w:pPr>
              <w:spacing w:after="0"/>
              <w:rPr>
                <w:sz w:val="16"/>
                <w:szCs w:val="16"/>
                <w:color w:val="auto"/>
              </w:rPr>
            </w:pPr>
          </w:p>
        </w:tc>
        <w:tc>
          <w:tcPr>
            <w:tcW w:w="300" w:type="dxa"/>
            <w:vAlign w:val="bottom"/>
            <w:tcBorders>
              <w:right w:val="single" w:sz="8" w:color="D1D2D4"/>
            </w:tcBorders>
            <w:vMerge w:val="continue"/>
          </w:tcPr>
          <w:p>
            <w:pPr>
              <w:spacing w:after="0"/>
              <w:rPr>
                <w:sz w:val="16"/>
                <w:szCs w:val="16"/>
                <w:color w:val="auto"/>
              </w:rPr>
            </w:pPr>
          </w:p>
        </w:tc>
        <w:tc>
          <w:tcPr>
            <w:tcW w:w="300" w:type="dxa"/>
            <w:vAlign w:val="bottom"/>
            <w:tcBorders>
              <w:right w:val="single" w:sz="8" w:color="D1D2D4"/>
            </w:tcBorders>
            <w:vMerge w:val="continue"/>
          </w:tcPr>
          <w:p>
            <w:pPr>
              <w:spacing w:after="0"/>
              <w:rPr>
                <w:sz w:val="16"/>
                <w:szCs w:val="16"/>
                <w:color w:val="auto"/>
              </w:rPr>
            </w:pPr>
          </w:p>
        </w:tc>
        <w:tc>
          <w:tcPr>
            <w:tcW w:w="320" w:type="dxa"/>
            <w:vAlign w:val="bottom"/>
            <w:tcBorders>
              <w:right w:val="single" w:sz="8" w:color="D1D2D4"/>
            </w:tcBorders>
            <w:vMerge w:val="continue"/>
          </w:tcPr>
          <w:p>
            <w:pPr>
              <w:spacing w:after="0"/>
              <w:rPr>
                <w:sz w:val="16"/>
                <w:szCs w:val="16"/>
                <w:color w:val="auto"/>
              </w:rPr>
            </w:pPr>
          </w:p>
        </w:tc>
        <w:tc>
          <w:tcPr>
            <w:tcW w:w="340" w:type="dxa"/>
            <w:vAlign w:val="bottom"/>
            <w:tcBorders>
              <w:right w:val="single" w:sz="8" w:color="D1D2D4"/>
            </w:tcBorders>
            <w:vMerge w:val="continue"/>
          </w:tcPr>
          <w:p>
            <w:pPr>
              <w:spacing w:after="0"/>
              <w:rPr>
                <w:sz w:val="16"/>
                <w:szCs w:val="16"/>
                <w:color w:val="auto"/>
              </w:rPr>
            </w:pPr>
          </w:p>
        </w:tc>
        <w:tc>
          <w:tcPr>
            <w:tcW w:w="320" w:type="dxa"/>
            <w:vAlign w:val="bottom"/>
            <w:tcBorders>
              <w:right w:val="single" w:sz="8" w:color="D1D2D4"/>
            </w:tcBorders>
            <w:vMerge w:val="continue"/>
          </w:tcPr>
          <w:p>
            <w:pPr>
              <w:spacing w:after="0"/>
              <w:rPr>
                <w:sz w:val="16"/>
                <w:szCs w:val="16"/>
                <w:color w:val="auto"/>
              </w:rPr>
            </w:pPr>
          </w:p>
        </w:tc>
        <w:tc>
          <w:tcPr>
            <w:tcW w:w="300" w:type="dxa"/>
            <w:vAlign w:val="bottom"/>
            <w:tcBorders>
              <w:right w:val="single" w:sz="8" w:color="D1D2D4"/>
            </w:tcBorders>
            <w:vMerge w:val="continue"/>
          </w:tcPr>
          <w:p>
            <w:pPr>
              <w:spacing w:after="0"/>
              <w:rPr>
                <w:sz w:val="16"/>
                <w:szCs w:val="16"/>
                <w:color w:val="auto"/>
              </w:rPr>
            </w:pPr>
          </w:p>
        </w:tc>
        <w:tc>
          <w:tcPr>
            <w:tcW w:w="280" w:type="dxa"/>
            <w:vAlign w:val="bottom"/>
            <w:tcBorders>
              <w:right w:val="single" w:sz="8" w:color="D1D2D4"/>
            </w:tcBorders>
            <w:vMerge w:val="continue"/>
          </w:tcPr>
          <w:p>
            <w:pPr>
              <w:spacing w:after="0"/>
              <w:rPr>
                <w:sz w:val="16"/>
                <w:szCs w:val="16"/>
                <w:color w:val="auto"/>
              </w:rPr>
            </w:pPr>
          </w:p>
        </w:tc>
        <w:tc>
          <w:tcPr>
            <w:tcW w:w="300" w:type="dxa"/>
            <w:vAlign w:val="bottom"/>
            <w:tcBorders>
              <w:right w:val="single" w:sz="8" w:color="0052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160" w:type="dxa"/>
            <w:vAlign w:val="bottom"/>
            <w:tcBorders>
              <w:bottom w:val="single" w:sz="8" w:color="D1D2D4"/>
              <w:right w:val="single" w:sz="8" w:color="00529B"/>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32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320" w:type="dxa"/>
            <w:vAlign w:val="bottom"/>
            <w:tcBorders>
              <w:bottom w:val="single" w:sz="8" w:color="D1D2D4"/>
              <w:right w:val="single" w:sz="8" w:color="D1D2D4"/>
            </w:tcBorders>
          </w:tcPr>
          <w:p>
            <w:pPr>
              <w:spacing w:after="0"/>
              <w:rPr>
                <w:sz w:val="13"/>
                <w:szCs w:val="13"/>
                <w:color w:val="auto"/>
              </w:rPr>
            </w:pPr>
          </w:p>
        </w:tc>
        <w:tc>
          <w:tcPr>
            <w:tcW w:w="340" w:type="dxa"/>
            <w:vAlign w:val="bottom"/>
            <w:tcBorders>
              <w:bottom w:val="single" w:sz="8" w:color="D1D2D4"/>
              <w:right w:val="single" w:sz="8" w:color="D1D2D4"/>
            </w:tcBorders>
          </w:tcPr>
          <w:p>
            <w:pPr>
              <w:spacing w:after="0"/>
              <w:rPr>
                <w:sz w:val="13"/>
                <w:szCs w:val="13"/>
                <w:color w:val="auto"/>
              </w:rPr>
            </w:pPr>
          </w:p>
        </w:tc>
        <w:tc>
          <w:tcPr>
            <w:tcW w:w="32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28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00529B"/>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Government, Legal &amp; Regulatory</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tcPr>
          <w:p>
            <w:pPr>
              <w:spacing w:after="0"/>
              <w:rPr>
                <w:sz w:val="17"/>
                <w:szCs w:val="17"/>
                <w:color w:val="auto"/>
              </w:rPr>
            </w:pPr>
          </w:p>
        </w:tc>
        <w:tc>
          <w:tcPr>
            <w:tcW w:w="300" w:type="dxa"/>
            <w:vAlign w:val="bottom"/>
            <w:tcBorders>
              <w:right w:val="single" w:sz="8" w:color="00529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contributes to the Board’s ability to navigate regulatory dynamics and understand complex legal matters and public</w:t>
            </w:r>
          </w:p>
        </w:tc>
        <w:tc>
          <w:tcPr>
            <w:tcW w:w="30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4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280" w:type="dxa"/>
            <w:vAlign w:val="bottom"/>
            <w:tcBorders>
              <w:right w:val="single" w:sz="8" w:color="D1D2D4"/>
            </w:tcBorders>
          </w:tcPr>
          <w:p>
            <w:pPr>
              <w:spacing w:after="0"/>
              <w:rPr>
                <w:sz w:val="14"/>
                <w:szCs w:val="14"/>
                <w:color w:val="auto"/>
              </w:rPr>
            </w:pPr>
          </w:p>
        </w:tc>
        <w:tc>
          <w:tcPr>
            <w:tcW w:w="300" w:type="dxa"/>
            <w:vAlign w:val="bottom"/>
            <w:tcBorders>
              <w:right w:val="single" w:sz="8" w:color="00529B"/>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policy issues</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60" w:type="dxa"/>
            <w:vAlign w:val="bottom"/>
            <w:tcBorders>
              <w:bottom w:val="single" w:sz="8" w:color="D1D2D4"/>
              <w:right w:val="single" w:sz="8" w:color="00529B"/>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4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28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00529B"/>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Industry Background</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280" w:type="dxa"/>
            <w:vAlign w:val="bottom"/>
            <w:tcBorders>
              <w:right w:val="single" w:sz="8" w:color="D1D2D4"/>
            </w:tcBorders>
          </w:tcPr>
          <w:p>
            <w:pPr>
              <w:spacing w:after="0"/>
              <w:rPr>
                <w:sz w:val="17"/>
                <w:szCs w:val="17"/>
                <w:color w:val="auto"/>
              </w:rPr>
            </w:pP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contributes to a deeper understanding of our business strategy, operations, key performance indicators and</w:t>
            </w: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4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280" w:type="dxa"/>
            <w:vAlign w:val="bottom"/>
            <w:tcBorders>
              <w:right w:val="single" w:sz="8" w:color="D1D2D4"/>
            </w:tcBorders>
          </w:tcPr>
          <w:p>
            <w:pPr>
              <w:spacing w:after="0"/>
              <w:rPr>
                <w:sz w:val="14"/>
                <w:szCs w:val="14"/>
                <w:color w:val="auto"/>
              </w:rPr>
            </w:pPr>
          </w:p>
        </w:tc>
        <w:tc>
          <w:tcPr>
            <w:tcW w:w="300" w:type="dxa"/>
            <w:vAlign w:val="bottom"/>
            <w:tcBorders>
              <w:right w:val="single" w:sz="8" w:color="0052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competitive environment</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60" w:type="dxa"/>
            <w:vAlign w:val="bottom"/>
            <w:tcBorders>
              <w:bottom w:val="single" w:sz="8" w:color="D1D2D4"/>
              <w:right w:val="single" w:sz="8" w:color="00529B"/>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4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28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00529B"/>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b w:val="1"/>
                <w:bCs w:val="1"/>
                <w:color w:val="00529B"/>
              </w:rPr>
              <w:t>International Experience</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tcPr>
          <w:p>
            <w:pPr>
              <w:spacing w:after="0"/>
              <w:rPr>
                <w:sz w:val="17"/>
                <w:szCs w:val="17"/>
                <w:color w:val="auto"/>
              </w:rPr>
            </w:pP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critical to cultivating and sustaining business and governmental relationships internationally and providing oversight</w:t>
            </w: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40" w:type="dxa"/>
            <w:vAlign w:val="bottom"/>
            <w:tcBorders>
              <w:right w:val="single" w:sz="8" w:color="D1D2D4"/>
            </w:tcBorders>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28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0052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4"/>
                <w:szCs w:val="14"/>
                <w:color w:val="auto"/>
              </w:rPr>
              <w:t>of our multinational operations</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60" w:type="dxa"/>
            <w:vAlign w:val="bottom"/>
            <w:tcBorders>
              <w:bottom w:val="single" w:sz="8" w:color="D1D2D4"/>
              <w:right w:val="single" w:sz="8" w:color="00529B"/>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40" w:type="dxa"/>
            <w:vAlign w:val="bottom"/>
            <w:tcBorders>
              <w:bottom w:val="single" w:sz="8" w:color="D1D2D4"/>
              <w:right w:val="single" w:sz="8" w:color="D1D2D4"/>
            </w:tcBorders>
          </w:tcPr>
          <w:p>
            <w:pPr>
              <w:spacing w:after="0"/>
              <w:rPr>
                <w:sz w:val="3"/>
                <w:szCs w:val="3"/>
                <w:color w:val="auto"/>
              </w:rPr>
            </w:pPr>
          </w:p>
        </w:tc>
        <w:tc>
          <w:tcPr>
            <w:tcW w:w="32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D1D2D4"/>
            </w:tcBorders>
          </w:tcPr>
          <w:p>
            <w:pPr>
              <w:spacing w:after="0"/>
              <w:rPr>
                <w:sz w:val="3"/>
                <w:szCs w:val="3"/>
                <w:color w:val="auto"/>
              </w:rPr>
            </w:pPr>
          </w:p>
        </w:tc>
        <w:tc>
          <w:tcPr>
            <w:tcW w:w="280" w:type="dxa"/>
            <w:vAlign w:val="bottom"/>
            <w:tcBorders>
              <w:bottom w:val="single" w:sz="8" w:color="D1D2D4"/>
              <w:right w:val="single" w:sz="8" w:color="D1D2D4"/>
            </w:tcBorders>
          </w:tcPr>
          <w:p>
            <w:pPr>
              <w:spacing w:after="0"/>
              <w:rPr>
                <w:sz w:val="3"/>
                <w:szCs w:val="3"/>
                <w:color w:val="auto"/>
              </w:rPr>
            </w:pPr>
          </w:p>
        </w:tc>
        <w:tc>
          <w:tcPr>
            <w:tcW w:w="300" w:type="dxa"/>
            <w:vAlign w:val="bottom"/>
            <w:tcBorders>
              <w:bottom w:val="single" w:sz="8" w:color="D1D2D4"/>
              <w:right w:val="single" w:sz="8" w:color="00529B"/>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b w:val="1"/>
                <w:bCs w:val="1"/>
                <w:color w:val="00529B"/>
              </w:rPr>
              <w:t>Investor Relations</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5"/>
                <w:szCs w:val="15"/>
                <w:color w:val="00529B"/>
              </w:rPr>
              <w:t>●</w:t>
            </w: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5"/>
                <w:szCs w:val="15"/>
                <w:color w:val="00529B"/>
                <w:w w:val="87"/>
              </w:rPr>
              <w:t>●</w:t>
            </w: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tcPr>
          <w:p>
            <w:pPr>
              <w:spacing w:after="0"/>
              <w:rPr>
                <w:sz w:val="16"/>
                <w:szCs w:val="16"/>
                <w:color w:val="auto"/>
              </w:rPr>
            </w:pPr>
          </w:p>
        </w:tc>
        <w:tc>
          <w:tcPr>
            <w:tcW w:w="300" w:type="dxa"/>
            <w:vAlign w:val="bottom"/>
            <w:tcBorders>
              <w:right w:val="single" w:sz="8" w:color="00529B"/>
            </w:tcBorders>
            <w:vMerge w:val="restart"/>
          </w:tcPr>
          <w:p>
            <w:pPr>
              <w:ind w:left="100"/>
              <w:spacing w:after="0"/>
              <w:rPr>
                <w:sz w:val="20"/>
                <w:szCs w:val="20"/>
                <w:color w:val="auto"/>
              </w:rPr>
            </w:pPr>
            <w:r>
              <w:rPr>
                <w:rFonts w:ascii="Arial" w:cs="Arial" w:eastAsia="Arial" w:hAnsi="Arial"/>
                <w:sz w:val="18"/>
                <w:szCs w:val="18"/>
                <w:color w:val="00529B"/>
              </w:rPr>
              <w:t>●</w:t>
            </w: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color w:val="auto"/>
              </w:rPr>
              <w:t>contributes to the Board’s understanding of shareholder concerns and perceptions</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continue"/>
          </w:tcPr>
          <w:p>
            <w:pPr>
              <w:spacing w:after="0"/>
              <w:rPr>
                <w:sz w:val="17"/>
                <w:szCs w:val="17"/>
                <w:color w:val="auto"/>
              </w:rPr>
            </w:pPr>
          </w:p>
        </w:tc>
        <w:tc>
          <w:tcPr>
            <w:tcW w:w="300" w:type="dxa"/>
            <w:vAlign w:val="bottom"/>
            <w:tcBorders>
              <w:right w:val="single" w:sz="8" w:color="D1D2D4"/>
            </w:tcBorders>
            <w:vMerge w:val="continue"/>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40" w:type="dxa"/>
            <w:vAlign w:val="bottom"/>
            <w:tcBorders>
              <w:right w:val="single" w:sz="8" w:color="D1D2D4"/>
            </w:tcBorders>
            <w:vMerge w:val="continue"/>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280" w:type="dxa"/>
            <w:vAlign w:val="bottom"/>
            <w:tcBorders>
              <w:right w:val="single" w:sz="8" w:color="D1D2D4"/>
            </w:tcBorders>
          </w:tcPr>
          <w:p>
            <w:pPr>
              <w:spacing w:after="0"/>
              <w:rPr>
                <w:sz w:val="17"/>
                <w:szCs w:val="17"/>
                <w:color w:val="auto"/>
              </w:rPr>
            </w:pPr>
          </w:p>
        </w:tc>
        <w:tc>
          <w:tcPr>
            <w:tcW w:w="300" w:type="dxa"/>
            <w:vAlign w:val="bottom"/>
            <w:tcBorders>
              <w:right w:val="single" w:sz="8" w:color="00529B"/>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160" w:type="dxa"/>
            <w:vAlign w:val="bottom"/>
            <w:tcBorders>
              <w:bottom w:val="single" w:sz="8" w:color="D1D2D4"/>
              <w:right w:val="single" w:sz="8" w:color="00529B"/>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32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320" w:type="dxa"/>
            <w:vAlign w:val="bottom"/>
            <w:tcBorders>
              <w:bottom w:val="single" w:sz="8" w:color="D1D2D4"/>
              <w:right w:val="single" w:sz="8" w:color="D1D2D4"/>
            </w:tcBorders>
          </w:tcPr>
          <w:p>
            <w:pPr>
              <w:spacing w:after="0"/>
              <w:rPr>
                <w:sz w:val="13"/>
                <w:szCs w:val="13"/>
                <w:color w:val="auto"/>
              </w:rPr>
            </w:pPr>
          </w:p>
        </w:tc>
        <w:tc>
          <w:tcPr>
            <w:tcW w:w="340" w:type="dxa"/>
            <w:vAlign w:val="bottom"/>
            <w:tcBorders>
              <w:bottom w:val="single" w:sz="8" w:color="D1D2D4"/>
              <w:right w:val="single" w:sz="8" w:color="D1D2D4"/>
            </w:tcBorders>
          </w:tcPr>
          <w:p>
            <w:pPr>
              <w:spacing w:after="0"/>
              <w:rPr>
                <w:sz w:val="13"/>
                <w:szCs w:val="13"/>
                <w:color w:val="auto"/>
              </w:rPr>
            </w:pPr>
          </w:p>
        </w:tc>
        <w:tc>
          <w:tcPr>
            <w:tcW w:w="32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D1D2D4"/>
            </w:tcBorders>
          </w:tcPr>
          <w:p>
            <w:pPr>
              <w:spacing w:after="0"/>
              <w:rPr>
                <w:sz w:val="13"/>
                <w:szCs w:val="13"/>
                <w:color w:val="auto"/>
              </w:rPr>
            </w:pPr>
          </w:p>
        </w:tc>
        <w:tc>
          <w:tcPr>
            <w:tcW w:w="280" w:type="dxa"/>
            <w:vAlign w:val="bottom"/>
            <w:tcBorders>
              <w:bottom w:val="single" w:sz="8" w:color="D1D2D4"/>
              <w:right w:val="single" w:sz="8" w:color="D1D2D4"/>
            </w:tcBorders>
          </w:tcPr>
          <w:p>
            <w:pPr>
              <w:spacing w:after="0"/>
              <w:rPr>
                <w:sz w:val="13"/>
                <w:szCs w:val="13"/>
                <w:color w:val="auto"/>
              </w:rPr>
            </w:pPr>
          </w:p>
        </w:tc>
        <w:tc>
          <w:tcPr>
            <w:tcW w:w="300" w:type="dxa"/>
            <w:vAlign w:val="bottom"/>
            <w:tcBorders>
              <w:bottom w:val="single" w:sz="8" w:color="D1D2D4"/>
              <w:right w:val="single" w:sz="8" w:color="00529B"/>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b w:val="1"/>
                <w:bCs w:val="1"/>
                <w:color w:val="00529B"/>
              </w:rPr>
              <w:t>Public Company Executive Experience</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160" w:type="dxa"/>
            <w:vAlign w:val="bottom"/>
            <w:tcBorders>
              <w:right w:val="single" w:sz="8" w:color="00529B"/>
            </w:tcBorders>
          </w:tcPr>
          <w:p>
            <w:pPr>
              <w:ind w:left="720"/>
              <w:spacing w:after="0" w:line="162" w:lineRule="exact"/>
              <w:rPr>
                <w:sz w:val="20"/>
                <w:szCs w:val="20"/>
                <w:color w:val="auto"/>
              </w:rPr>
            </w:pPr>
            <w:r>
              <w:rPr>
                <w:rFonts w:ascii="Arial" w:cs="Arial" w:eastAsia="Arial" w:hAnsi="Arial"/>
                <w:sz w:val="15"/>
                <w:szCs w:val="15"/>
                <w:color w:val="auto"/>
              </w:rPr>
              <w:t>contributes to the Board’s understanding of operations and business strategy and demonstrates leadership</w:t>
            </w:r>
          </w:p>
        </w:tc>
        <w:tc>
          <w:tcPr>
            <w:tcW w:w="300" w:type="dxa"/>
            <w:vAlign w:val="bottom"/>
            <w:tcBorders>
              <w:right w:val="single" w:sz="8" w:color="D1D2D4"/>
            </w:tcBorders>
          </w:tcPr>
          <w:p>
            <w:pPr>
              <w:jc w:val="center"/>
              <w:spacing w:after="0" w:line="162" w:lineRule="exact"/>
              <w:rPr>
                <w:sz w:val="20"/>
                <w:szCs w:val="20"/>
                <w:color w:val="auto"/>
              </w:rPr>
            </w:pPr>
            <w:r>
              <w:rPr>
                <w:rFonts w:ascii="Arial" w:cs="Arial" w:eastAsia="Arial" w:hAnsi="Arial"/>
                <w:sz w:val="15"/>
                <w:szCs w:val="15"/>
                <w:color w:val="00529B"/>
              </w:rPr>
              <w:t>●</w:t>
            </w:r>
          </w:p>
        </w:tc>
        <w:tc>
          <w:tcPr>
            <w:tcW w:w="32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vMerge w:val="continue"/>
          </w:tcPr>
          <w:p>
            <w:pPr>
              <w:spacing w:after="0"/>
              <w:rPr>
                <w:sz w:val="14"/>
                <w:szCs w:val="14"/>
                <w:color w:val="auto"/>
              </w:rPr>
            </w:pPr>
          </w:p>
        </w:tc>
        <w:tc>
          <w:tcPr>
            <w:tcW w:w="340" w:type="dxa"/>
            <w:vAlign w:val="bottom"/>
            <w:tcBorders>
              <w:right w:val="single" w:sz="8" w:color="D1D2D4"/>
            </w:tcBorders>
            <w:vMerge w:val="continue"/>
          </w:tcPr>
          <w:p>
            <w:pPr>
              <w:spacing w:after="0"/>
              <w:rPr>
                <w:sz w:val="14"/>
                <w:szCs w:val="14"/>
                <w:color w:val="auto"/>
              </w:rPr>
            </w:pPr>
          </w:p>
        </w:tc>
        <w:tc>
          <w:tcPr>
            <w:tcW w:w="320" w:type="dxa"/>
            <w:vAlign w:val="bottom"/>
            <w:tcBorders>
              <w:right w:val="single" w:sz="8" w:color="D1D2D4"/>
            </w:tcBorders>
          </w:tcPr>
          <w:p>
            <w:pPr>
              <w:spacing w:after="0"/>
              <w:rPr>
                <w:sz w:val="14"/>
                <w:szCs w:val="14"/>
                <w:color w:val="auto"/>
              </w:rPr>
            </w:pPr>
          </w:p>
        </w:tc>
        <w:tc>
          <w:tcPr>
            <w:tcW w:w="300" w:type="dxa"/>
            <w:vAlign w:val="bottom"/>
            <w:tcBorders>
              <w:right w:val="single" w:sz="8" w:color="D1D2D4"/>
            </w:tcBorders>
          </w:tcPr>
          <w:p>
            <w:pPr>
              <w:spacing w:after="0"/>
              <w:rPr>
                <w:sz w:val="14"/>
                <w:szCs w:val="14"/>
                <w:color w:val="auto"/>
              </w:rPr>
            </w:pPr>
          </w:p>
        </w:tc>
        <w:tc>
          <w:tcPr>
            <w:tcW w:w="280" w:type="dxa"/>
            <w:vAlign w:val="bottom"/>
            <w:tcBorders>
              <w:right w:val="single" w:sz="8" w:color="D1D2D4"/>
            </w:tcBorders>
            <w:vMerge w:val="continue"/>
          </w:tcPr>
          <w:p>
            <w:pPr>
              <w:spacing w:after="0"/>
              <w:rPr>
                <w:sz w:val="14"/>
                <w:szCs w:val="14"/>
                <w:color w:val="auto"/>
              </w:rPr>
            </w:pPr>
          </w:p>
        </w:tc>
        <w:tc>
          <w:tcPr>
            <w:tcW w:w="300" w:type="dxa"/>
            <w:vAlign w:val="bottom"/>
            <w:tcBorders>
              <w:right w:val="single" w:sz="8" w:color="00529B"/>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color w:val="auto"/>
              </w:rPr>
              <w:t>ability</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4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280" w:type="dxa"/>
            <w:vAlign w:val="bottom"/>
            <w:tcBorders>
              <w:right w:val="single" w:sz="8" w:color="D1D2D4"/>
            </w:tcBorders>
          </w:tcPr>
          <w:p>
            <w:pPr>
              <w:spacing w:after="0"/>
              <w:rPr>
                <w:sz w:val="17"/>
                <w:szCs w:val="17"/>
                <w:color w:val="auto"/>
              </w:rPr>
            </w:pPr>
          </w:p>
        </w:tc>
        <w:tc>
          <w:tcPr>
            <w:tcW w:w="300" w:type="dxa"/>
            <w:vAlign w:val="bottom"/>
            <w:tcBorders>
              <w:right w:val="single" w:sz="8" w:color="00529B"/>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160" w:type="dxa"/>
            <w:vAlign w:val="bottom"/>
            <w:tcBorders>
              <w:bottom w:val="single" w:sz="8" w:color="D1D2D4"/>
              <w:right w:val="single" w:sz="8" w:color="00529B"/>
            </w:tcBorders>
          </w:tcPr>
          <w:p>
            <w:pPr>
              <w:spacing w:after="0"/>
              <w:rPr>
                <w:sz w:val="2"/>
                <w:szCs w:val="2"/>
                <w:color w:val="auto"/>
              </w:rPr>
            </w:pPr>
          </w:p>
        </w:tc>
        <w:tc>
          <w:tcPr>
            <w:tcW w:w="300" w:type="dxa"/>
            <w:vAlign w:val="bottom"/>
            <w:tcBorders>
              <w:bottom w:val="single" w:sz="8" w:color="D1D2D4"/>
              <w:right w:val="single" w:sz="8" w:color="D1D2D4"/>
            </w:tcBorders>
          </w:tcPr>
          <w:p>
            <w:pPr>
              <w:spacing w:after="0"/>
              <w:rPr>
                <w:sz w:val="2"/>
                <w:szCs w:val="2"/>
                <w:color w:val="auto"/>
              </w:rPr>
            </w:pPr>
          </w:p>
        </w:tc>
        <w:tc>
          <w:tcPr>
            <w:tcW w:w="320" w:type="dxa"/>
            <w:vAlign w:val="bottom"/>
            <w:tcBorders>
              <w:bottom w:val="single" w:sz="8" w:color="D1D2D4"/>
              <w:right w:val="single" w:sz="8" w:color="D1D2D4"/>
            </w:tcBorders>
          </w:tcPr>
          <w:p>
            <w:pPr>
              <w:spacing w:after="0"/>
              <w:rPr>
                <w:sz w:val="2"/>
                <w:szCs w:val="2"/>
                <w:color w:val="auto"/>
              </w:rPr>
            </w:pPr>
          </w:p>
        </w:tc>
        <w:tc>
          <w:tcPr>
            <w:tcW w:w="300" w:type="dxa"/>
            <w:vAlign w:val="bottom"/>
            <w:tcBorders>
              <w:bottom w:val="single" w:sz="8" w:color="D1D2D4"/>
              <w:right w:val="single" w:sz="8" w:color="D1D2D4"/>
            </w:tcBorders>
          </w:tcPr>
          <w:p>
            <w:pPr>
              <w:spacing w:after="0"/>
              <w:rPr>
                <w:sz w:val="2"/>
                <w:szCs w:val="2"/>
                <w:color w:val="auto"/>
              </w:rPr>
            </w:pPr>
          </w:p>
        </w:tc>
        <w:tc>
          <w:tcPr>
            <w:tcW w:w="300" w:type="dxa"/>
            <w:vAlign w:val="bottom"/>
            <w:tcBorders>
              <w:bottom w:val="single" w:sz="8" w:color="D1D2D4"/>
              <w:right w:val="single" w:sz="8" w:color="D1D2D4"/>
            </w:tcBorders>
          </w:tcPr>
          <w:p>
            <w:pPr>
              <w:spacing w:after="0"/>
              <w:rPr>
                <w:sz w:val="2"/>
                <w:szCs w:val="2"/>
                <w:color w:val="auto"/>
              </w:rPr>
            </w:pPr>
          </w:p>
        </w:tc>
        <w:tc>
          <w:tcPr>
            <w:tcW w:w="320" w:type="dxa"/>
            <w:vAlign w:val="bottom"/>
            <w:tcBorders>
              <w:bottom w:val="single" w:sz="8" w:color="D1D2D4"/>
              <w:right w:val="single" w:sz="8" w:color="D1D2D4"/>
            </w:tcBorders>
          </w:tcPr>
          <w:p>
            <w:pPr>
              <w:spacing w:after="0"/>
              <w:rPr>
                <w:sz w:val="2"/>
                <w:szCs w:val="2"/>
                <w:color w:val="auto"/>
              </w:rPr>
            </w:pPr>
          </w:p>
        </w:tc>
        <w:tc>
          <w:tcPr>
            <w:tcW w:w="340" w:type="dxa"/>
            <w:vAlign w:val="bottom"/>
            <w:tcBorders>
              <w:bottom w:val="single" w:sz="8" w:color="D1D2D4"/>
              <w:right w:val="single" w:sz="8" w:color="D1D2D4"/>
            </w:tcBorders>
          </w:tcPr>
          <w:p>
            <w:pPr>
              <w:spacing w:after="0"/>
              <w:rPr>
                <w:sz w:val="2"/>
                <w:szCs w:val="2"/>
                <w:color w:val="auto"/>
              </w:rPr>
            </w:pPr>
          </w:p>
        </w:tc>
        <w:tc>
          <w:tcPr>
            <w:tcW w:w="320" w:type="dxa"/>
            <w:vAlign w:val="bottom"/>
            <w:tcBorders>
              <w:bottom w:val="single" w:sz="8" w:color="D1D2D4"/>
              <w:right w:val="single" w:sz="8" w:color="D1D2D4"/>
            </w:tcBorders>
          </w:tcPr>
          <w:p>
            <w:pPr>
              <w:spacing w:after="0"/>
              <w:rPr>
                <w:sz w:val="2"/>
                <w:szCs w:val="2"/>
                <w:color w:val="auto"/>
              </w:rPr>
            </w:pPr>
          </w:p>
        </w:tc>
        <w:tc>
          <w:tcPr>
            <w:tcW w:w="300" w:type="dxa"/>
            <w:vAlign w:val="bottom"/>
            <w:tcBorders>
              <w:bottom w:val="single" w:sz="8" w:color="D1D2D4"/>
              <w:right w:val="single" w:sz="8" w:color="D1D2D4"/>
            </w:tcBorders>
          </w:tcPr>
          <w:p>
            <w:pPr>
              <w:spacing w:after="0"/>
              <w:rPr>
                <w:sz w:val="2"/>
                <w:szCs w:val="2"/>
                <w:color w:val="auto"/>
              </w:rPr>
            </w:pPr>
          </w:p>
        </w:tc>
        <w:tc>
          <w:tcPr>
            <w:tcW w:w="280" w:type="dxa"/>
            <w:vAlign w:val="bottom"/>
            <w:tcBorders>
              <w:bottom w:val="single" w:sz="8" w:color="D1D2D4"/>
              <w:right w:val="single" w:sz="8" w:color="D1D2D4"/>
            </w:tcBorders>
          </w:tcPr>
          <w:p>
            <w:pPr>
              <w:spacing w:after="0"/>
              <w:rPr>
                <w:sz w:val="2"/>
                <w:szCs w:val="2"/>
                <w:color w:val="auto"/>
              </w:rPr>
            </w:pPr>
          </w:p>
        </w:tc>
        <w:tc>
          <w:tcPr>
            <w:tcW w:w="300" w:type="dxa"/>
            <w:vAlign w:val="bottom"/>
            <w:tcBorders>
              <w:bottom w:val="single" w:sz="8" w:color="D1D2D4"/>
              <w:right w:val="single" w:sz="8" w:color="00529B"/>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b w:val="1"/>
                <w:bCs w:val="1"/>
                <w:color w:val="00529B"/>
              </w:rPr>
              <w:t>Risk Management</w:t>
            </w: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w w:val="91"/>
              </w:rPr>
              <w:t>●</w:t>
            </w: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5"/>
                <w:szCs w:val="15"/>
                <w:color w:val="00529B"/>
              </w:rPr>
              <w:t>●</w:t>
            </w:r>
          </w:p>
        </w:tc>
        <w:tc>
          <w:tcPr>
            <w:tcW w:w="320" w:type="dxa"/>
            <w:vAlign w:val="bottom"/>
            <w:tcBorders>
              <w:right w:val="single" w:sz="8" w:color="D1D2D4"/>
            </w:tcBorders>
            <w:vMerge w:val="restart"/>
          </w:tcPr>
          <w:p>
            <w:pPr>
              <w:ind w:left="100"/>
              <w:spacing w:after="0"/>
              <w:rPr>
                <w:sz w:val="20"/>
                <w:szCs w:val="20"/>
                <w:color w:val="auto"/>
              </w:rPr>
            </w:pPr>
            <w:r>
              <w:rPr>
                <w:rFonts w:ascii="Arial" w:cs="Arial" w:eastAsia="Arial" w:hAnsi="Arial"/>
                <w:sz w:val="18"/>
                <w:szCs w:val="18"/>
                <w:color w:val="00529B"/>
              </w:rPr>
              <w:t>●</w:t>
            </w:r>
          </w:p>
        </w:tc>
        <w:tc>
          <w:tcPr>
            <w:tcW w:w="340" w:type="dxa"/>
            <w:vAlign w:val="bottom"/>
            <w:tcBorders>
              <w:right w:val="single" w:sz="8" w:color="D1D2D4"/>
            </w:tcBorders>
            <w:vMerge w:val="restart"/>
          </w:tcPr>
          <w:p>
            <w:pPr>
              <w:jc w:val="center"/>
              <w:spacing w:after="0"/>
              <w:rPr>
                <w:sz w:val="20"/>
                <w:szCs w:val="20"/>
                <w:color w:val="auto"/>
              </w:rPr>
            </w:pPr>
            <w:r>
              <w:rPr>
                <w:rFonts w:ascii="Arial" w:cs="Arial" w:eastAsia="Arial" w:hAnsi="Arial"/>
                <w:sz w:val="18"/>
                <w:szCs w:val="18"/>
                <w:color w:val="00529B"/>
              </w:rPr>
              <w:t>●</w:t>
            </w: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160" w:type="dxa"/>
            <w:vAlign w:val="bottom"/>
            <w:tcBorders>
              <w:right w:val="single" w:sz="8" w:color="00529B"/>
            </w:tcBorders>
            <w:vMerge w:val="restart"/>
          </w:tcPr>
          <w:p>
            <w:pPr>
              <w:ind w:left="720"/>
              <w:spacing w:after="0"/>
              <w:rPr>
                <w:sz w:val="20"/>
                <w:szCs w:val="20"/>
                <w:color w:val="auto"/>
              </w:rPr>
            </w:pPr>
            <w:r>
              <w:rPr>
                <w:rFonts w:ascii="Arial" w:cs="Arial" w:eastAsia="Arial" w:hAnsi="Arial"/>
                <w:sz w:val="15"/>
                <w:szCs w:val="15"/>
                <w:color w:val="auto"/>
              </w:rPr>
              <w:t>contributes to the identification, assessment and prioritization of significant risks facing the company</w:t>
            </w:r>
          </w:p>
        </w:tc>
        <w:tc>
          <w:tcPr>
            <w:tcW w:w="300" w:type="dxa"/>
            <w:vAlign w:val="bottom"/>
            <w:tcBorders>
              <w:right w:val="single" w:sz="8" w:color="D1D2D4"/>
            </w:tcBorders>
            <w:vMerge w:val="continue"/>
          </w:tcPr>
          <w:p>
            <w:pPr>
              <w:spacing w:after="0"/>
              <w:rPr>
                <w:sz w:val="12"/>
                <w:szCs w:val="12"/>
                <w:color w:val="auto"/>
              </w:rPr>
            </w:pPr>
          </w:p>
        </w:tc>
        <w:tc>
          <w:tcPr>
            <w:tcW w:w="320" w:type="dxa"/>
            <w:vAlign w:val="bottom"/>
            <w:tcBorders>
              <w:right w:val="single" w:sz="8" w:color="D1D2D4"/>
            </w:tcBorders>
          </w:tcPr>
          <w:p>
            <w:pPr>
              <w:spacing w:after="0"/>
              <w:rPr>
                <w:sz w:val="12"/>
                <w:szCs w:val="12"/>
                <w:color w:val="auto"/>
              </w:rPr>
            </w:pPr>
          </w:p>
        </w:tc>
        <w:tc>
          <w:tcPr>
            <w:tcW w:w="300" w:type="dxa"/>
            <w:vAlign w:val="bottom"/>
            <w:tcBorders>
              <w:right w:val="single" w:sz="8" w:color="D1D2D4"/>
            </w:tcBorders>
          </w:tcPr>
          <w:p>
            <w:pPr>
              <w:spacing w:after="0"/>
              <w:rPr>
                <w:sz w:val="12"/>
                <w:szCs w:val="12"/>
                <w:color w:val="auto"/>
              </w:rPr>
            </w:pPr>
          </w:p>
        </w:tc>
        <w:tc>
          <w:tcPr>
            <w:tcW w:w="300" w:type="dxa"/>
            <w:vAlign w:val="bottom"/>
            <w:tcBorders>
              <w:right w:val="single" w:sz="8" w:color="D1D2D4"/>
            </w:tcBorders>
            <w:vMerge w:val="continue"/>
          </w:tcPr>
          <w:p>
            <w:pPr>
              <w:spacing w:after="0"/>
              <w:rPr>
                <w:sz w:val="12"/>
                <w:szCs w:val="12"/>
                <w:color w:val="auto"/>
              </w:rPr>
            </w:pPr>
          </w:p>
        </w:tc>
        <w:tc>
          <w:tcPr>
            <w:tcW w:w="320" w:type="dxa"/>
            <w:vAlign w:val="bottom"/>
            <w:tcBorders>
              <w:right w:val="single" w:sz="8" w:color="D1D2D4"/>
            </w:tcBorders>
            <w:vMerge w:val="continue"/>
          </w:tcPr>
          <w:p>
            <w:pPr>
              <w:spacing w:after="0"/>
              <w:rPr>
                <w:sz w:val="12"/>
                <w:szCs w:val="12"/>
                <w:color w:val="auto"/>
              </w:rPr>
            </w:pPr>
          </w:p>
        </w:tc>
        <w:tc>
          <w:tcPr>
            <w:tcW w:w="340" w:type="dxa"/>
            <w:vAlign w:val="bottom"/>
            <w:tcBorders>
              <w:right w:val="single" w:sz="8" w:color="D1D2D4"/>
            </w:tcBorders>
            <w:vMerge w:val="continue"/>
          </w:tcPr>
          <w:p>
            <w:pPr>
              <w:spacing w:after="0"/>
              <w:rPr>
                <w:sz w:val="12"/>
                <w:szCs w:val="12"/>
                <w:color w:val="auto"/>
              </w:rPr>
            </w:pPr>
          </w:p>
        </w:tc>
        <w:tc>
          <w:tcPr>
            <w:tcW w:w="320" w:type="dxa"/>
            <w:vAlign w:val="bottom"/>
            <w:tcBorders>
              <w:right w:val="single" w:sz="8" w:color="D1D2D4"/>
            </w:tcBorders>
          </w:tcPr>
          <w:p>
            <w:pPr>
              <w:spacing w:after="0"/>
              <w:rPr>
                <w:sz w:val="12"/>
                <w:szCs w:val="12"/>
                <w:color w:val="auto"/>
              </w:rPr>
            </w:pPr>
          </w:p>
        </w:tc>
        <w:tc>
          <w:tcPr>
            <w:tcW w:w="300" w:type="dxa"/>
            <w:vAlign w:val="bottom"/>
            <w:tcBorders>
              <w:right w:val="single" w:sz="8" w:color="D1D2D4"/>
            </w:tcBorders>
            <w:vMerge w:val="continue"/>
          </w:tcPr>
          <w:p>
            <w:pPr>
              <w:spacing w:after="0"/>
              <w:rPr>
                <w:sz w:val="12"/>
                <w:szCs w:val="12"/>
                <w:color w:val="auto"/>
              </w:rPr>
            </w:pPr>
          </w:p>
        </w:tc>
        <w:tc>
          <w:tcPr>
            <w:tcW w:w="280" w:type="dxa"/>
            <w:vAlign w:val="bottom"/>
            <w:tcBorders>
              <w:right w:val="single" w:sz="8" w:color="D1D2D4"/>
            </w:tcBorders>
            <w:vMerge w:val="continue"/>
          </w:tcPr>
          <w:p>
            <w:pPr>
              <w:spacing w:after="0"/>
              <w:rPr>
                <w:sz w:val="12"/>
                <w:szCs w:val="12"/>
                <w:color w:val="auto"/>
              </w:rPr>
            </w:pPr>
          </w:p>
        </w:tc>
        <w:tc>
          <w:tcPr>
            <w:tcW w:w="300" w:type="dxa"/>
            <w:vAlign w:val="bottom"/>
            <w:tcBorders>
              <w:right w:val="single" w:sz="8" w:color="00529B"/>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8160" w:type="dxa"/>
            <w:vAlign w:val="bottom"/>
            <w:tcBorders>
              <w:right w:val="single" w:sz="8" w:color="00529B"/>
            </w:tcBorders>
            <w:vMerge w:val="continue"/>
          </w:tcPr>
          <w:p>
            <w:pPr>
              <w:spacing w:after="0"/>
              <w:rPr>
                <w:sz w:val="5"/>
                <w:szCs w:val="5"/>
                <w:color w:val="auto"/>
              </w:rPr>
            </w:pPr>
          </w:p>
        </w:tc>
        <w:tc>
          <w:tcPr>
            <w:tcW w:w="300" w:type="dxa"/>
            <w:vAlign w:val="bottom"/>
            <w:tcBorders>
              <w:right w:val="single" w:sz="8" w:color="D1D2D4"/>
            </w:tcBorders>
          </w:tcPr>
          <w:p>
            <w:pPr>
              <w:spacing w:after="0"/>
              <w:rPr>
                <w:sz w:val="5"/>
                <w:szCs w:val="5"/>
                <w:color w:val="auto"/>
              </w:rPr>
            </w:pPr>
          </w:p>
        </w:tc>
        <w:tc>
          <w:tcPr>
            <w:tcW w:w="320" w:type="dxa"/>
            <w:vAlign w:val="bottom"/>
            <w:tcBorders>
              <w:right w:val="single" w:sz="8" w:color="D1D2D4"/>
            </w:tcBorders>
          </w:tcPr>
          <w:p>
            <w:pPr>
              <w:spacing w:after="0"/>
              <w:rPr>
                <w:sz w:val="5"/>
                <w:szCs w:val="5"/>
                <w:color w:val="auto"/>
              </w:rPr>
            </w:pPr>
          </w:p>
        </w:tc>
        <w:tc>
          <w:tcPr>
            <w:tcW w:w="300" w:type="dxa"/>
            <w:vAlign w:val="bottom"/>
            <w:tcBorders>
              <w:right w:val="single" w:sz="8" w:color="D1D2D4"/>
            </w:tcBorders>
          </w:tcPr>
          <w:p>
            <w:pPr>
              <w:spacing w:after="0"/>
              <w:rPr>
                <w:sz w:val="5"/>
                <w:szCs w:val="5"/>
                <w:color w:val="auto"/>
              </w:rPr>
            </w:pPr>
          </w:p>
        </w:tc>
        <w:tc>
          <w:tcPr>
            <w:tcW w:w="300" w:type="dxa"/>
            <w:vAlign w:val="bottom"/>
            <w:tcBorders>
              <w:right w:val="single" w:sz="8" w:color="D1D2D4"/>
            </w:tcBorders>
          </w:tcPr>
          <w:p>
            <w:pPr>
              <w:spacing w:after="0"/>
              <w:rPr>
                <w:sz w:val="5"/>
                <w:szCs w:val="5"/>
                <w:color w:val="auto"/>
              </w:rPr>
            </w:pPr>
          </w:p>
        </w:tc>
        <w:tc>
          <w:tcPr>
            <w:tcW w:w="320" w:type="dxa"/>
            <w:vAlign w:val="bottom"/>
            <w:tcBorders>
              <w:right w:val="single" w:sz="8" w:color="D1D2D4"/>
            </w:tcBorders>
          </w:tcPr>
          <w:p>
            <w:pPr>
              <w:spacing w:after="0"/>
              <w:rPr>
                <w:sz w:val="5"/>
                <w:szCs w:val="5"/>
                <w:color w:val="auto"/>
              </w:rPr>
            </w:pPr>
          </w:p>
        </w:tc>
        <w:tc>
          <w:tcPr>
            <w:tcW w:w="340" w:type="dxa"/>
            <w:vAlign w:val="bottom"/>
            <w:tcBorders>
              <w:right w:val="single" w:sz="8" w:color="D1D2D4"/>
            </w:tcBorders>
          </w:tcPr>
          <w:p>
            <w:pPr>
              <w:spacing w:after="0"/>
              <w:rPr>
                <w:sz w:val="5"/>
                <w:szCs w:val="5"/>
                <w:color w:val="auto"/>
              </w:rPr>
            </w:pPr>
          </w:p>
        </w:tc>
        <w:tc>
          <w:tcPr>
            <w:tcW w:w="320" w:type="dxa"/>
            <w:vAlign w:val="bottom"/>
            <w:tcBorders>
              <w:right w:val="single" w:sz="8" w:color="D1D2D4"/>
            </w:tcBorders>
          </w:tcPr>
          <w:p>
            <w:pPr>
              <w:spacing w:after="0"/>
              <w:rPr>
                <w:sz w:val="5"/>
                <w:szCs w:val="5"/>
                <w:color w:val="auto"/>
              </w:rPr>
            </w:pPr>
          </w:p>
        </w:tc>
        <w:tc>
          <w:tcPr>
            <w:tcW w:w="300" w:type="dxa"/>
            <w:vAlign w:val="bottom"/>
            <w:tcBorders>
              <w:right w:val="single" w:sz="8" w:color="D1D2D4"/>
            </w:tcBorders>
          </w:tcPr>
          <w:p>
            <w:pPr>
              <w:spacing w:after="0"/>
              <w:rPr>
                <w:sz w:val="5"/>
                <w:szCs w:val="5"/>
                <w:color w:val="auto"/>
              </w:rPr>
            </w:pPr>
          </w:p>
        </w:tc>
        <w:tc>
          <w:tcPr>
            <w:tcW w:w="280" w:type="dxa"/>
            <w:vAlign w:val="bottom"/>
            <w:tcBorders>
              <w:right w:val="single" w:sz="8" w:color="D1D2D4"/>
            </w:tcBorders>
          </w:tcPr>
          <w:p>
            <w:pPr>
              <w:spacing w:after="0"/>
              <w:rPr>
                <w:sz w:val="5"/>
                <w:szCs w:val="5"/>
                <w:color w:val="auto"/>
              </w:rPr>
            </w:pPr>
          </w:p>
        </w:tc>
        <w:tc>
          <w:tcPr>
            <w:tcW w:w="300" w:type="dxa"/>
            <w:vAlign w:val="bottom"/>
            <w:tcBorders>
              <w:right w:val="single" w:sz="8" w:color="00529B"/>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8160" w:type="dxa"/>
            <w:vAlign w:val="bottom"/>
            <w:tcBorders>
              <w:bottom w:val="single" w:sz="8" w:color="D1D2D4"/>
              <w:right w:val="single" w:sz="8" w:color="00529B"/>
            </w:tcBorders>
          </w:tcPr>
          <w:p>
            <w:pPr>
              <w:spacing w:after="0"/>
              <w:rPr>
                <w:sz w:val="5"/>
                <w:szCs w:val="5"/>
                <w:color w:val="auto"/>
              </w:rPr>
            </w:pPr>
          </w:p>
        </w:tc>
        <w:tc>
          <w:tcPr>
            <w:tcW w:w="300" w:type="dxa"/>
            <w:vAlign w:val="bottom"/>
            <w:tcBorders>
              <w:bottom w:val="single" w:sz="8" w:color="D1D2D4"/>
              <w:right w:val="single" w:sz="8" w:color="D1D2D4"/>
            </w:tcBorders>
          </w:tcPr>
          <w:p>
            <w:pPr>
              <w:spacing w:after="0"/>
              <w:rPr>
                <w:sz w:val="5"/>
                <w:szCs w:val="5"/>
                <w:color w:val="auto"/>
              </w:rPr>
            </w:pPr>
          </w:p>
        </w:tc>
        <w:tc>
          <w:tcPr>
            <w:tcW w:w="320" w:type="dxa"/>
            <w:vAlign w:val="bottom"/>
            <w:tcBorders>
              <w:bottom w:val="single" w:sz="8" w:color="D1D2D4"/>
              <w:right w:val="single" w:sz="8" w:color="D1D2D4"/>
            </w:tcBorders>
          </w:tcPr>
          <w:p>
            <w:pPr>
              <w:spacing w:after="0"/>
              <w:rPr>
                <w:sz w:val="5"/>
                <w:szCs w:val="5"/>
                <w:color w:val="auto"/>
              </w:rPr>
            </w:pPr>
          </w:p>
        </w:tc>
        <w:tc>
          <w:tcPr>
            <w:tcW w:w="300" w:type="dxa"/>
            <w:vAlign w:val="bottom"/>
            <w:tcBorders>
              <w:bottom w:val="single" w:sz="8" w:color="D1D2D4"/>
              <w:right w:val="single" w:sz="8" w:color="D1D2D4"/>
            </w:tcBorders>
          </w:tcPr>
          <w:p>
            <w:pPr>
              <w:spacing w:after="0"/>
              <w:rPr>
                <w:sz w:val="5"/>
                <w:szCs w:val="5"/>
                <w:color w:val="auto"/>
              </w:rPr>
            </w:pPr>
          </w:p>
        </w:tc>
        <w:tc>
          <w:tcPr>
            <w:tcW w:w="300" w:type="dxa"/>
            <w:vAlign w:val="bottom"/>
            <w:tcBorders>
              <w:bottom w:val="single" w:sz="8" w:color="D1D2D4"/>
              <w:right w:val="single" w:sz="8" w:color="D1D2D4"/>
            </w:tcBorders>
          </w:tcPr>
          <w:p>
            <w:pPr>
              <w:spacing w:after="0"/>
              <w:rPr>
                <w:sz w:val="5"/>
                <w:szCs w:val="5"/>
                <w:color w:val="auto"/>
              </w:rPr>
            </w:pPr>
          </w:p>
        </w:tc>
        <w:tc>
          <w:tcPr>
            <w:tcW w:w="320" w:type="dxa"/>
            <w:vAlign w:val="bottom"/>
            <w:tcBorders>
              <w:bottom w:val="single" w:sz="8" w:color="D1D2D4"/>
              <w:right w:val="single" w:sz="8" w:color="D1D2D4"/>
            </w:tcBorders>
          </w:tcPr>
          <w:p>
            <w:pPr>
              <w:spacing w:after="0"/>
              <w:rPr>
                <w:sz w:val="5"/>
                <w:szCs w:val="5"/>
                <w:color w:val="auto"/>
              </w:rPr>
            </w:pPr>
          </w:p>
        </w:tc>
        <w:tc>
          <w:tcPr>
            <w:tcW w:w="340" w:type="dxa"/>
            <w:vAlign w:val="bottom"/>
            <w:tcBorders>
              <w:bottom w:val="single" w:sz="8" w:color="D1D2D4"/>
              <w:right w:val="single" w:sz="8" w:color="D1D2D4"/>
            </w:tcBorders>
          </w:tcPr>
          <w:p>
            <w:pPr>
              <w:spacing w:after="0"/>
              <w:rPr>
                <w:sz w:val="5"/>
                <w:szCs w:val="5"/>
                <w:color w:val="auto"/>
              </w:rPr>
            </w:pPr>
          </w:p>
        </w:tc>
        <w:tc>
          <w:tcPr>
            <w:tcW w:w="320" w:type="dxa"/>
            <w:vAlign w:val="bottom"/>
            <w:tcBorders>
              <w:bottom w:val="single" w:sz="8" w:color="D1D2D4"/>
              <w:right w:val="single" w:sz="8" w:color="D1D2D4"/>
            </w:tcBorders>
          </w:tcPr>
          <w:p>
            <w:pPr>
              <w:spacing w:after="0"/>
              <w:rPr>
                <w:sz w:val="5"/>
                <w:szCs w:val="5"/>
                <w:color w:val="auto"/>
              </w:rPr>
            </w:pPr>
          </w:p>
        </w:tc>
        <w:tc>
          <w:tcPr>
            <w:tcW w:w="300" w:type="dxa"/>
            <w:vAlign w:val="bottom"/>
            <w:tcBorders>
              <w:bottom w:val="single" w:sz="8" w:color="D1D2D4"/>
              <w:right w:val="single" w:sz="8" w:color="D1D2D4"/>
            </w:tcBorders>
          </w:tcPr>
          <w:p>
            <w:pPr>
              <w:spacing w:after="0"/>
              <w:rPr>
                <w:sz w:val="5"/>
                <w:szCs w:val="5"/>
                <w:color w:val="auto"/>
              </w:rPr>
            </w:pPr>
          </w:p>
        </w:tc>
        <w:tc>
          <w:tcPr>
            <w:tcW w:w="280" w:type="dxa"/>
            <w:vAlign w:val="bottom"/>
            <w:tcBorders>
              <w:bottom w:val="single" w:sz="8" w:color="D1D2D4"/>
              <w:right w:val="single" w:sz="8" w:color="D1D2D4"/>
            </w:tcBorders>
          </w:tcPr>
          <w:p>
            <w:pPr>
              <w:spacing w:after="0"/>
              <w:rPr>
                <w:sz w:val="5"/>
                <w:szCs w:val="5"/>
                <w:color w:val="auto"/>
              </w:rPr>
            </w:pPr>
          </w:p>
        </w:tc>
        <w:tc>
          <w:tcPr>
            <w:tcW w:w="300" w:type="dxa"/>
            <w:vAlign w:val="bottom"/>
            <w:tcBorders>
              <w:bottom w:val="single" w:sz="8" w:color="D1D2D4"/>
              <w:right w:val="single" w:sz="8" w:color="00529B"/>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b w:val="1"/>
                <w:bCs w:val="1"/>
                <w:color w:val="00529B"/>
              </w:rPr>
              <w:t>Technology/Cyber Security</w:t>
            </w: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40" w:type="dxa"/>
            <w:vAlign w:val="bottom"/>
            <w:tcBorders>
              <w:right w:val="single" w:sz="8" w:color="D1D2D4"/>
            </w:tcBorders>
          </w:tcPr>
          <w:p>
            <w:pPr>
              <w:spacing w:after="0"/>
              <w:rPr>
                <w:sz w:val="16"/>
                <w:szCs w:val="16"/>
                <w:color w:val="auto"/>
              </w:rPr>
            </w:pPr>
          </w:p>
        </w:tc>
        <w:tc>
          <w:tcPr>
            <w:tcW w:w="320" w:type="dxa"/>
            <w:vAlign w:val="bottom"/>
            <w:tcBorders>
              <w:right w:val="single" w:sz="8" w:color="D1D2D4"/>
            </w:tcBorders>
          </w:tcPr>
          <w:p>
            <w:pPr>
              <w:spacing w:after="0"/>
              <w:rPr>
                <w:sz w:val="16"/>
                <w:szCs w:val="16"/>
                <w:color w:val="auto"/>
              </w:rPr>
            </w:pPr>
          </w:p>
        </w:tc>
        <w:tc>
          <w:tcPr>
            <w:tcW w:w="30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280" w:type="dxa"/>
            <w:vAlign w:val="bottom"/>
            <w:tcBorders>
              <w:right w:val="single" w:sz="8" w:color="D1D2D4"/>
            </w:tcBorders>
            <w:vMerge w:val="restart"/>
          </w:tcPr>
          <w:p>
            <w:pPr>
              <w:ind w:left="80"/>
              <w:spacing w:after="0"/>
              <w:rPr>
                <w:sz w:val="20"/>
                <w:szCs w:val="20"/>
                <w:color w:val="auto"/>
              </w:rPr>
            </w:pPr>
            <w:r>
              <w:rPr>
                <w:rFonts w:ascii="Arial" w:cs="Arial" w:eastAsia="Arial" w:hAnsi="Arial"/>
                <w:sz w:val="18"/>
                <w:szCs w:val="18"/>
                <w:color w:val="00529B"/>
              </w:rPr>
              <w:t>●</w:t>
            </w:r>
          </w:p>
        </w:tc>
        <w:tc>
          <w:tcPr>
            <w:tcW w:w="300" w:type="dxa"/>
            <w:vAlign w:val="bottom"/>
            <w:tcBorders>
              <w:right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160" w:type="dxa"/>
            <w:vAlign w:val="bottom"/>
            <w:tcBorders>
              <w:right w:val="single" w:sz="8" w:color="00529B"/>
            </w:tcBorders>
          </w:tcPr>
          <w:p>
            <w:pPr>
              <w:ind w:left="720"/>
              <w:spacing w:after="0"/>
              <w:rPr>
                <w:sz w:val="20"/>
                <w:szCs w:val="20"/>
                <w:color w:val="auto"/>
              </w:rPr>
            </w:pPr>
            <w:r>
              <w:rPr>
                <w:rFonts w:ascii="Arial" w:cs="Arial" w:eastAsia="Arial" w:hAnsi="Arial"/>
                <w:sz w:val="15"/>
                <w:szCs w:val="15"/>
                <w:color w:val="auto"/>
              </w:rPr>
              <w:t>contributes to the Board’s understanding of information technology and cyber risks</w:t>
            </w: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40" w:type="dxa"/>
            <w:vAlign w:val="bottom"/>
            <w:tcBorders>
              <w:right w:val="single" w:sz="8" w:color="D1D2D4"/>
            </w:tcBorders>
          </w:tcPr>
          <w:p>
            <w:pPr>
              <w:spacing w:after="0"/>
              <w:rPr>
                <w:sz w:val="17"/>
                <w:szCs w:val="17"/>
                <w:color w:val="auto"/>
              </w:rPr>
            </w:pPr>
          </w:p>
        </w:tc>
        <w:tc>
          <w:tcPr>
            <w:tcW w:w="320" w:type="dxa"/>
            <w:vAlign w:val="bottom"/>
            <w:tcBorders>
              <w:right w:val="single" w:sz="8" w:color="D1D2D4"/>
            </w:tcBorders>
          </w:tcPr>
          <w:p>
            <w:pPr>
              <w:spacing w:after="0"/>
              <w:rPr>
                <w:sz w:val="17"/>
                <w:szCs w:val="17"/>
                <w:color w:val="auto"/>
              </w:rPr>
            </w:pPr>
          </w:p>
        </w:tc>
        <w:tc>
          <w:tcPr>
            <w:tcW w:w="300" w:type="dxa"/>
            <w:vAlign w:val="bottom"/>
            <w:tcBorders>
              <w:right w:val="single" w:sz="8" w:color="D1D2D4"/>
            </w:tcBorders>
            <w:vMerge w:val="continue"/>
          </w:tcPr>
          <w:p>
            <w:pPr>
              <w:spacing w:after="0"/>
              <w:rPr>
                <w:sz w:val="17"/>
                <w:szCs w:val="17"/>
                <w:color w:val="auto"/>
              </w:rPr>
            </w:pPr>
          </w:p>
        </w:tc>
        <w:tc>
          <w:tcPr>
            <w:tcW w:w="280" w:type="dxa"/>
            <w:vAlign w:val="bottom"/>
            <w:tcBorders>
              <w:right w:val="single" w:sz="8" w:color="D1D2D4"/>
            </w:tcBorders>
            <w:vMerge w:val="continue"/>
          </w:tcPr>
          <w:p>
            <w:pPr>
              <w:spacing w:after="0"/>
              <w:rPr>
                <w:sz w:val="17"/>
                <w:szCs w:val="17"/>
                <w:color w:val="auto"/>
              </w:rPr>
            </w:pPr>
          </w:p>
        </w:tc>
        <w:tc>
          <w:tcPr>
            <w:tcW w:w="300" w:type="dxa"/>
            <w:vAlign w:val="bottom"/>
            <w:tcBorders>
              <w:right w:val="single" w:sz="8" w:color="00529B"/>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160" w:type="dxa"/>
            <w:vAlign w:val="bottom"/>
            <w:tcBorders>
              <w:bottom w:val="single" w:sz="8" w:color="00529B"/>
              <w:right w:val="single" w:sz="8" w:color="00529B"/>
            </w:tcBorders>
          </w:tcPr>
          <w:p>
            <w:pPr>
              <w:spacing w:after="0"/>
              <w:rPr>
                <w:sz w:val="8"/>
                <w:szCs w:val="8"/>
                <w:color w:val="auto"/>
              </w:rPr>
            </w:pPr>
          </w:p>
        </w:tc>
        <w:tc>
          <w:tcPr>
            <w:tcW w:w="300" w:type="dxa"/>
            <w:vAlign w:val="bottom"/>
            <w:tcBorders>
              <w:bottom w:val="single" w:sz="8" w:color="00529B"/>
              <w:right w:val="single" w:sz="8" w:color="D1D2D4"/>
            </w:tcBorders>
          </w:tcPr>
          <w:p>
            <w:pPr>
              <w:spacing w:after="0"/>
              <w:rPr>
                <w:sz w:val="8"/>
                <w:szCs w:val="8"/>
                <w:color w:val="auto"/>
              </w:rPr>
            </w:pPr>
          </w:p>
        </w:tc>
        <w:tc>
          <w:tcPr>
            <w:tcW w:w="320" w:type="dxa"/>
            <w:vAlign w:val="bottom"/>
            <w:tcBorders>
              <w:bottom w:val="single" w:sz="8" w:color="00529B"/>
              <w:right w:val="single" w:sz="8" w:color="D1D2D4"/>
            </w:tcBorders>
          </w:tcPr>
          <w:p>
            <w:pPr>
              <w:spacing w:after="0"/>
              <w:rPr>
                <w:sz w:val="8"/>
                <w:szCs w:val="8"/>
                <w:color w:val="auto"/>
              </w:rPr>
            </w:pPr>
          </w:p>
        </w:tc>
        <w:tc>
          <w:tcPr>
            <w:tcW w:w="300" w:type="dxa"/>
            <w:vAlign w:val="bottom"/>
            <w:tcBorders>
              <w:bottom w:val="single" w:sz="8" w:color="00529B"/>
              <w:right w:val="single" w:sz="8" w:color="D1D2D4"/>
            </w:tcBorders>
          </w:tcPr>
          <w:p>
            <w:pPr>
              <w:spacing w:after="0"/>
              <w:rPr>
                <w:sz w:val="8"/>
                <w:szCs w:val="8"/>
                <w:color w:val="auto"/>
              </w:rPr>
            </w:pPr>
          </w:p>
        </w:tc>
        <w:tc>
          <w:tcPr>
            <w:tcW w:w="300" w:type="dxa"/>
            <w:vAlign w:val="bottom"/>
            <w:tcBorders>
              <w:bottom w:val="single" w:sz="8" w:color="00529B"/>
              <w:right w:val="single" w:sz="8" w:color="D1D2D4"/>
            </w:tcBorders>
          </w:tcPr>
          <w:p>
            <w:pPr>
              <w:spacing w:after="0"/>
              <w:rPr>
                <w:sz w:val="8"/>
                <w:szCs w:val="8"/>
                <w:color w:val="auto"/>
              </w:rPr>
            </w:pPr>
          </w:p>
        </w:tc>
        <w:tc>
          <w:tcPr>
            <w:tcW w:w="320" w:type="dxa"/>
            <w:vAlign w:val="bottom"/>
            <w:tcBorders>
              <w:bottom w:val="single" w:sz="8" w:color="00529B"/>
              <w:right w:val="single" w:sz="8" w:color="D1D2D4"/>
            </w:tcBorders>
          </w:tcPr>
          <w:p>
            <w:pPr>
              <w:spacing w:after="0"/>
              <w:rPr>
                <w:sz w:val="8"/>
                <w:szCs w:val="8"/>
                <w:color w:val="auto"/>
              </w:rPr>
            </w:pPr>
          </w:p>
        </w:tc>
        <w:tc>
          <w:tcPr>
            <w:tcW w:w="340" w:type="dxa"/>
            <w:vAlign w:val="bottom"/>
            <w:tcBorders>
              <w:bottom w:val="single" w:sz="8" w:color="00529B"/>
              <w:right w:val="single" w:sz="8" w:color="D1D2D4"/>
            </w:tcBorders>
          </w:tcPr>
          <w:p>
            <w:pPr>
              <w:spacing w:after="0"/>
              <w:rPr>
                <w:sz w:val="8"/>
                <w:szCs w:val="8"/>
                <w:color w:val="auto"/>
              </w:rPr>
            </w:pPr>
          </w:p>
        </w:tc>
        <w:tc>
          <w:tcPr>
            <w:tcW w:w="320" w:type="dxa"/>
            <w:vAlign w:val="bottom"/>
            <w:tcBorders>
              <w:bottom w:val="single" w:sz="8" w:color="00529B"/>
              <w:right w:val="single" w:sz="8" w:color="D1D2D4"/>
            </w:tcBorders>
          </w:tcPr>
          <w:p>
            <w:pPr>
              <w:spacing w:after="0"/>
              <w:rPr>
                <w:sz w:val="8"/>
                <w:szCs w:val="8"/>
                <w:color w:val="auto"/>
              </w:rPr>
            </w:pPr>
          </w:p>
        </w:tc>
        <w:tc>
          <w:tcPr>
            <w:tcW w:w="300" w:type="dxa"/>
            <w:vAlign w:val="bottom"/>
            <w:tcBorders>
              <w:bottom w:val="single" w:sz="8" w:color="00529B"/>
              <w:right w:val="single" w:sz="8" w:color="D1D2D4"/>
            </w:tcBorders>
          </w:tcPr>
          <w:p>
            <w:pPr>
              <w:spacing w:after="0"/>
              <w:rPr>
                <w:sz w:val="8"/>
                <w:szCs w:val="8"/>
                <w:color w:val="auto"/>
              </w:rPr>
            </w:pPr>
          </w:p>
        </w:tc>
        <w:tc>
          <w:tcPr>
            <w:tcW w:w="280" w:type="dxa"/>
            <w:vAlign w:val="bottom"/>
            <w:tcBorders>
              <w:bottom w:val="single" w:sz="8" w:color="00529B"/>
              <w:right w:val="single" w:sz="8" w:color="D1D2D4"/>
            </w:tcBorders>
          </w:tcPr>
          <w:p>
            <w:pPr>
              <w:spacing w:after="0"/>
              <w:rPr>
                <w:sz w:val="8"/>
                <w:szCs w:val="8"/>
                <w:color w:val="auto"/>
              </w:rPr>
            </w:pPr>
          </w:p>
        </w:tc>
        <w:tc>
          <w:tcPr>
            <w:tcW w:w="300" w:type="dxa"/>
            <w:vAlign w:val="bottom"/>
            <w:tcBorders>
              <w:bottom w:val="single" w:sz="8" w:color="00529B"/>
              <w:right w:val="single" w:sz="8" w:color="00529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-4757420</wp:posOffset>
            </wp:positionV>
            <wp:extent cx="85725"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-4748530</wp:posOffset>
            </wp:positionV>
            <wp:extent cx="10287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-4740275</wp:posOffset>
            </wp:positionV>
            <wp:extent cx="85725" cy="291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29146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-4919980</wp:posOffset>
            </wp:positionV>
            <wp:extent cx="93980" cy="4718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4718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-4774565</wp:posOffset>
            </wp:positionV>
            <wp:extent cx="102870" cy="3257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-4782820</wp:posOffset>
            </wp:positionV>
            <wp:extent cx="102870" cy="3346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33464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-4765675</wp:posOffset>
            </wp:positionV>
            <wp:extent cx="102870" cy="316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31686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-4868545</wp:posOffset>
            </wp:positionV>
            <wp:extent cx="85725" cy="420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420370"/>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-4911725</wp:posOffset>
            </wp:positionV>
            <wp:extent cx="85725" cy="4629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-4826000</wp:posOffset>
            </wp:positionV>
            <wp:extent cx="85725" cy="3771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-4363085</wp:posOffset>
            </wp:positionV>
            <wp:extent cx="299720" cy="274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97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257175" cy="300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17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-3625850</wp:posOffset>
            </wp:positionV>
            <wp:extent cx="299720" cy="3086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257175" cy="265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7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-2854325</wp:posOffset>
            </wp:positionV>
            <wp:extent cx="257175" cy="283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717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257175" cy="2825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7175"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299720"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97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257175" cy="2571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171450" cy="282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213995" cy="265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399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257175" cy="2228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717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257175"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7175" cy="24003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Proposal 1: Election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3725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37255" cy="205740"/>
                    </a:xfrm>
                    <a:prstGeom prst="rect">
                      <a:avLst/>
                    </a:prstGeom>
                    <a:noFill/>
                  </pic:spPr>
                </pic:pic>
              </a:graphicData>
            </a:graphic>
          </wp:anchor>
        </w:drawing>
      </w:r>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Occidental’s governance policies require that independent directors comprise at least two-thirds of the members of the Board (a policy that exceeds (NYSE) requirements). The Board has affirmatively determined that each of our Board’s director nominees, other than Ms. Hollub,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254000</wp:posOffset>
            </wp:positionV>
            <wp:extent cx="1165860" cy="1165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6586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42900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00" cy="205740"/>
                    </a:xfrm>
                    <a:prstGeom prst="rect">
                      <a:avLst/>
                    </a:prstGeom>
                    <a:noFill/>
                  </pic:spPr>
                </pic:pic>
              </a:graphicData>
            </a:graphic>
          </wp:anchor>
        </w:drawing>
      </w:r>
    </w:p>
    <w:p>
      <w:pPr>
        <w:spacing w:after="0" w:line="305"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The average tenure of our Board’s director nominees is approximately 6.0 years, which we believe reflects a balance of company experience and new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242570</wp:posOffset>
            </wp:positionV>
            <wp:extent cx="1731645" cy="127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31645" cy="127698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5260" w:space="600"/>
            <w:col w:w="5100"/>
          </w:cols>
          <w:pgMar w:left="320" w:top="13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00529B"/>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12065</wp:posOffset>
            </wp:positionV>
            <wp:extent cx="342900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00" cy="205740"/>
                    </a:xfrm>
                    <a:prstGeom prst="rect">
                      <a:avLst/>
                    </a:prstGeom>
                    <a:noFill/>
                  </pic:spPr>
                </pic:pic>
              </a:graphicData>
            </a:graphic>
          </wp:anchor>
        </w:drawing>
      </w:r>
    </w:p>
    <w:p>
      <w:pPr>
        <w:spacing w:after="0" w:line="305"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The Board recognizes the importance of having a diverse and broadly</w:t>
      </w:r>
    </w:p>
    <w:p>
      <w:pPr>
        <w:ind w:left="2940"/>
        <w:spacing w:after="0" w:line="230" w:lineRule="auto"/>
        <w:rPr>
          <w:sz w:val="20"/>
          <w:szCs w:val="20"/>
          <w:color w:val="auto"/>
        </w:rPr>
      </w:pPr>
      <w:r>
        <w:rPr>
          <w:rFonts w:ascii="Arial" w:cs="Arial" w:eastAsia="Arial" w:hAnsi="Arial"/>
          <w:sz w:val="15"/>
          <w:szCs w:val="15"/>
          <w:color w:val="auto"/>
        </w:rPr>
        <w:t>inclusive membership. As part of its commitment to diversity and Board</w:t>
      </w:r>
    </w:p>
    <w:p>
      <w:pPr>
        <w:ind w:left="2940"/>
        <w:spacing w:after="0" w:line="225" w:lineRule="auto"/>
        <w:rPr>
          <w:sz w:val="20"/>
          <w:szCs w:val="20"/>
          <w:color w:val="auto"/>
        </w:rPr>
      </w:pPr>
      <w:r>
        <w:rPr>
          <w:rFonts w:ascii="Arial" w:cs="Arial" w:eastAsia="Arial" w:hAnsi="Arial"/>
          <w:sz w:val="15"/>
          <w:szCs w:val="15"/>
          <w:color w:val="auto"/>
        </w:rPr>
        <w:t>refreshment, the Board recently elected Ms. O’Neill and Mr. Robinson as</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8776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960"/>
          </w:cols>
          <w:pgMar w:left="320" w:top="130" w:right="6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Corporate Governance</w:t>
      </w:r>
    </w:p>
    <w:p>
      <w:pPr>
        <w:spacing w:after="0" w:line="242"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auto"/>
        </w:rPr>
        <w:t>Occidental’s corporate governance policies (the Corporate Governance Policies) establish Occidental’s governance framework. The Corporate Governance Policies address the structure and operation of the Board, including matters related to director independence; tenure; outside board memberships; the role of the Board’s Independent Chairman; director stock ownership; and Board, Committee and individual director performance evaluations. In addition to the Corporate Governance Policies, the Board has established other stand-alone governance policies, including a policy on shareholder rights plans, a confidential voting policy and an independent compensation consultant policy. Occidental’s governance policies are reviewed and updated periodically, in light of changing regulations, evolving best practices and shareholder feedback. The Corporate Governance Policies and other governance policies are available on our website at www.oxy.com/investors/governance.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086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39" w:lineRule="exact"/>
        <w:rPr>
          <w:sz w:val="20"/>
          <w:szCs w:val="20"/>
          <w:color w:val="auto"/>
        </w:rPr>
      </w:pPr>
    </w:p>
    <w:p>
      <w:pPr>
        <w:ind w:left="180" w:right="940"/>
        <w:spacing w:after="0" w:line="264" w:lineRule="auto"/>
        <w:rPr>
          <w:sz w:val="20"/>
          <w:szCs w:val="20"/>
          <w:color w:val="auto"/>
        </w:rPr>
      </w:pPr>
      <w:r>
        <w:rPr>
          <w:rFonts w:ascii="Arial" w:cs="Arial" w:eastAsia="Arial" w:hAnsi="Arial"/>
          <w:sz w:val="15"/>
          <w:szCs w:val="15"/>
          <w:color w:val="auto"/>
        </w:rPr>
        <w:t>Occidental’s corporate governance practices generally align with the Investor Stewardship Group’s Corporate Governance Framework for U.S. Listed Companies.</w:t>
      </w:r>
    </w:p>
    <w:p>
      <w:pPr>
        <w:sectPr>
          <w:pgSz w:w="11900" w:h="16838" w:orient="portrait"/>
          <w:cols w:equalWidth="0" w:num="1">
            <w:col w:w="11200"/>
          </w:cols>
          <w:pgMar w:left="320" w:top="130" w:right="37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463290" cy="23317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63290" cy="23317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529B"/>
        </w:rPr>
        <w:t>RELATING TO THE BOARD</w:t>
      </w:r>
    </w:p>
    <w:p>
      <w:pPr>
        <w:spacing w:after="0" w:line="100" w:lineRule="exact"/>
        <w:rPr>
          <w:sz w:val="20"/>
          <w:szCs w:val="20"/>
          <w:color w:val="auto"/>
        </w:rPr>
      </w:pPr>
    </w:p>
    <w:p>
      <w:pPr>
        <w:ind w:left="260"/>
        <w:spacing w:after="0"/>
        <w:rPr>
          <w:sz w:val="20"/>
          <w:szCs w:val="20"/>
          <w:color w:val="auto"/>
        </w:rPr>
      </w:pPr>
      <w:r>
        <w:rPr>
          <w:sz w:val="1"/>
          <w:szCs w:val="1"/>
          <w:color w:val="auto"/>
        </w:rPr>
        <w:drawing>
          <wp:inline distT="0" distB="0" distL="0" distR="0">
            <wp:extent cx="68580" cy="774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Independent Chairman of the Board</w:t>
      </w:r>
    </w:p>
    <w:p>
      <w:pPr>
        <w:spacing w:after="0" w:line="82" w:lineRule="exact"/>
        <w:rPr>
          <w:sz w:val="20"/>
          <w:szCs w:val="20"/>
          <w:color w:val="auto"/>
        </w:rPr>
      </w:pPr>
    </w:p>
    <w:p>
      <w:pPr>
        <w:ind w:left="440" w:right="1080" w:hanging="174"/>
        <w:spacing w:after="0"/>
        <w:rPr>
          <w:sz w:val="20"/>
          <w:szCs w:val="20"/>
          <w:color w:val="auto"/>
        </w:rPr>
      </w:pPr>
      <w:r>
        <w:rPr>
          <w:sz w:val="1"/>
          <w:szCs w:val="1"/>
          <w:color w:val="auto"/>
        </w:rPr>
        <w:drawing>
          <wp:inline distT="0" distB="0" distL="0" distR="0">
            <wp:extent cx="68580" cy="774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Annual elections of the entire Board by a majority of votes cast (for uncontested elections)</w:t>
      </w:r>
    </w:p>
    <w:p>
      <w:pPr>
        <w:spacing w:after="0" w:line="66" w:lineRule="exact"/>
        <w:rPr>
          <w:sz w:val="20"/>
          <w:szCs w:val="20"/>
          <w:color w:val="auto"/>
        </w:rPr>
      </w:pPr>
    </w:p>
    <w:p>
      <w:pPr>
        <w:ind w:left="440" w:right="760" w:hanging="174"/>
        <w:spacing w:after="0"/>
        <w:rPr>
          <w:sz w:val="20"/>
          <w:szCs w:val="20"/>
          <w:color w:val="auto"/>
        </w:rPr>
      </w:pPr>
      <w:r>
        <w:rPr>
          <w:sz w:val="1"/>
          <w:szCs w:val="1"/>
          <w:color w:val="auto"/>
        </w:rPr>
        <w:drawing>
          <wp:inline distT="0" distB="0" distL="0" distR="0">
            <wp:extent cx="68580" cy="7747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Mandatory resignation if a majority vote is not received (for uncontested elections)</w:t>
      </w:r>
    </w:p>
    <w:p>
      <w:pPr>
        <w:spacing w:after="0" w:line="66" w:lineRule="exact"/>
        <w:rPr>
          <w:sz w:val="20"/>
          <w:szCs w:val="20"/>
          <w:color w:val="auto"/>
        </w:rPr>
      </w:pPr>
    </w:p>
    <w:p>
      <w:pPr>
        <w:ind w:left="260"/>
        <w:spacing w:after="0"/>
        <w:rPr>
          <w:sz w:val="20"/>
          <w:szCs w:val="20"/>
          <w:color w:val="auto"/>
        </w:rPr>
      </w:pPr>
      <w:r>
        <w:rPr>
          <w:sz w:val="1"/>
          <w:szCs w:val="1"/>
          <w:color w:val="auto"/>
        </w:rPr>
        <w:drawing>
          <wp:inline distT="0" distB="0" distL="0" distR="0">
            <wp:extent cx="68580" cy="7747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Demonstrated commitment to Board refreshment</w:t>
      </w:r>
    </w:p>
    <w:p>
      <w:pPr>
        <w:spacing w:after="0" w:line="82" w:lineRule="exact"/>
        <w:rPr>
          <w:sz w:val="20"/>
          <w:szCs w:val="20"/>
          <w:color w:val="auto"/>
        </w:rPr>
      </w:pPr>
    </w:p>
    <w:p>
      <w:pPr>
        <w:ind w:left="440" w:right="600" w:hanging="174"/>
        <w:spacing w:after="0"/>
        <w:rPr>
          <w:sz w:val="20"/>
          <w:szCs w:val="20"/>
          <w:color w:val="auto"/>
        </w:rPr>
      </w:pPr>
      <w:r>
        <w:rPr>
          <w:sz w:val="1"/>
          <w:szCs w:val="1"/>
          <w:color w:val="auto"/>
        </w:rPr>
        <w:drawing>
          <wp:inline distT="0" distB="0" distL="0" distR="0">
            <wp:extent cx="68580" cy="774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Tenure policy that seeks to maintain an average tenure of 10 years or less for non-employee directors</w:t>
      </w:r>
    </w:p>
    <w:p>
      <w:pPr>
        <w:spacing w:after="0" w:line="66" w:lineRule="exact"/>
        <w:rPr>
          <w:sz w:val="20"/>
          <w:szCs w:val="20"/>
          <w:color w:val="auto"/>
        </w:rPr>
      </w:pPr>
    </w:p>
    <w:p>
      <w:pPr>
        <w:ind w:left="260"/>
        <w:spacing w:after="0"/>
        <w:rPr>
          <w:sz w:val="20"/>
          <w:szCs w:val="20"/>
          <w:color w:val="auto"/>
        </w:rPr>
      </w:pPr>
      <w:r>
        <w:rPr>
          <w:sz w:val="1"/>
          <w:szCs w:val="1"/>
          <w:color w:val="auto"/>
        </w:rPr>
        <w:drawing>
          <wp:inline distT="0" distB="0" distL="0" distR="0">
            <wp:extent cx="68580" cy="774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Board committees composed entirely of independent directors</w:t>
      </w:r>
    </w:p>
    <w:p>
      <w:pPr>
        <w:spacing w:after="0" w:line="96" w:lineRule="exact"/>
        <w:rPr>
          <w:sz w:val="20"/>
          <w:szCs w:val="20"/>
          <w:color w:val="auto"/>
        </w:rPr>
      </w:pPr>
    </w:p>
    <w:p>
      <w:pPr>
        <w:ind w:left="260"/>
        <w:spacing w:after="0"/>
        <w:rPr>
          <w:sz w:val="20"/>
          <w:szCs w:val="20"/>
          <w:color w:val="auto"/>
        </w:rPr>
      </w:pPr>
      <w:r>
        <w:rPr>
          <w:sz w:val="1"/>
          <w:szCs w:val="1"/>
          <w:color w:val="auto"/>
        </w:rPr>
        <w:drawing>
          <wp:inline distT="0" distB="0" distL="0" distR="0">
            <wp:extent cx="68580" cy="7747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Meaningful director stock ownership guidelines (6x annual cash retainer)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with holding requirement</w:t>
      </w:r>
    </w:p>
    <w:p>
      <w:pPr>
        <w:spacing w:after="0" w:line="68" w:lineRule="exact"/>
        <w:rPr>
          <w:sz w:val="20"/>
          <w:szCs w:val="20"/>
          <w:color w:val="auto"/>
        </w:rPr>
      </w:pPr>
    </w:p>
    <w:p>
      <w:pPr>
        <w:ind w:left="260"/>
        <w:spacing w:after="0"/>
        <w:rPr>
          <w:sz w:val="20"/>
          <w:szCs w:val="20"/>
          <w:color w:val="auto"/>
        </w:rPr>
      </w:pPr>
      <w:r>
        <w:rPr>
          <w:sz w:val="1"/>
          <w:szCs w:val="1"/>
          <w:color w:val="auto"/>
        </w:rPr>
        <w:drawing>
          <wp:inline distT="0" distB="0" distL="0" distR="0">
            <wp:extent cx="68580" cy="7683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76835"/>
                    </a:xfrm>
                    <a:prstGeom prst="rect">
                      <a:avLst/>
                    </a:prstGeom>
                    <a:noFill/>
                    <a:ln>
                      <a:noFill/>
                    </a:ln>
                  </pic:spPr>
                </pic:pic>
              </a:graphicData>
            </a:graphic>
          </wp:inline>
        </w:drawing>
      </w:r>
      <w:r>
        <w:rPr>
          <w:rFonts w:ascii="Arial" w:cs="Arial" w:eastAsia="Arial" w:hAnsi="Arial"/>
          <w:sz w:val="14"/>
          <w:szCs w:val="14"/>
          <w:color w:val="auto"/>
        </w:rPr>
        <w:t xml:space="preserve"> Annual evaluations of the Board, each committee and individual directors</w:t>
      </w:r>
    </w:p>
    <w:p>
      <w:pPr>
        <w:spacing w:after="0" w:line="96" w:lineRule="exact"/>
        <w:rPr>
          <w:sz w:val="20"/>
          <w:szCs w:val="20"/>
          <w:color w:val="auto"/>
        </w:rPr>
      </w:pPr>
    </w:p>
    <w:p>
      <w:pPr>
        <w:ind w:left="440" w:right="780" w:hanging="174"/>
        <w:spacing w:after="0"/>
        <w:rPr>
          <w:sz w:val="20"/>
          <w:szCs w:val="20"/>
          <w:color w:val="auto"/>
        </w:rPr>
      </w:pPr>
      <w:r>
        <w:rPr>
          <w:sz w:val="1"/>
          <w:szCs w:val="1"/>
          <w:color w:val="auto"/>
        </w:rPr>
        <w:drawing>
          <wp:inline distT="0" distB="0" distL="0" distR="0">
            <wp:extent cx="68580" cy="7747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One meeting dedicated to strategy discussions every year with an expanded management group, in addition to ongoing strategy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
        <w:spacing w:after="0"/>
        <w:rPr>
          <w:sz w:val="20"/>
          <w:szCs w:val="20"/>
          <w:color w:val="auto"/>
        </w:rPr>
      </w:pPr>
      <w:r>
        <w:rPr>
          <w:rFonts w:ascii="Arial" w:cs="Arial" w:eastAsia="Arial" w:hAnsi="Arial"/>
          <w:sz w:val="18"/>
          <w:szCs w:val="18"/>
          <w:b w:val="1"/>
          <w:bCs w:val="1"/>
          <w:color w:val="00529B"/>
        </w:rPr>
        <w:t>RELATING TO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-238760</wp:posOffset>
            </wp:positionV>
            <wp:extent cx="3454400" cy="23317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54400" cy="2331720"/>
                    </a:xfrm>
                    <a:prstGeom prst="rect">
                      <a:avLst/>
                    </a:prstGeom>
                    <a:noFill/>
                  </pic:spPr>
                </pic:pic>
              </a:graphicData>
            </a:graphic>
          </wp:anchor>
        </w:drawing>
      </w:r>
    </w:p>
    <w:p>
      <w:pPr>
        <w:spacing w:after="0" w:line="80" w:lineRule="exact"/>
        <w:rPr>
          <w:sz w:val="20"/>
          <w:szCs w:val="20"/>
          <w:color w:val="auto"/>
        </w:rPr>
      </w:pPr>
    </w:p>
    <w:p>
      <w:pPr>
        <w:ind w:left="18"/>
        <w:spacing w:after="0"/>
        <w:rPr>
          <w:sz w:val="20"/>
          <w:szCs w:val="20"/>
          <w:color w:val="auto"/>
        </w:rPr>
      </w:pPr>
      <w:r>
        <w:rPr>
          <w:sz w:val="1"/>
          <w:szCs w:val="1"/>
          <w:color w:val="auto"/>
        </w:rPr>
        <w:drawing>
          <wp:inline distT="0" distB="0" distL="0" distR="0">
            <wp:extent cx="68580" cy="7747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Ability of shareholders to call a special meeting at a 15% threshold</w:t>
      </w:r>
    </w:p>
    <w:p>
      <w:pPr>
        <w:spacing w:after="0" w:line="82" w:lineRule="exact"/>
        <w:rPr>
          <w:sz w:val="20"/>
          <w:szCs w:val="20"/>
          <w:color w:val="auto"/>
        </w:rPr>
      </w:pPr>
    </w:p>
    <w:p>
      <w:pPr>
        <w:ind w:left="198" w:right="400" w:hanging="174"/>
        <w:spacing w:after="0"/>
        <w:rPr>
          <w:sz w:val="20"/>
          <w:szCs w:val="20"/>
          <w:color w:val="auto"/>
        </w:rPr>
      </w:pPr>
      <w:r>
        <w:rPr>
          <w:sz w:val="1"/>
          <w:szCs w:val="1"/>
          <w:color w:val="auto"/>
        </w:rPr>
        <w:drawing>
          <wp:inline distT="0" distB="0" distL="0" distR="0">
            <wp:extent cx="68580" cy="7747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Ability of shareholders to propose an action by written consent at a 15% threshold</w:t>
      </w:r>
    </w:p>
    <w:p>
      <w:pPr>
        <w:spacing w:after="0" w:line="66" w:lineRule="exact"/>
        <w:rPr>
          <w:sz w:val="20"/>
          <w:szCs w:val="20"/>
          <w:color w:val="auto"/>
        </w:rPr>
      </w:pPr>
    </w:p>
    <w:p>
      <w:pPr>
        <w:ind w:left="198" w:right="680" w:hanging="174"/>
        <w:spacing w:after="0"/>
        <w:rPr>
          <w:sz w:val="20"/>
          <w:szCs w:val="20"/>
          <w:color w:val="auto"/>
        </w:rPr>
      </w:pPr>
      <w:r>
        <w:rPr>
          <w:sz w:val="1"/>
          <w:szCs w:val="1"/>
          <w:color w:val="auto"/>
        </w:rPr>
        <w:drawing>
          <wp:inline distT="0" distB="0" distL="0" distR="0">
            <wp:extent cx="68580" cy="7747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Shareholder right to proxy access (3% for 3 years, up to 20% of the Board)</w:t>
      </w:r>
      <w:r>
        <w:rPr>
          <w:rFonts w:ascii="Arial" w:cs="Arial" w:eastAsia="Arial" w:hAnsi="Arial"/>
          <w:sz w:val="23"/>
          <w:szCs w:val="23"/>
          <w:color w:val="auto"/>
          <w:vertAlign w:val="superscript"/>
        </w:rPr>
        <w:t>(1)</w:t>
      </w:r>
    </w:p>
    <w:p>
      <w:pPr>
        <w:ind w:left="18"/>
        <w:spacing w:after="0"/>
        <w:rPr>
          <w:sz w:val="20"/>
          <w:szCs w:val="20"/>
          <w:color w:val="auto"/>
        </w:rPr>
      </w:pPr>
      <w:r>
        <w:rPr>
          <w:sz w:val="1"/>
          <w:szCs w:val="1"/>
          <w:color w:val="auto"/>
        </w:rPr>
        <w:drawing>
          <wp:inline distT="0" distB="0" distL="0" distR="0">
            <wp:extent cx="68580" cy="7683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76835"/>
                    </a:xfrm>
                    <a:prstGeom prst="rect">
                      <a:avLst/>
                    </a:prstGeom>
                    <a:noFill/>
                    <a:ln>
                      <a:noFill/>
                    </a:ln>
                  </pic:spPr>
                </pic:pic>
              </a:graphicData>
            </a:graphic>
          </wp:inline>
        </w:drawing>
      </w:r>
      <w:r>
        <w:rPr>
          <w:rFonts w:ascii="Arial" w:cs="Arial" w:eastAsia="Arial" w:hAnsi="Arial"/>
          <w:sz w:val="14"/>
          <w:szCs w:val="14"/>
          <w:color w:val="auto"/>
        </w:rPr>
        <w:t xml:space="preserve"> Confidential Voting Policy</w:t>
      </w:r>
    </w:p>
    <w:p>
      <w:pPr>
        <w:spacing w:after="0" w:line="68" w:lineRule="exact"/>
        <w:rPr>
          <w:sz w:val="20"/>
          <w:szCs w:val="20"/>
          <w:color w:val="auto"/>
        </w:rPr>
      </w:pPr>
    </w:p>
    <w:p>
      <w:pPr>
        <w:ind w:left="198" w:right="1000" w:hanging="174"/>
        <w:spacing w:after="0"/>
        <w:rPr>
          <w:sz w:val="20"/>
          <w:szCs w:val="20"/>
          <w:color w:val="auto"/>
        </w:rPr>
      </w:pPr>
      <w:r>
        <w:rPr>
          <w:sz w:val="1"/>
          <w:szCs w:val="1"/>
          <w:color w:val="auto"/>
        </w:rPr>
        <w:drawing>
          <wp:inline distT="0" distB="0" distL="0" distR="0">
            <wp:extent cx="68580" cy="774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Nominating Policy to consider properly submitted shareholder-recommended director nominees</w:t>
      </w:r>
    </w:p>
    <w:p>
      <w:pPr>
        <w:spacing w:after="0" w:line="66" w:lineRule="exact"/>
        <w:rPr>
          <w:sz w:val="20"/>
          <w:szCs w:val="20"/>
          <w:color w:val="auto"/>
        </w:rPr>
      </w:pPr>
    </w:p>
    <w:p>
      <w:pPr>
        <w:ind w:left="18"/>
        <w:spacing w:after="0"/>
        <w:rPr>
          <w:sz w:val="20"/>
          <w:szCs w:val="20"/>
          <w:color w:val="auto"/>
        </w:rPr>
      </w:pPr>
      <w:r>
        <w:rPr>
          <w:sz w:val="1"/>
          <w:szCs w:val="1"/>
          <w:color w:val="auto"/>
        </w:rPr>
        <w:drawing>
          <wp:inline distT="0" distB="0" distL="0" distR="0">
            <wp:extent cx="68580" cy="7747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No supermajority voting requirements</w:t>
      </w:r>
    </w:p>
    <w:p>
      <w:pPr>
        <w:spacing w:after="0" w:line="96" w:lineRule="exact"/>
        <w:rPr>
          <w:sz w:val="20"/>
          <w:szCs w:val="20"/>
          <w:color w:val="auto"/>
        </w:rPr>
      </w:pPr>
    </w:p>
    <w:p>
      <w:pPr>
        <w:ind w:left="198" w:right="940" w:hanging="174"/>
        <w:spacing w:after="0"/>
        <w:rPr>
          <w:sz w:val="20"/>
          <w:szCs w:val="20"/>
          <w:color w:val="auto"/>
        </w:rPr>
      </w:pPr>
      <w:r>
        <w:rPr>
          <w:sz w:val="1"/>
          <w:szCs w:val="1"/>
          <w:color w:val="auto"/>
        </w:rPr>
        <w:drawing>
          <wp:inline distT="0" distB="0" distL="0" distR="0">
            <wp:extent cx="68580" cy="7747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r>
        <w:rPr>
          <w:rFonts w:ascii="Arial" w:cs="Arial" w:eastAsia="Arial" w:hAnsi="Arial"/>
          <w:sz w:val="14"/>
          <w:szCs w:val="14"/>
          <w:color w:val="auto"/>
        </w:rPr>
        <w:t xml:space="preserve"> Active independent director participation in and oversight of the shareholder engagement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78" w:hanging="278"/>
        <w:spacing w:after="0" w:line="283" w:lineRule="auto"/>
        <w:tabs>
          <w:tab w:leader="none" w:pos="278" w:val="left"/>
        </w:tabs>
        <w:numPr>
          <w:ilvl w:val="0"/>
          <w:numId w:val="25"/>
        </w:numPr>
        <w:rPr>
          <w:rFonts w:ascii="Arial" w:cs="Arial" w:eastAsia="Arial" w:hAnsi="Arial"/>
          <w:sz w:val="10"/>
          <w:szCs w:val="10"/>
          <w:color w:val="auto"/>
        </w:rPr>
      </w:pPr>
      <w:r>
        <w:rPr>
          <w:rFonts w:ascii="Arial" w:cs="Arial" w:eastAsia="Arial" w:hAnsi="Arial"/>
          <w:sz w:val="12"/>
          <w:szCs w:val="12"/>
          <w:color w:val="auto"/>
        </w:rPr>
        <w:t>For more information, see "Corporate Governance - Director Selection and Recruitment - Proxy Access for Shareholder Nominated Director Candidates" on page 25.</w:t>
      </w:r>
    </w:p>
    <w:p>
      <w:pPr>
        <w:spacing w:after="0" w:line="200" w:lineRule="exact"/>
        <w:rPr>
          <w:sz w:val="20"/>
          <w:szCs w:val="20"/>
          <w:color w:val="auto"/>
        </w:rPr>
      </w:pPr>
    </w:p>
    <w:p>
      <w:pPr>
        <w:sectPr>
          <w:pgSz w:w="11900" w:h="16838" w:orient="portrait"/>
          <w:cols w:equalWidth="0" w:num="2">
            <w:col w:w="5760" w:space="282"/>
            <w:col w:w="5158"/>
          </w:cols>
          <w:pgMar w:left="320" w:top="130" w:right="37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Board Evaluation Process</w:t>
      </w:r>
    </w:p>
    <w:p>
      <w:pPr>
        <w:spacing w:after="0" w:line="241"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Led by the Governance Committee, the Board conducts a robust annual evaluation of its performance and the performance of each of the Board’s committees and the individual directors. The Governance Committee believes that board evaluations are a critical tool in assessing the composition and effectiveness of the Board, its committees and its members and present an opportunity to identify areas of strength and areas capable of improvement. The annual Board evaluation includes an assessment of, among other things, whether the Board and its committees have the necessary diversity of skills, backgrounds and experiences to meet Occidental’s needs. The evaluation process also includes ongoing discussion and feedback from directors throughout the year regarding the Board and its committees’ effectiveness. The Governance Committee annually considers the format of its evaluation processes, which, in recent years, have intentionally included different formats, such as questionnaires, individual director interviews and the use of a third-party facilitator. The 2022 Board evaluation process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123825</wp:posOffset>
            </wp:positionV>
            <wp:extent cx="7071995" cy="3086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34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b w:val="1"/>
                <w:bCs w:val="1"/>
                <w:color w:val="00529B"/>
              </w:rPr>
              <w:t>DETERMINE THE PROCESS</w:t>
            </w:r>
          </w:p>
        </w:tc>
        <w:tc>
          <w:tcPr>
            <w:tcW w:w="8080" w:type="dxa"/>
            <w:vAlign w:val="bottom"/>
          </w:tcPr>
          <w:p>
            <w:pPr>
              <w:ind w:left="160"/>
              <w:spacing w:after="0"/>
              <w:rPr>
                <w:sz w:val="20"/>
                <w:szCs w:val="20"/>
                <w:color w:val="auto"/>
              </w:rPr>
            </w:pPr>
            <w:r>
              <w:rPr>
                <w:rFonts w:ascii="Arial" w:cs="Arial" w:eastAsia="Arial" w:hAnsi="Arial"/>
                <w:sz w:val="15"/>
                <w:szCs w:val="15"/>
                <w:color w:val="auto"/>
              </w:rPr>
              <w:t>In 2022, the Governance Committee recommended, and the Board approved, Board evaluations through the use of:</w:t>
            </w:r>
          </w:p>
        </w:tc>
      </w:tr>
      <w:tr>
        <w:trPr>
          <w:trHeight w:val="145"/>
        </w:trPr>
        <w:tc>
          <w:tcPr>
            <w:tcW w:w="2580" w:type="dxa"/>
            <w:vAlign w:val="bottom"/>
          </w:tcPr>
          <w:p>
            <w:pPr>
              <w:spacing w:after="0"/>
              <w:rPr>
                <w:sz w:val="12"/>
                <w:szCs w:val="12"/>
                <w:color w:val="auto"/>
              </w:rPr>
            </w:pPr>
          </w:p>
        </w:tc>
        <w:tc>
          <w:tcPr>
            <w:tcW w:w="8080" w:type="dxa"/>
            <w:vAlign w:val="bottom"/>
          </w:tcPr>
          <w:p>
            <w:pPr>
              <w:ind w:left="160"/>
              <w:spacing w:after="0" w:line="145" w:lineRule="exact"/>
              <w:rPr>
                <w:sz w:val="20"/>
                <w:szCs w:val="20"/>
                <w:color w:val="auto"/>
              </w:rPr>
            </w:pPr>
            <w:r>
              <w:rPr>
                <w:rFonts w:ascii="Arial" w:cs="Arial" w:eastAsia="Arial" w:hAnsi="Arial"/>
                <w:sz w:val="15"/>
                <w:szCs w:val="15"/>
                <w:color w:val="auto"/>
              </w:rPr>
              <w:t>(i) written questionnaires, (ii) a skills matrix and (iii) individual director interviews. This process was intended to</w:t>
            </w:r>
          </w:p>
        </w:tc>
      </w:tr>
      <w:tr>
        <w:trPr>
          <w:trHeight w:val="200"/>
        </w:trPr>
        <w:tc>
          <w:tcPr>
            <w:tcW w:w="2580" w:type="dxa"/>
            <w:vAlign w:val="bottom"/>
          </w:tcPr>
          <w:p>
            <w:pPr>
              <w:spacing w:after="0"/>
              <w:rPr>
                <w:sz w:val="17"/>
                <w:szCs w:val="17"/>
                <w:color w:val="auto"/>
              </w:rPr>
            </w:pPr>
          </w:p>
        </w:tc>
        <w:tc>
          <w:tcPr>
            <w:tcW w:w="8080" w:type="dxa"/>
            <w:vAlign w:val="bottom"/>
          </w:tcPr>
          <w:p>
            <w:pPr>
              <w:ind w:left="160"/>
              <w:spacing w:after="0"/>
              <w:rPr>
                <w:sz w:val="20"/>
                <w:szCs w:val="20"/>
                <w:color w:val="auto"/>
              </w:rPr>
            </w:pPr>
            <w:r>
              <w:rPr>
                <w:rFonts w:ascii="Arial" w:cs="Arial" w:eastAsia="Arial" w:hAnsi="Arial"/>
                <w:sz w:val="15"/>
                <w:szCs w:val="15"/>
                <w:color w:val="auto"/>
              </w:rPr>
              <w:t>encourage feedback from directors to promote productive discussions.</w:t>
            </w:r>
          </w:p>
        </w:tc>
      </w:tr>
      <w:tr>
        <w:trPr>
          <w:trHeight w:val="694"/>
        </w:trPr>
        <w:tc>
          <w:tcPr>
            <w:tcW w:w="2580" w:type="dxa"/>
            <w:vAlign w:val="bottom"/>
          </w:tcPr>
          <w:p>
            <w:pPr>
              <w:spacing w:after="0"/>
              <w:rPr>
                <w:sz w:val="20"/>
                <w:szCs w:val="20"/>
                <w:color w:val="auto"/>
              </w:rPr>
            </w:pPr>
            <w:r>
              <w:rPr>
                <w:rFonts w:ascii="Arial" w:cs="Arial" w:eastAsia="Arial" w:hAnsi="Arial"/>
                <w:sz w:val="18"/>
                <w:szCs w:val="18"/>
                <w:b w:val="1"/>
                <w:bCs w:val="1"/>
                <w:color w:val="00529B"/>
              </w:rPr>
              <w:t>CONDUCT EVALUATIONS</w:t>
            </w:r>
          </w:p>
        </w:tc>
        <w:tc>
          <w:tcPr>
            <w:tcW w:w="8080" w:type="dxa"/>
            <w:vAlign w:val="bottom"/>
          </w:tcPr>
          <w:p>
            <w:pPr>
              <w:ind w:left="160"/>
              <w:spacing w:after="0"/>
              <w:rPr>
                <w:sz w:val="20"/>
                <w:szCs w:val="20"/>
                <w:color w:val="auto"/>
              </w:rPr>
            </w:pPr>
            <w:r>
              <w:rPr>
                <w:rFonts w:ascii="Arial" w:cs="Arial" w:eastAsia="Arial" w:hAnsi="Arial"/>
                <w:sz w:val="15"/>
                <w:szCs w:val="15"/>
                <w:color w:val="auto"/>
              </w:rPr>
              <w:t>The Board and committee questionnaires solicited feedback related to committee and board effectiveness and</w:t>
            </w:r>
          </w:p>
        </w:tc>
      </w:tr>
      <w:tr>
        <w:trPr>
          <w:trHeight w:val="145"/>
        </w:trPr>
        <w:tc>
          <w:tcPr>
            <w:tcW w:w="2580" w:type="dxa"/>
            <w:vAlign w:val="bottom"/>
          </w:tcPr>
          <w:p>
            <w:pPr>
              <w:spacing w:after="0"/>
              <w:rPr>
                <w:sz w:val="12"/>
                <w:szCs w:val="12"/>
                <w:color w:val="auto"/>
              </w:rPr>
            </w:pPr>
          </w:p>
        </w:tc>
        <w:tc>
          <w:tcPr>
            <w:tcW w:w="8080" w:type="dxa"/>
            <w:vAlign w:val="bottom"/>
          </w:tcPr>
          <w:p>
            <w:pPr>
              <w:ind w:left="160"/>
              <w:spacing w:after="0" w:line="145" w:lineRule="exact"/>
              <w:rPr>
                <w:sz w:val="20"/>
                <w:szCs w:val="20"/>
                <w:color w:val="auto"/>
              </w:rPr>
            </w:pPr>
            <w:r>
              <w:rPr>
                <w:rFonts w:ascii="Arial" w:cs="Arial" w:eastAsia="Arial" w:hAnsi="Arial"/>
                <w:sz w:val="15"/>
                <w:szCs w:val="15"/>
                <w:color w:val="auto"/>
              </w:rPr>
              <w:t>performance; agenda topics and materials; skills; leadership; and, at the Board level, matters related to strategy. The</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questionnaires also included open-ended questions that prompted each director to reflect and comment on his or her</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own individual performance and contributions to the Board. The Chair of the Governance Committee interviewed</w:t>
            </w:r>
          </w:p>
        </w:tc>
      </w:tr>
      <w:tr>
        <w:trPr>
          <w:trHeight w:val="200"/>
        </w:trPr>
        <w:tc>
          <w:tcPr>
            <w:tcW w:w="2580" w:type="dxa"/>
            <w:vAlign w:val="bottom"/>
          </w:tcPr>
          <w:p>
            <w:pPr>
              <w:spacing w:after="0"/>
              <w:rPr>
                <w:sz w:val="17"/>
                <w:szCs w:val="17"/>
                <w:color w:val="auto"/>
              </w:rPr>
            </w:pPr>
          </w:p>
        </w:tc>
        <w:tc>
          <w:tcPr>
            <w:tcW w:w="8080" w:type="dxa"/>
            <w:vAlign w:val="bottom"/>
          </w:tcPr>
          <w:p>
            <w:pPr>
              <w:ind w:left="160"/>
              <w:spacing w:after="0"/>
              <w:rPr>
                <w:sz w:val="20"/>
                <w:szCs w:val="20"/>
                <w:color w:val="auto"/>
              </w:rPr>
            </w:pPr>
            <w:r>
              <w:rPr>
                <w:rFonts w:ascii="Arial" w:cs="Arial" w:eastAsia="Arial" w:hAnsi="Arial"/>
                <w:sz w:val="15"/>
                <w:szCs w:val="15"/>
                <w:color w:val="auto"/>
              </w:rPr>
              <w:t>each director to discuss his or her questionnaire responses and to solicit additional feedback.</w:t>
            </w:r>
          </w:p>
        </w:tc>
      </w:tr>
      <w:tr>
        <w:trPr>
          <w:trHeight w:val="762"/>
        </w:trPr>
        <w:tc>
          <w:tcPr>
            <w:tcW w:w="2580" w:type="dxa"/>
            <w:vAlign w:val="bottom"/>
          </w:tcPr>
          <w:p>
            <w:pPr>
              <w:spacing w:after="0"/>
              <w:rPr>
                <w:sz w:val="20"/>
                <w:szCs w:val="20"/>
                <w:color w:val="auto"/>
              </w:rPr>
            </w:pPr>
            <w:r>
              <w:rPr>
                <w:rFonts w:ascii="Arial" w:cs="Arial" w:eastAsia="Arial" w:hAnsi="Arial"/>
                <w:sz w:val="18"/>
                <w:szCs w:val="18"/>
                <w:b w:val="1"/>
                <w:bCs w:val="1"/>
                <w:color w:val="00529B"/>
              </w:rPr>
              <w:t>ANALYZE THE RESULTS</w:t>
            </w:r>
          </w:p>
        </w:tc>
        <w:tc>
          <w:tcPr>
            <w:tcW w:w="8080" w:type="dxa"/>
            <w:vAlign w:val="bottom"/>
          </w:tcPr>
          <w:p>
            <w:pPr>
              <w:ind w:left="160"/>
              <w:spacing w:after="0"/>
              <w:rPr>
                <w:sz w:val="20"/>
                <w:szCs w:val="20"/>
                <w:color w:val="auto"/>
              </w:rPr>
            </w:pPr>
            <w:r>
              <w:rPr>
                <w:rFonts w:ascii="Arial" w:cs="Arial" w:eastAsia="Arial" w:hAnsi="Arial"/>
                <w:sz w:val="15"/>
                <w:szCs w:val="15"/>
                <w:color w:val="auto"/>
              </w:rPr>
              <w:t>In late 2022, the aggregated results of each questionnaire and feedback from the director interviews was reviewed</w:t>
            </w:r>
          </w:p>
        </w:tc>
      </w:tr>
      <w:tr>
        <w:trPr>
          <w:trHeight w:val="145"/>
        </w:trPr>
        <w:tc>
          <w:tcPr>
            <w:tcW w:w="2580" w:type="dxa"/>
            <w:vAlign w:val="bottom"/>
          </w:tcPr>
          <w:p>
            <w:pPr>
              <w:spacing w:after="0"/>
              <w:rPr>
                <w:sz w:val="12"/>
                <w:szCs w:val="12"/>
                <w:color w:val="auto"/>
              </w:rPr>
            </w:pPr>
          </w:p>
        </w:tc>
        <w:tc>
          <w:tcPr>
            <w:tcW w:w="8080" w:type="dxa"/>
            <w:vAlign w:val="bottom"/>
          </w:tcPr>
          <w:p>
            <w:pPr>
              <w:ind w:left="160"/>
              <w:spacing w:after="0" w:line="145" w:lineRule="exact"/>
              <w:rPr>
                <w:sz w:val="20"/>
                <w:szCs w:val="20"/>
                <w:color w:val="auto"/>
              </w:rPr>
            </w:pPr>
            <w:r>
              <w:rPr>
                <w:rFonts w:ascii="Arial" w:cs="Arial" w:eastAsia="Arial" w:hAnsi="Arial"/>
                <w:sz w:val="15"/>
                <w:szCs w:val="15"/>
                <w:color w:val="auto"/>
              </w:rPr>
              <w:t>and discussed at a meeting of the Governance Committee. Each committee reviewed its individual results, and the</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Chair of the Governance Committee led the Board in a discussion of the overall findings at a meeting of the full</w:t>
            </w:r>
          </w:p>
        </w:tc>
      </w:tr>
      <w:tr>
        <w:trPr>
          <w:trHeight w:val="200"/>
        </w:trPr>
        <w:tc>
          <w:tcPr>
            <w:tcW w:w="2580" w:type="dxa"/>
            <w:vAlign w:val="bottom"/>
          </w:tcPr>
          <w:p>
            <w:pPr>
              <w:spacing w:after="0"/>
              <w:rPr>
                <w:sz w:val="17"/>
                <w:szCs w:val="17"/>
                <w:color w:val="auto"/>
              </w:rPr>
            </w:pPr>
          </w:p>
        </w:tc>
        <w:tc>
          <w:tcPr>
            <w:tcW w:w="8080" w:type="dxa"/>
            <w:vAlign w:val="bottom"/>
          </w:tcPr>
          <w:p>
            <w:pPr>
              <w:ind w:left="160"/>
              <w:spacing w:after="0"/>
              <w:rPr>
                <w:sz w:val="20"/>
                <w:szCs w:val="20"/>
                <w:color w:val="auto"/>
              </w:rPr>
            </w:pPr>
            <w:r>
              <w:rPr>
                <w:rFonts w:ascii="Arial" w:cs="Arial" w:eastAsia="Arial" w:hAnsi="Arial"/>
                <w:sz w:val="15"/>
                <w:szCs w:val="15"/>
                <w:color w:val="auto"/>
              </w:rPr>
              <w:t>Board.</w:t>
            </w:r>
          </w:p>
        </w:tc>
      </w:tr>
      <w:tr>
        <w:trPr>
          <w:trHeight w:val="397"/>
        </w:trPr>
        <w:tc>
          <w:tcPr>
            <w:tcW w:w="2580" w:type="dxa"/>
            <w:vAlign w:val="bottom"/>
          </w:tcPr>
          <w:p>
            <w:pPr>
              <w:spacing w:after="0"/>
              <w:rPr>
                <w:sz w:val="20"/>
                <w:szCs w:val="20"/>
                <w:color w:val="auto"/>
              </w:rPr>
            </w:pPr>
            <w:r>
              <w:rPr>
                <w:rFonts w:ascii="Arial" w:cs="Arial" w:eastAsia="Arial" w:hAnsi="Arial"/>
                <w:sz w:val="18"/>
                <w:szCs w:val="18"/>
                <w:b w:val="1"/>
                <w:bCs w:val="1"/>
                <w:color w:val="00529B"/>
              </w:rPr>
              <w:t>TAKE RESPONSIVE ACTION</w:t>
            </w:r>
          </w:p>
        </w:tc>
        <w:tc>
          <w:tcPr>
            <w:tcW w:w="8080" w:type="dxa"/>
            <w:vAlign w:val="bottom"/>
          </w:tcPr>
          <w:p>
            <w:pPr>
              <w:ind w:left="160"/>
              <w:spacing w:after="0"/>
              <w:rPr>
                <w:sz w:val="20"/>
                <w:szCs w:val="20"/>
                <w:color w:val="auto"/>
              </w:rPr>
            </w:pPr>
            <w:r>
              <w:rPr>
                <w:rFonts w:ascii="Arial" w:cs="Arial" w:eastAsia="Arial" w:hAnsi="Arial"/>
                <w:sz w:val="15"/>
                <w:szCs w:val="15"/>
                <w:color w:val="auto"/>
              </w:rPr>
              <w:t>As part of its analysis of the evaluation results, the Board and management determined appropriate responsive</w:t>
            </w:r>
          </w:p>
        </w:tc>
      </w:tr>
      <w:tr>
        <w:trPr>
          <w:trHeight w:val="145"/>
        </w:trPr>
        <w:tc>
          <w:tcPr>
            <w:tcW w:w="2580" w:type="dxa"/>
            <w:vAlign w:val="bottom"/>
          </w:tcPr>
          <w:p>
            <w:pPr>
              <w:spacing w:after="0"/>
              <w:rPr>
                <w:sz w:val="12"/>
                <w:szCs w:val="12"/>
                <w:color w:val="auto"/>
              </w:rPr>
            </w:pPr>
          </w:p>
        </w:tc>
        <w:tc>
          <w:tcPr>
            <w:tcW w:w="8080" w:type="dxa"/>
            <w:vAlign w:val="bottom"/>
          </w:tcPr>
          <w:p>
            <w:pPr>
              <w:ind w:left="160"/>
              <w:spacing w:after="0" w:line="145" w:lineRule="exact"/>
              <w:rPr>
                <w:sz w:val="20"/>
                <w:szCs w:val="20"/>
                <w:color w:val="auto"/>
              </w:rPr>
            </w:pPr>
            <w:r>
              <w:rPr>
                <w:rFonts w:ascii="Arial" w:cs="Arial" w:eastAsia="Arial" w:hAnsi="Arial"/>
                <w:sz w:val="15"/>
                <w:szCs w:val="15"/>
                <w:color w:val="auto"/>
              </w:rPr>
              <w:t>actions to be implemented over the next year that are intended to address areas that were identified as capable of</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improvement. For example, at the Board level, this process provided valuable insight for Board succession planning</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and preferred director candidate qualifications. At the committee level, for the Sustainability and Shareholder</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Engagement Committee as one example, in response to feedback regarding meeting materials, enhancements have</w:t>
            </w:r>
          </w:p>
        </w:tc>
      </w:tr>
      <w:tr>
        <w:trPr>
          <w:trHeight w:val="162"/>
        </w:trPr>
        <w:tc>
          <w:tcPr>
            <w:tcW w:w="2580" w:type="dxa"/>
            <w:vAlign w:val="bottom"/>
          </w:tcPr>
          <w:p>
            <w:pPr>
              <w:spacing w:after="0"/>
              <w:rPr>
                <w:sz w:val="14"/>
                <w:szCs w:val="14"/>
                <w:color w:val="auto"/>
              </w:rPr>
            </w:pPr>
          </w:p>
        </w:tc>
        <w:tc>
          <w:tcPr>
            <w:tcW w:w="8080" w:type="dxa"/>
            <w:vAlign w:val="bottom"/>
          </w:tcPr>
          <w:p>
            <w:pPr>
              <w:ind w:left="160"/>
              <w:spacing w:after="0" w:line="162" w:lineRule="exact"/>
              <w:rPr>
                <w:sz w:val="20"/>
                <w:szCs w:val="20"/>
                <w:color w:val="auto"/>
              </w:rPr>
            </w:pPr>
            <w:r>
              <w:rPr>
                <w:rFonts w:ascii="Arial" w:cs="Arial" w:eastAsia="Arial" w:hAnsi="Arial"/>
                <w:sz w:val="15"/>
                <w:szCs w:val="15"/>
                <w:color w:val="auto"/>
              </w:rPr>
              <w:t>been made to pre-read meeting materials and management presentations to allow for more robust discussion relative</w:t>
            </w:r>
          </w:p>
        </w:tc>
      </w:tr>
      <w:tr>
        <w:trPr>
          <w:trHeight w:val="200"/>
        </w:trPr>
        <w:tc>
          <w:tcPr>
            <w:tcW w:w="2580" w:type="dxa"/>
            <w:vAlign w:val="bottom"/>
          </w:tcPr>
          <w:p>
            <w:pPr>
              <w:spacing w:after="0"/>
              <w:rPr>
                <w:sz w:val="17"/>
                <w:szCs w:val="17"/>
                <w:color w:val="auto"/>
              </w:rPr>
            </w:pPr>
          </w:p>
        </w:tc>
        <w:tc>
          <w:tcPr>
            <w:tcW w:w="8080" w:type="dxa"/>
            <w:vAlign w:val="bottom"/>
          </w:tcPr>
          <w:p>
            <w:pPr>
              <w:ind w:left="160"/>
              <w:spacing w:after="0"/>
              <w:rPr>
                <w:sz w:val="20"/>
                <w:szCs w:val="20"/>
                <w:color w:val="auto"/>
              </w:rPr>
            </w:pPr>
            <w:r>
              <w:rPr>
                <w:rFonts w:ascii="Arial" w:cs="Arial" w:eastAsia="Arial" w:hAnsi="Arial"/>
                <w:sz w:val="15"/>
                <w:szCs w:val="15"/>
                <w:color w:val="auto"/>
              </w:rPr>
              <w:t>to the time spent on presentations at committee meetings.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-2704465</wp:posOffset>
            </wp:positionV>
            <wp:extent cx="171450" cy="30086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Selection and Recruitment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Board’s Nominating Policy, the Governance Committee considers director candidates recommended by shareholders as discussed further on page</w:t>
      </w:r>
    </w:p>
    <w:p>
      <w:pPr>
        <w:spacing w:after="0" w:line="4" w:lineRule="exact"/>
        <w:rPr>
          <w:sz w:val="20"/>
          <w:szCs w:val="20"/>
          <w:color w:val="auto"/>
        </w:rPr>
      </w:pPr>
    </w:p>
    <w:p>
      <w:pPr>
        <w:ind w:right="20" w:firstLine="8"/>
        <w:spacing w:after="0" w:line="236" w:lineRule="auto"/>
        <w:tabs>
          <w:tab w:leader="none" w:pos="255"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In recent years, the Board has identified director candidates through the use of independent search firms, third-party recommendations and the recommendations of directors and executive officers. For a discussion of the factors that the Governance Committee considers in recommending candidates for election to the Board, see </w:t>
      </w:r>
      <w:r>
        <w:rPr>
          <w:rFonts w:ascii="Arial" w:cs="Arial" w:eastAsia="Arial" w:hAnsi="Arial"/>
          <w:sz w:val="15"/>
          <w:szCs w:val="15"/>
          <w:i w:val="1"/>
          <w:iCs w:val="1"/>
          <w:color w:val="auto"/>
        </w:rPr>
        <w:t>“Proposal 1: Election of Directors – Director Nominations”</w:t>
      </w:r>
      <w:r>
        <w:rPr>
          <w:rFonts w:ascii="Arial" w:cs="Arial" w:eastAsia="Arial" w:hAnsi="Arial"/>
          <w:sz w:val="15"/>
          <w:szCs w:val="15"/>
          <w:color w:val="auto"/>
        </w:rPr>
        <w:t xml:space="preserve">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74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Proxy Access for Shareholder-Nominated Director Candidates</w:t>
      </w:r>
    </w:p>
    <w:p>
      <w:pPr>
        <w:spacing w:after="0" w:line="239" w:lineRule="exact"/>
        <w:rPr>
          <w:sz w:val="20"/>
          <w:szCs w:val="20"/>
          <w:color w:val="auto"/>
        </w:rPr>
      </w:pPr>
    </w:p>
    <w:p>
      <w:pPr>
        <w:ind w:right="200"/>
        <w:spacing w:after="0" w:line="238" w:lineRule="auto"/>
        <w:rPr>
          <w:sz w:val="20"/>
          <w:szCs w:val="20"/>
          <w:color w:val="auto"/>
        </w:rPr>
      </w:pPr>
      <w:r>
        <w:rPr>
          <w:rFonts w:ascii="Arial" w:cs="Arial" w:eastAsia="Arial" w:hAnsi="Arial"/>
          <w:sz w:val="15"/>
          <w:szCs w:val="15"/>
          <w:color w:val="auto"/>
        </w:rPr>
        <w:t xml:space="preserve">Occidental’s By-laws permit a group of up to 20 shareholders, collectively owning 3% or more of Occidental’s outstanding common stock continuously for at least three years, to nominate and have included in Occidental’s proxy materials, director nominees constituting up to 20% of the Board, but not less than two directors, provided that the shareholder(s) and the nominee(s) meet the requirements of Occidental’s By-laws. For more information on proxy access and other procedures to recommend candidates to the Board, see </w:t>
      </w:r>
      <w:r>
        <w:rPr>
          <w:rFonts w:ascii="Arial" w:cs="Arial" w:eastAsia="Arial" w:hAnsi="Arial"/>
          <w:sz w:val="15"/>
          <w:szCs w:val="15"/>
          <w:i w:val="1"/>
          <w:iCs w:val="1"/>
          <w:color w:val="auto"/>
        </w:rPr>
        <w:t>“Director Nominations for the 2024 Annual Meeting”</w:t>
      </w:r>
      <w:r>
        <w:rPr>
          <w:rFonts w:ascii="Arial" w:cs="Arial" w:eastAsia="Arial" w:hAnsi="Arial"/>
          <w:sz w:val="15"/>
          <w:szCs w:val="15"/>
          <w:color w:val="auto"/>
        </w:rPr>
        <w:t xml:space="preserve"> beginning on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14350" cy="265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 cy="26543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125095</wp:posOffset>
            </wp:positionV>
            <wp:extent cx="428625"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8625" cy="3257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tabs>
          <w:tab w:leader="none" w:pos="1040" w:val="left"/>
          <w:tab w:leader="none" w:pos="1560" w:val="left"/>
          <w:tab w:leader="none" w:pos="4740" w:val="left"/>
          <w:tab w:leader="none" w:pos="5700" w:val="left"/>
          <w:tab w:leader="none" w:pos="6160" w:val="left"/>
        </w:tabs>
        <w:rPr>
          <w:sz w:val="20"/>
          <w:szCs w:val="20"/>
          <w:color w:val="auto"/>
        </w:rPr>
      </w:pPr>
      <w:r>
        <w:rPr>
          <w:rFonts w:ascii="Arial" w:cs="Arial" w:eastAsia="Arial" w:hAnsi="Arial"/>
          <w:sz w:val="41"/>
          <w:szCs w:val="41"/>
          <w:b w:val="1"/>
          <w:bCs w:val="1"/>
          <w:color w:val="00529B"/>
        </w:rPr>
        <w:t>3%</w:t>
      </w:r>
      <w:r>
        <w:rPr>
          <w:sz w:val="20"/>
          <w:szCs w:val="20"/>
          <w:color w:val="auto"/>
        </w:rPr>
        <w:tab/>
      </w:r>
      <w:r>
        <w:rPr>
          <w:rFonts w:ascii="Arial" w:cs="Arial" w:eastAsia="Arial" w:hAnsi="Arial"/>
          <w:sz w:val="43"/>
          <w:szCs w:val="43"/>
          <w:b w:val="1"/>
          <w:bCs w:val="1"/>
          <w:color w:val="00529B"/>
          <w:vertAlign w:val="subscript"/>
        </w:rPr>
        <w:t>for</w:t>
      </w:r>
      <w:r>
        <w:rPr>
          <w:sz w:val="20"/>
          <w:szCs w:val="20"/>
          <w:color w:val="auto"/>
        </w:rPr>
        <w:tab/>
      </w:r>
      <w:r>
        <w:rPr>
          <w:rFonts w:ascii="Arial" w:cs="Arial" w:eastAsia="Arial" w:hAnsi="Arial"/>
          <w:sz w:val="41"/>
          <w:szCs w:val="41"/>
          <w:b w:val="1"/>
          <w:bCs w:val="1"/>
          <w:color w:val="00529B"/>
        </w:rPr>
        <w:t>3</w:t>
      </w:r>
      <w:r>
        <w:rPr>
          <w:sz w:val="20"/>
          <w:szCs w:val="20"/>
          <w:color w:val="auto"/>
        </w:rPr>
        <w:tab/>
      </w:r>
      <w:r>
        <w:rPr>
          <w:rFonts w:ascii="Arial" w:cs="Arial" w:eastAsia="Arial" w:hAnsi="Arial"/>
          <w:sz w:val="41"/>
          <w:szCs w:val="41"/>
          <w:b w:val="1"/>
          <w:bCs w:val="1"/>
          <w:color w:val="00529B"/>
        </w:rPr>
        <w:t>2</w:t>
      </w:r>
      <w:r>
        <w:rPr>
          <w:sz w:val="20"/>
          <w:szCs w:val="20"/>
          <w:color w:val="auto"/>
        </w:rPr>
        <w:tab/>
      </w:r>
      <w:r>
        <w:rPr>
          <w:rFonts w:ascii="Arial" w:cs="Arial" w:eastAsia="Arial" w:hAnsi="Arial"/>
          <w:sz w:val="43"/>
          <w:szCs w:val="43"/>
          <w:b w:val="1"/>
          <w:bCs w:val="1"/>
          <w:color w:val="00529B"/>
          <w:vertAlign w:val="subscript"/>
        </w:rPr>
        <w:t>or</w:t>
      </w:r>
      <w:r>
        <w:rPr>
          <w:sz w:val="20"/>
          <w:szCs w:val="20"/>
          <w:color w:val="auto"/>
        </w:rPr>
        <w:tab/>
      </w:r>
      <w:r>
        <w:rPr>
          <w:rFonts w:ascii="Arial" w:cs="Arial" w:eastAsia="Arial" w:hAnsi="Arial"/>
          <w:sz w:val="40"/>
          <w:szCs w:val="40"/>
          <w:b w:val="1"/>
          <w:bCs w:val="1"/>
          <w:color w:val="00529B"/>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-246380</wp:posOffset>
            </wp:positionV>
            <wp:extent cx="300355" cy="394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0355" cy="394335"/>
                    </a:xfrm>
                    <a:prstGeom prst="rect">
                      <a:avLst/>
                    </a:prstGeom>
                    <a:noFill/>
                  </pic:spPr>
                </pic:pic>
              </a:graphicData>
            </a:graphic>
          </wp:anchor>
        </w:drawing>
      </w:r>
    </w:p>
    <w:p>
      <w:pPr>
        <w:spacing w:after="0" w:line="47" w:lineRule="exact"/>
        <w:rPr>
          <w:sz w:val="20"/>
          <w:szCs w:val="20"/>
          <w:color w:val="auto"/>
        </w:rPr>
      </w:pPr>
    </w:p>
    <w:p>
      <w:pPr>
        <w:spacing w:after="0"/>
        <w:tabs>
          <w:tab w:leader="none" w:pos="1560" w:val="left"/>
          <w:tab w:leader="none" w:pos="4740" w:val="left"/>
          <w:tab w:leader="none" w:pos="6160" w:val="left"/>
        </w:tabs>
        <w:rPr>
          <w:sz w:val="20"/>
          <w:szCs w:val="20"/>
          <w:color w:val="auto"/>
        </w:rPr>
      </w:pPr>
      <w:r>
        <w:rPr>
          <w:rFonts w:ascii="Arial" w:cs="Arial" w:eastAsia="Arial" w:hAnsi="Arial"/>
          <w:sz w:val="15"/>
          <w:szCs w:val="15"/>
          <w:b w:val="1"/>
          <w:bCs w:val="1"/>
          <w:color w:val="00529B"/>
        </w:rPr>
        <w:t>shares</w:t>
      </w:r>
      <w:r>
        <w:rPr>
          <w:sz w:val="20"/>
          <w:szCs w:val="20"/>
          <w:color w:val="auto"/>
        </w:rPr>
        <w:tab/>
      </w:r>
      <w:r>
        <w:rPr>
          <w:rFonts w:ascii="Arial" w:cs="Arial" w:eastAsia="Arial" w:hAnsi="Arial"/>
          <w:sz w:val="15"/>
          <w:szCs w:val="15"/>
          <w:b w:val="1"/>
          <w:bCs w:val="1"/>
          <w:color w:val="00529B"/>
        </w:rPr>
        <w:t>years</w:t>
      </w:r>
      <w:r>
        <w:rPr>
          <w:sz w:val="20"/>
          <w:szCs w:val="20"/>
          <w:color w:val="auto"/>
        </w:rPr>
        <w:tab/>
      </w:r>
      <w:r>
        <w:rPr>
          <w:rFonts w:ascii="Arial" w:cs="Arial" w:eastAsia="Arial" w:hAnsi="Arial"/>
          <w:sz w:val="15"/>
          <w:szCs w:val="15"/>
          <w:b w:val="1"/>
          <w:bCs w:val="1"/>
          <w:color w:val="00529B"/>
        </w:rPr>
        <w:t>nominees</w:t>
      </w:r>
      <w:r>
        <w:rPr>
          <w:sz w:val="20"/>
          <w:szCs w:val="20"/>
          <w:color w:val="auto"/>
        </w:rPr>
        <w:tab/>
      </w:r>
      <w:r>
        <w:rPr>
          <w:rFonts w:ascii="Arial" w:cs="Arial" w:eastAsia="Arial" w:hAnsi="Arial"/>
          <w:sz w:val="15"/>
          <w:szCs w:val="15"/>
          <w:b w:val="1"/>
          <w:bCs w:val="1"/>
          <w:color w:val="00529B"/>
        </w:rPr>
        <w:t>of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40575" cy="4718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5"/>
          <w:szCs w:val="15"/>
          <w:color w:val="00529B"/>
        </w:rPr>
        <w:t xml:space="preserve">Any shareholder or group of up to </w:t>
      </w:r>
      <w:r>
        <w:rPr>
          <w:rFonts w:ascii="Arial" w:cs="Arial" w:eastAsia="Arial" w:hAnsi="Arial"/>
          <w:sz w:val="15"/>
          <w:szCs w:val="15"/>
          <w:b w:val="1"/>
          <w:bCs w:val="1"/>
          <w:color w:val="00529B"/>
        </w:rPr>
        <w:t>20</w:t>
      </w:r>
      <w:r>
        <w:rPr>
          <w:rFonts w:ascii="Arial" w:cs="Arial" w:eastAsia="Arial" w:hAnsi="Arial"/>
          <w:sz w:val="15"/>
          <w:szCs w:val="15"/>
          <w:color w:val="00529B"/>
        </w:rPr>
        <w:t xml:space="preserve"> shareholders maintaining continuous qualifying ownership of at least </w:t>
      </w:r>
      <w:r>
        <w:rPr>
          <w:rFonts w:ascii="Arial" w:cs="Arial" w:eastAsia="Arial" w:hAnsi="Arial"/>
          <w:sz w:val="15"/>
          <w:szCs w:val="15"/>
          <w:b w:val="1"/>
          <w:bCs w:val="1"/>
          <w:color w:val="00529B"/>
        </w:rPr>
        <w:t>3%</w:t>
      </w:r>
      <w:r>
        <w:rPr>
          <w:rFonts w:ascii="Arial" w:cs="Arial" w:eastAsia="Arial" w:hAnsi="Arial"/>
          <w:sz w:val="15"/>
          <w:szCs w:val="15"/>
          <w:color w:val="00529B"/>
        </w:rPr>
        <w:t xml:space="preserve"> of our outstanding shares for at least </w:t>
      </w:r>
      <w:r>
        <w:rPr>
          <w:rFonts w:ascii="Arial" w:cs="Arial" w:eastAsia="Arial" w:hAnsi="Arial"/>
          <w:sz w:val="15"/>
          <w:szCs w:val="15"/>
          <w:b w:val="1"/>
          <w:bCs w:val="1"/>
          <w:color w:val="00529B"/>
        </w:rPr>
        <w:t>3</w:t>
      </w:r>
      <w:r>
        <w:rPr>
          <w:rFonts w:ascii="Arial" w:cs="Arial" w:eastAsia="Arial" w:hAnsi="Arial"/>
          <w:sz w:val="15"/>
          <w:szCs w:val="15"/>
          <w:color w:val="00529B"/>
        </w:rPr>
        <w:t xml:space="preserve"> years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38" w:lineRule="auto"/>
        <w:rPr>
          <w:sz w:val="20"/>
          <w:szCs w:val="20"/>
          <w:color w:val="auto"/>
        </w:rPr>
      </w:pPr>
      <w:r>
        <w:rPr>
          <w:rFonts w:ascii="Arial" w:cs="Arial" w:eastAsia="Arial" w:hAnsi="Arial"/>
          <w:sz w:val="15"/>
          <w:szCs w:val="15"/>
          <w:color w:val="00529B"/>
        </w:rPr>
        <w:t xml:space="preserve">Can nominate, and have included in our proxy materials, director nominees constituting the greater of </w:t>
      </w:r>
      <w:r>
        <w:rPr>
          <w:rFonts w:ascii="Arial" w:cs="Arial" w:eastAsia="Arial" w:hAnsi="Arial"/>
          <w:sz w:val="15"/>
          <w:szCs w:val="15"/>
          <w:b w:val="1"/>
          <w:bCs w:val="1"/>
          <w:color w:val="00529B"/>
        </w:rPr>
        <w:t>2</w:t>
      </w:r>
      <w:r>
        <w:rPr>
          <w:rFonts w:ascii="Arial" w:cs="Arial" w:eastAsia="Arial" w:hAnsi="Arial"/>
          <w:sz w:val="15"/>
          <w:szCs w:val="15"/>
          <w:color w:val="00529B"/>
        </w:rPr>
        <w:t xml:space="preserve"> nominees or </w:t>
      </w:r>
      <w:r>
        <w:rPr>
          <w:rFonts w:ascii="Arial" w:cs="Arial" w:eastAsia="Arial" w:hAnsi="Arial"/>
          <w:sz w:val="15"/>
          <w:szCs w:val="15"/>
          <w:b w:val="1"/>
          <w:bCs w:val="1"/>
          <w:color w:val="00529B"/>
        </w:rPr>
        <w:t>20%</w:t>
      </w:r>
      <w:r>
        <w:rPr>
          <w:rFonts w:ascii="Arial" w:cs="Arial" w:eastAsia="Arial" w:hAnsi="Arial"/>
          <w:sz w:val="15"/>
          <w:szCs w:val="15"/>
          <w:color w:val="00529B"/>
        </w:rPr>
        <w:t xml:space="preserve"> (rounded down) of the Board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20"/>
        <w:spacing w:after="0" w:line="238" w:lineRule="auto"/>
        <w:rPr>
          <w:sz w:val="20"/>
          <w:szCs w:val="20"/>
          <w:color w:val="auto"/>
        </w:rPr>
      </w:pPr>
      <w:r>
        <w:rPr>
          <w:rFonts w:ascii="Arial" w:cs="Arial" w:eastAsia="Arial" w:hAnsi="Arial"/>
          <w:sz w:val="15"/>
          <w:szCs w:val="15"/>
          <w:color w:val="00529B"/>
        </w:rPr>
        <w:t>Nominating shareholder(s) and the nominee(s) must also meet the eligibility requirements described in Occidental’s By-laws.</w:t>
      </w:r>
    </w:p>
    <w:p>
      <w:pPr>
        <w:spacing w:after="0" w:line="160" w:lineRule="exact"/>
        <w:rPr>
          <w:sz w:val="20"/>
          <w:szCs w:val="20"/>
          <w:color w:val="auto"/>
        </w:rPr>
      </w:pPr>
    </w:p>
    <w:p>
      <w:pPr>
        <w:sectPr>
          <w:pgSz w:w="11900" w:h="16838" w:orient="portrait"/>
          <w:cols w:equalWidth="0" w:num="3">
            <w:col w:w="4260" w:space="500"/>
            <w:col w:w="3160" w:space="520"/>
            <w:col w:w="2800"/>
          </w:cols>
          <w:pgMar w:left="320" w:top="130" w:right="339" w:bottom="1440" w:gutter="0" w:footer="0" w:header="0"/>
          <w:type w:val="continuous"/>
        </w:sectPr>
      </w:pPr>
    </w:p>
    <w:p>
      <w:pPr>
        <w:spacing w:after="0"/>
        <w:rPr>
          <w:sz w:val="20"/>
          <w:szCs w:val="20"/>
          <w:color w:val="auto"/>
        </w:rPr>
      </w:pPr>
      <w:r>
        <w:rPr>
          <w:rFonts w:ascii="Arial" w:cs="Arial" w:eastAsia="Arial" w:hAnsi="Arial"/>
          <w:sz w:val="36"/>
          <w:szCs w:val="36"/>
          <w:b w:val="1"/>
          <w:bCs w:val="1"/>
          <w:color w:val="auto"/>
        </w:rPr>
        <w:t>Board of Directors and its Committees</w:t>
      </w: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Occidental is governed by its Board, which is led by an independent Chairman, and its five committees, composed entirely of independent directors. The structure of the Board and the responsibilities of its committees are described in more detail below.</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Director Independence</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Occidental’s governance policies require that independent directors comprise at least two-thirds of the members of the Board (a policy that exceeds NYSE requirements). The Board has affirmatively determined that each of our Board’s director nominees, other than Ms. Hollub, is independent. The Board also determined that Margarita Paláu-Hernández, who served as a director until the 2022 Annual Meeting, and Gary Hu and Andrew N. Langham, who served as directors until March 2022, each qualified as independent during his or her service on the Board.</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Independent Board Leadership Structure</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Occidental’s By-laws provide for the Board to annually elect one of its independent directors to be Chairman of the Board.</w:t>
      </w:r>
    </w:p>
    <w:p>
      <w:pPr>
        <w:spacing w:after="0" w:line="206" w:lineRule="exact"/>
        <w:rPr>
          <w:sz w:val="20"/>
          <w:szCs w:val="20"/>
          <w:color w:val="auto"/>
        </w:rPr>
      </w:pPr>
    </w:p>
    <w:p>
      <w:pPr>
        <w:ind w:right="280"/>
        <w:spacing w:after="0" w:line="264" w:lineRule="auto"/>
        <w:rPr>
          <w:sz w:val="20"/>
          <w:szCs w:val="20"/>
          <w:color w:val="auto"/>
        </w:rPr>
      </w:pPr>
      <w:r>
        <w:rPr>
          <w:rFonts w:ascii="Arial" w:cs="Arial" w:eastAsia="Arial" w:hAnsi="Arial"/>
          <w:sz w:val="15"/>
          <w:szCs w:val="15"/>
          <w:color w:val="auto"/>
        </w:rPr>
        <w:t>Mr. Moore has served as the Independent Chairman of the Board since September 2022. The Chairman of the Board presides at Board meetings and meetings of shareholders and his/her responsibilities include,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4484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371" w:lineRule="exact"/>
        <w:rPr>
          <w:sz w:val="20"/>
          <w:szCs w:val="20"/>
          <w:color w:val="auto"/>
        </w:rPr>
      </w:pPr>
    </w:p>
    <w:p>
      <w:pPr>
        <w:ind w:left="440" w:right="27" w:hanging="270"/>
        <w:spacing w:after="0" w:line="285" w:lineRule="auto"/>
        <w:tabs>
          <w:tab w:leader="none" w:pos="432" w:val="left"/>
        </w:tabs>
        <w:numPr>
          <w:ilvl w:val="0"/>
          <w:numId w:val="27"/>
        </w:numPr>
        <w:rPr>
          <w:rFonts w:ascii="Arial" w:cs="Arial" w:eastAsia="Arial" w:hAnsi="Arial"/>
          <w:sz w:val="14"/>
          <w:szCs w:val="14"/>
          <w:color w:val="00529B"/>
        </w:rPr>
      </w:pPr>
      <w:r>
        <w:rPr>
          <w:rFonts w:ascii="Arial" w:cs="Arial" w:eastAsia="Arial" w:hAnsi="Arial"/>
          <w:sz w:val="14"/>
          <w:szCs w:val="14"/>
          <w:color w:val="auto"/>
        </w:rPr>
        <w:t>Call meetings of the independent directors and chair executive sessions of the Board at which no members of management are present;</w:t>
      </w:r>
    </w:p>
    <w:p>
      <w:pPr>
        <w:spacing w:after="0" w:line="22" w:lineRule="exact"/>
        <w:rPr>
          <w:rFonts w:ascii="Arial" w:cs="Arial" w:eastAsia="Arial" w:hAnsi="Arial"/>
          <w:sz w:val="14"/>
          <w:szCs w:val="14"/>
          <w:color w:val="00529B"/>
        </w:rPr>
      </w:pPr>
    </w:p>
    <w:p>
      <w:pPr>
        <w:ind w:left="420" w:hanging="250"/>
        <w:spacing w:after="0"/>
        <w:tabs>
          <w:tab w:leader="none" w:pos="420" w:val="left"/>
        </w:tabs>
        <w:numPr>
          <w:ilvl w:val="0"/>
          <w:numId w:val="27"/>
        </w:numPr>
        <w:rPr>
          <w:rFonts w:ascii="Arial" w:cs="Arial" w:eastAsia="Arial" w:hAnsi="Arial"/>
          <w:sz w:val="14"/>
          <w:szCs w:val="14"/>
          <w:color w:val="00529B"/>
        </w:rPr>
      </w:pPr>
      <w:r>
        <w:rPr>
          <w:rFonts w:ascii="Arial" w:cs="Arial" w:eastAsia="Arial" w:hAnsi="Arial"/>
          <w:sz w:val="14"/>
          <w:szCs w:val="14"/>
          <w:color w:val="auto"/>
        </w:rPr>
        <w:t>Approve the agendas for Board and committee meetings;</w:t>
      </w:r>
    </w:p>
    <w:p>
      <w:pPr>
        <w:spacing w:after="0" w:line="95" w:lineRule="exact"/>
        <w:rPr>
          <w:rFonts w:ascii="Arial" w:cs="Arial" w:eastAsia="Arial" w:hAnsi="Arial"/>
          <w:sz w:val="14"/>
          <w:szCs w:val="14"/>
          <w:color w:val="00529B"/>
        </w:rPr>
      </w:pPr>
    </w:p>
    <w:p>
      <w:pPr>
        <w:ind w:left="440" w:right="47" w:hanging="270"/>
        <w:spacing w:after="0" w:line="285" w:lineRule="auto"/>
        <w:tabs>
          <w:tab w:leader="none" w:pos="432" w:val="left"/>
        </w:tabs>
        <w:numPr>
          <w:ilvl w:val="0"/>
          <w:numId w:val="27"/>
        </w:numPr>
        <w:rPr>
          <w:rFonts w:ascii="Arial" w:cs="Arial" w:eastAsia="Arial" w:hAnsi="Arial"/>
          <w:sz w:val="14"/>
          <w:szCs w:val="14"/>
          <w:color w:val="00529B"/>
        </w:rPr>
      </w:pPr>
      <w:r>
        <w:rPr>
          <w:rFonts w:ascii="Arial" w:cs="Arial" w:eastAsia="Arial" w:hAnsi="Arial"/>
          <w:sz w:val="14"/>
          <w:szCs w:val="14"/>
          <w:color w:val="auto"/>
        </w:rPr>
        <w:t>Propose a schedule of Board meetings and the information to be provided by management for Board consideration;</w:t>
      </w:r>
    </w:p>
    <w:p>
      <w:pPr>
        <w:spacing w:after="0" w:line="36" w:lineRule="exact"/>
        <w:rPr>
          <w:rFonts w:ascii="Arial" w:cs="Arial" w:eastAsia="Arial" w:hAnsi="Arial"/>
          <w:sz w:val="14"/>
          <w:szCs w:val="14"/>
          <w:color w:val="00529B"/>
        </w:rPr>
      </w:pPr>
    </w:p>
    <w:p>
      <w:pPr>
        <w:ind w:left="440" w:hanging="270"/>
        <w:spacing w:after="0"/>
        <w:tabs>
          <w:tab w:leader="none" w:pos="440" w:val="left"/>
        </w:tabs>
        <w:numPr>
          <w:ilvl w:val="0"/>
          <w:numId w:val="27"/>
        </w:numPr>
        <w:rPr>
          <w:rFonts w:ascii="Arial" w:cs="Arial" w:eastAsia="Arial" w:hAnsi="Arial"/>
          <w:sz w:val="14"/>
          <w:szCs w:val="14"/>
          <w:color w:val="00529B"/>
        </w:rPr>
      </w:pPr>
      <w:r>
        <w:rPr>
          <w:rFonts w:ascii="Arial" w:cs="Arial" w:eastAsia="Arial" w:hAnsi="Arial"/>
          <w:sz w:val="14"/>
          <w:szCs w:val="14"/>
          <w:color w:val="auto"/>
        </w:rPr>
        <w:t>Recommend the retention of consultants who report directly to the Board;</w:t>
      </w:r>
    </w:p>
    <w:p>
      <w:pPr>
        <w:spacing w:after="0" w:line="82" w:lineRule="exact"/>
        <w:rPr>
          <w:rFonts w:ascii="Arial" w:cs="Arial" w:eastAsia="Arial" w:hAnsi="Arial"/>
          <w:sz w:val="14"/>
          <w:szCs w:val="14"/>
          <w:color w:val="00529B"/>
        </w:rPr>
      </w:pPr>
    </w:p>
    <w:p>
      <w:pPr>
        <w:ind w:left="440" w:right="27" w:hanging="270"/>
        <w:spacing w:after="0" w:line="285" w:lineRule="auto"/>
        <w:tabs>
          <w:tab w:leader="none" w:pos="424" w:val="left"/>
        </w:tabs>
        <w:numPr>
          <w:ilvl w:val="0"/>
          <w:numId w:val="27"/>
        </w:numPr>
        <w:rPr>
          <w:rFonts w:ascii="Arial" w:cs="Arial" w:eastAsia="Arial" w:hAnsi="Arial"/>
          <w:sz w:val="14"/>
          <w:szCs w:val="14"/>
          <w:color w:val="00529B"/>
        </w:rPr>
      </w:pPr>
      <w:r>
        <w:rPr>
          <w:rFonts w:ascii="Arial" w:cs="Arial" w:eastAsia="Arial" w:hAnsi="Arial"/>
          <w:sz w:val="14"/>
          <w:szCs w:val="14"/>
          <w:color w:val="auto"/>
        </w:rPr>
        <w:t>Assist in assuring compliance with the Corporate Governance Policies and recommend revisions to the policies;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273" w:right="280" w:hanging="273"/>
        <w:spacing w:after="0" w:line="271" w:lineRule="auto"/>
        <w:tabs>
          <w:tab w:leader="none" w:pos="265" w:val="left"/>
        </w:tabs>
        <w:numPr>
          <w:ilvl w:val="0"/>
          <w:numId w:val="28"/>
        </w:numPr>
        <w:rPr>
          <w:rFonts w:ascii="Arial" w:cs="Arial" w:eastAsia="Arial" w:hAnsi="Arial"/>
          <w:sz w:val="14"/>
          <w:szCs w:val="14"/>
          <w:color w:val="00529B"/>
        </w:rPr>
      </w:pPr>
      <w:r>
        <w:rPr>
          <w:rFonts w:ascii="Arial" w:cs="Arial" w:eastAsia="Arial" w:hAnsi="Arial"/>
          <w:sz w:val="14"/>
          <w:szCs w:val="14"/>
          <w:color w:val="auto"/>
        </w:rPr>
        <w:t>Evaluate, along with the members of the Compensation Committee and the other independent directors, the performance of the Chief Executive Officer;</w:t>
      </w:r>
    </w:p>
    <w:p>
      <w:pPr>
        <w:spacing w:after="0" w:line="203" w:lineRule="exact"/>
        <w:rPr>
          <w:rFonts w:ascii="Arial" w:cs="Arial" w:eastAsia="Arial" w:hAnsi="Arial"/>
          <w:sz w:val="14"/>
          <w:szCs w:val="14"/>
          <w:color w:val="00529B"/>
        </w:rPr>
      </w:pPr>
    </w:p>
    <w:p>
      <w:pPr>
        <w:ind w:left="273" w:right="720" w:hanging="273"/>
        <w:spacing w:after="0" w:line="263" w:lineRule="auto"/>
        <w:tabs>
          <w:tab w:leader="none" w:pos="265" w:val="left"/>
        </w:tabs>
        <w:numPr>
          <w:ilvl w:val="0"/>
          <w:numId w:val="28"/>
        </w:numPr>
        <w:rPr>
          <w:rFonts w:ascii="Arial" w:cs="Arial" w:eastAsia="Arial" w:hAnsi="Arial"/>
          <w:sz w:val="14"/>
          <w:szCs w:val="14"/>
          <w:color w:val="00529B"/>
        </w:rPr>
      </w:pPr>
      <w:r>
        <w:rPr>
          <w:rFonts w:ascii="Arial" w:cs="Arial" w:eastAsia="Arial" w:hAnsi="Arial"/>
          <w:sz w:val="14"/>
          <w:szCs w:val="14"/>
          <w:color w:val="auto"/>
        </w:rPr>
        <w:t>Consult with other Board members as to recommendations on the membership and chairpersons of the Board committees and discuss recommendations with the Governance Committee;</w:t>
      </w:r>
    </w:p>
    <w:p>
      <w:pPr>
        <w:spacing w:after="0" w:line="51" w:lineRule="exact"/>
        <w:rPr>
          <w:rFonts w:ascii="Arial" w:cs="Arial" w:eastAsia="Arial" w:hAnsi="Arial"/>
          <w:sz w:val="14"/>
          <w:szCs w:val="14"/>
          <w:color w:val="00529B"/>
        </w:rPr>
      </w:pPr>
    </w:p>
    <w:p>
      <w:pPr>
        <w:ind w:left="273" w:right="440" w:hanging="273"/>
        <w:spacing w:after="0" w:line="263" w:lineRule="auto"/>
        <w:tabs>
          <w:tab w:leader="none" w:pos="265" w:val="left"/>
        </w:tabs>
        <w:numPr>
          <w:ilvl w:val="0"/>
          <w:numId w:val="28"/>
        </w:numPr>
        <w:rPr>
          <w:rFonts w:ascii="Arial" w:cs="Arial" w:eastAsia="Arial" w:hAnsi="Arial"/>
          <w:sz w:val="14"/>
          <w:szCs w:val="14"/>
          <w:color w:val="00529B"/>
        </w:rPr>
      </w:pPr>
      <w:r>
        <w:rPr>
          <w:rFonts w:ascii="Arial" w:cs="Arial" w:eastAsia="Arial" w:hAnsi="Arial"/>
          <w:sz w:val="14"/>
          <w:szCs w:val="14"/>
          <w:color w:val="auto"/>
        </w:rPr>
        <w:t>Communicate to the CEO the views of the independent directors and the Board committees with respect to objectives set for management by the Board; and</w:t>
      </w:r>
    </w:p>
    <w:p>
      <w:pPr>
        <w:spacing w:after="0" w:line="51" w:lineRule="exact"/>
        <w:rPr>
          <w:rFonts w:ascii="Arial" w:cs="Arial" w:eastAsia="Arial" w:hAnsi="Arial"/>
          <w:sz w:val="14"/>
          <w:szCs w:val="14"/>
          <w:color w:val="00529B"/>
        </w:rPr>
      </w:pPr>
    </w:p>
    <w:p>
      <w:pPr>
        <w:ind w:left="253" w:hanging="253"/>
        <w:spacing w:after="0"/>
        <w:tabs>
          <w:tab w:leader="none" w:pos="253" w:val="left"/>
        </w:tabs>
        <w:numPr>
          <w:ilvl w:val="0"/>
          <w:numId w:val="28"/>
        </w:numPr>
        <w:rPr>
          <w:rFonts w:ascii="Arial" w:cs="Arial" w:eastAsia="Arial" w:hAnsi="Arial"/>
          <w:sz w:val="14"/>
          <w:szCs w:val="14"/>
          <w:color w:val="00529B"/>
        </w:rPr>
      </w:pPr>
      <w:r>
        <w:rPr>
          <w:rFonts w:ascii="Arial" w:cs="Arial" w:eastAsia="Arial" w:hAnsi="Arial"/>
          <w:sz w:val="14"/>
          <w:szCs w:val="14"/>
          <w:color w:val="auto"/>
        </w:rPr>
        <w:t>Serve as a liaison between the Board and Occidental’s shareholders.</w:t>
      </w:r>
    </w:p>
    <w:p>
      <w:pPr>
        <w:spacing w:after="0" w:line="200" w:lineRule="exact"/>
        <w:rPr>
          <w:sz w:val="20"/>
          <w:szCs w:val="20"/>
          <w:color w:val="auto"/>
        </w:rPr>
      </w:pPr>
    </w:p>
    <w:p>
      <w:pPr>
        <w:sectPr>
          <w:pgSz w:w="11900" w:h="16838" w:orient="portrait"/>
          <w:cols w:equalWidth="0" w:num="2">
            <w:col w:w="5187" w:space="720"/>
            <w:col w:w="5333"/>
          </w:cols>
          <w:pgMar w:left="320" w:top="130" w:right="3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Corporate Governance</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Occidental’s By-laws provide that the Board may also elect a Vice Chairman from among the independent directors to perform the duties of the Chairman in the absence or disability of the Chairman. Prior to Mr. Moore’s appointment as Independent Chairman, he served as the Independent Vice Chairman of the Board since September 2019, which allowed for a more seamless transition into his role as Chairman.</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Board Committees</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The committees of the Board are composed entirely of independent directors. The primary responsibilities of the committees are described below. From time to time, the Board of Directors delegates additional duties to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074545" cy="265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74545" cy="26543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AUDIT COMMITTEE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MEMBERS: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Robert M. Shearer (Chair)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Andrew Gould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Carlos M. Gutierrez</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Avedick B. Poladian</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 xml:space="preserve">MEETINGS IN 2022: </w:t>
      </w:r>
      <w:r>
        <w:rPr>
          <w:rFonts w:ascii="Arial" w:cs="Arial" w:eastAsia="Arial" w:hAnsi="Arial"/>
          <w:sz w:val="14"/>
          <w:szCs w:val="14"/>
          <w:color w:val="000000"/>
        </w:rPr>
        <w:t>4</w:t>
      </w:r>
    </w:p>
    <w:p>
      <w:pPr>
        <w:spacing w:after="0" w:line="96" w:lineRule="exact"/>
        <w:rPr>
          <w:sz w:val="20"/>
          <w:szCs w:val="20"/>
          <w:color w:val="auto"/>
        </w:rPr>
      </w:pPr>
    </w:p>
    <w:p>
      <w:pPr>
        <w:ind w:left="120" w:right="20"/>
        <w:spacing w:after="0" w:line="252" w:lineRule="auto"/>
        <w:rPr>
          <w:sz w:val="20"/>
          <w:szCs w:val="20"/>
          <w:color w:val="auto"/>
        </w:rPr>
      </w:pPr>
      <w:r>
        <w:rPr>
          <w:rFonts w:ascii="Arial" w:cs="Arial" w:eastAsia="Arial" w:hAnsi="Arial"/>
          <w:sz w:val="14"/>
          <w:szCs w:val="14"/>
          <w:color w:val="auto"/>
        </w:rPr>
        <w:t>The Audit Committee members are independent and the Board has determined that each Audit Committee member is an “audit committee financial expert” within the meaning of the SEC’s regulations.</w:t>
      </w:r>
    </w:p>
    <w:p>
      <w:pPr>
        <w:spacing w:after="0" w:line="181" w:lineRule="exact"/>
        <w:rPr>
          <w:sz w:val="20"/>
          <w:szCs w:val="20"/>
          <w:color w:val="auto"/>
        </w:rPr>
      </w:pPr>
    </w:p>
    <w:p>
      <w:pPr>
        <w:jc w:val="both"/>
        <w:ind w:left="120"/>
        <w:spacing w:after="0" w:line="263" w:lineRule="auto"/>
        <w:rPr>
          <w:sz w:val="20"/>
          <w:szCs w:val="20"/>
          <w:color w:val="auto"/>
        </w:rPr>
      </w:pPr>
      <w:r>
        <w:rPr>
          <w:rFonts w:ascii="Arial" w:cs="Arial" w:eastAsia="Arial" w:hAnsi="Arial"/>
          <w:sz w:val="14"/>
          <w:szCs w:val="14"/>
          <w:color w:val="auto"/>
        </w:rPr>
        <w:t>The Audit Committee Report with respect to Occidental’s financial statements is on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3720465" cy="274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7204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-181610</wp:posOffset>
            </wp:positionV>
            <wp:extent cx="7140575" cy="19799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0575" cy="1979930"/>
                    </a:xfrm>
                    <a:prstGeom prst="rect">
                      <a:avLst/>
                    </a:prstGeom>
                    <a:noFill/>
                  </pic:spPr>
                </pic:pic>
              </a:graphicData>
            </a:graphic>
          </wp:anchor>
        </w:drawing>
      </w:r>
    </w:p>
    <w:p>
      <w:pPr>
        <w:spacing w:after="0" w:line="67"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Engage and evaluate the independent auditor</w:t>
      </w:r>
    </w:p>
    <w:p>
      <w:pPr>
        <w:spacing w:after="0" w:line="70" w:lineRule="exact"/>
        <w:rPr>
          <w:rFonts w:ascii="Arial" w:cs="Arial" w:eastAsia="Arial" w:hAnsi="Arial"/>
          <w:sz w:val="15"/>
          <w:szCs w:val="15"/>
          <w:color w:val="00529B"/>
        </w:rPr>
      </w:pPr>
    </w:p>
    <w:p>
      <w:pPr>
        <w:ind w:left="200" w:right="100" w:hanging="192"/>
        <w:spacing w:after="0" w:line="264" w:lineRule="auto"/>
        <w:tabs>
          <w:tab w:leader="none" w:pos="196"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Discuss the scope and results of the audit with the independent auditor and matters required to be discussed by the Public Company Accounting Oversight Board (PCAOB)</w:t>
      </w:r>
    </w:p>
    <w:p>
      <w:pPr>
        <w:spacing w:after="0" w:line="39" w:lineRule="exact"/>
        <w:rPr>
          <w:rFonts w:ascii="Arial" w:cs="Arial" w:eastAsia="Arial" w:hAnsi="Arial"/>
          <w:sz w:val="15"/>
          <w:szCs w:val="15"/>
          <w:color w:val="00529B"/>
        </w:rPr>
      </w:pPr>
    </w:p>
    <w:p>
      <w:pPr>
        <w:ind w:left="200" w:hanging="192"/>
        <w:spacing w:after="0"/>
        <w:tabs>
          <w:tab w:leader="none" w:pos="200"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Oversee financial reporting and accounting principles and controls and the internal audit function</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Review internal audit reports and responsive actions by management</w:t>
      </w:r>
    </w:p>
    <w:p>
      <w:pPr>
        <w:spacing w:after="0" w:line="70" w:lineRule="exact"/>
        <w:rPr>
          <w:rFonts w:ascii="Arial" w:cs="Arial" w:eastAsia="Arial" w:hAnsi="Arial"/>
          <w:sz w:val="15"/>
          <w:szCs w:val="15"/>
          <w:color w:val="00529B"/>
        </w:rPr>
      </w:pPr>
    </w:p>
    <w:p>
      <w:pPr>
        <w:ind w:left="200" w:hanging="192"/>
        <w:spacing w:after="0"/>
        <w:tabs>
          <w:tab w:leader="none" w:pos="200"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Review matters relating to financial risk</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Evaluate the independent auditor’s qualifications, performance and independence</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Oversee matters relating to Occidental’s Code of Business Conduct</w:t>
      </w:r>
    </w:p>
    <w:p>
      <w:pPr>
        <w:spacing w:after="0" w:line="70" w:lineRule="exact"/>
        <w:rPr>
          <w:rFonts w:ascii="Arial" w:cs="Arial" w:eastAsia="Arial" w:hAnsi="Arial"/>
          <w:sz w:val="15"/>
          <w:szCs w:val="15"/>
          <w:color w:val="00529B"/>
        </w:rPr>
      </w:pPr>
    </w:p>
    <w:p>
      <w:pPr>
        <w:ind w:left="200" w:right="180" w:hanging="192"/>
        <w:spacing w:after="0" w:line="264" w:lineRule="auto"/>
        <w:tabs>
          <w:tab w:leader="none" w:pos="196" w:val="left"/>
        </w:tabs>
        <w:numPr>
          <w:ilvl w:val="0"/>
          <w:numId w:val="29"/>
        </w:numPr>
        <w:rPr>
          <w:rFonts w:ascii="Arial" w:cs="Arial" w:eastAsia="Arial" w:hAnsi="Arial"/>
          <w:sz w:val="15"/>
          <w:szCs w:val="15"/>
          <w:color w:val="00529B"/>
        </w:rPr>
      </w:pPr>
      <w:r>
        <w:rPr>
          <w:rFonts w:ascii="Arial" w:cs="Arial" w:eastAsia="Arial" w:hAnsi="Arial"/>
          <w:sz w:val="15"/>
          <w:szCs w:val="15"/>
          <w:color w:val="auto"/>
        </w:rPr>
        <w:t>Assist the Board in monitoring the integrity of Occidental’s financial statements and Occidental’s compliance with legal and regulatory requirements with respect to financial matters</w:t>
      </w:r>
    </w:p>
    <w:p>
      <w:pPr>
        <w:spacing w:after="0" w:line="546" w:lineRule="exact"/>
        <w:rPr>
          <w:sz w:val="20"/>
          <w:szCs w:val="20"/>
          <w:color w:val="auto"/>
        </w:rPr>
      </w:pPr>
    </w:p>
    <w:p>
      <w:pPr>
        <w:sectPr>
          <w:pgSz w:w="11900" w:h="16838" w:orient="portrait"/>
          <w:cols w:equalWidth="0" w:num="2">
            <w:col w:w="2920" w:space="540"/>
            <w:col w:w="7660"/>
          </w:cols>
          <w:pgMar w:left="320" w:top="130" w:right="459" w:bottom="1440" w:gutter="0" w:footer="0" w:header="0"/>
          <w:type w:val="continuous"/>
        </w:sect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ENVIRONMENTAL, HEALTH AND SAFETY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40575" cy="10972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0575" cy="109728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MEMBERS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William R. Klesse (Chair)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Andrew Gould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Robert M. Shearer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 xml:space="preserve">MEETINGS IN 2022: </w:t>
      </w:r>
      <w:r>
        <w:rPr>
          <w:rFonts w:ascii="Arial" w:cs="Arial" w:eastAsia="Arial" w:hAnsi="Arial"/>
          <w:sz w:val="14"/>
          <w:szCs w:val="14"/>
          <w:color w:val="000000"/>
        </w:rPr>
        <w:t>4*</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141" w:lineRule="exact"/>
        <w:rPr>
          <w:sz w:val="20"/>
          <w:szCs w:val="20"/>
          <w:color w:val="auto"/>
        </w:rPr>
      </w:pPr>
    </w:p>
    <w:p>
      <w:pPr>
        <w:ind w:left="180" w:right="560" w:hanging="172"/>
        <w:spacing w:after="0" w:line="264" w:lineRule="auto"/>
        <w:tabs>
          <w:tab w:leader="none" w:pos="194" w:val="left"/>
        </w:tabs>
        <w:numPr>
          <w:ilvl w:val="0"/>
          <w:numId w:val="30"/>
        </w:numPr>
        <w:rPr>
          <w:rFonts w:ascii="Arial" w:cs="Arial" w:eastAsia="Arial" w:hAnsi="Arial"/>
          <w:sz w:val="15"/>
          <w:szCs w:val="15"/>
          <w:color w:val="00529B"/>
        </w:rPr>
      </w:pPr>
      <w:r>
        <w:rPr>
          <w:rFonts w:ascii="Arial" w:cs="Arial" w:eastAsia="Arial" w:hAnsi="Arial"/>
          <w:sz w:val="15"/>
          <w:szCs w:val="15"/>
          <w:color w:val="auto"/>
        </w:rPr>
        <w:t>Review and discuss with management the status of environmental, health and safety issues, including compliance with applicable laws and regulations</w:t>
      </w:r>
    </w:p>
    <w:p>
      <w:pPr>
        <w:spacing w:after="0" w:line="25" w:lineRule="exact"/>
        <w:rPr>
          <w:rFonts w:ascii="Arial" w:cs="Arial" w:eastAsia="Arial" w:hAnsi="Arial"/>
          <w:sz w:val="15"/>
          <w:szCs w:val="15"/>
          <w:color w:val="00529B"/>
        </w:rPr>
      </w:pPr>
    </w:p>
    <w:p>
      <w:pPr>
        <w:ind w:left="200" w:hanging="192"/>
        <w:spacing w:after="0"/>
        <w:tabs>
          <w:tab w:leader="none" w:pos="200" w:val="left"/>
        </w:tabs>
        <w:numPr>
          <w:ilvl w:val="0"/>
          <w:numId w:val="30"/>
        </w:numPr>
        <w:rPr>
          <w:rFonts w:ascii="Arial" w:cs="Arial" w:eastAsia="Arial" w:hAnsi="Arial"/>
          <w:sz w:val="15"/>
          <w:szCs w:val="15"/>
          <w:color w:val="00529B"/>
        </w:rPr>
      </w:pPr>
      <w:r>
        <w:rPr>
          <w:rFonts w:ascii="Arial" w:cs="Arial" w:eastAsia="Arial" w:hAnsi="Arial"/>
          <w:sz w:val="15"/>
          <w:szCs w:val="15"/>
          <w:color w:val="auto"/>
        </w:rPr>
        <w:t>Review and discuss the results of internal compliance reviews and remediation projects</w:t>
      </w:r>
    </w:p>
    <w:p>
      <w:pPr>
        <w:spacing w:after="0" w:line="84" w:lineRule="exact"/>
        <w:rPr>
          <w:rFonts w:ascii="Arial" w:cs="Arial" w:eastAsia="Arial" w:hAnsi="Arial"/>
          <w:sz w:val="15"/>
          <w:szCs w:val="15"/>
          <w:color w:val="00529B"/>
        </w:rPr>
      </w:pPr>
    </w:p>
    <w:p>
      <w:pPr>
        <w:ind w:left="180" w:right="20" w:hanging="172"/>
        <w:spacing w:after="0" w:line="264" w:lineRule="auto"/>
        <w:tabs>
          <w:tab w:leader="none" w:pos="194" w:val="left"/>
        </w:tabs>
        <w:numPr>
          <w:ilvl w:val="0"/>
          <w:numId w:val="30"/>
        </w:numPr>
        <w:rPr>
          <w:rFonts w:ascii="Arial" w:cs="Arial" w:eastAsia="Arial" w:hAnsi="Arial"/>
          <w:sz w:val="15"/>
          <w:szCs w:val="15"/>
          <w:color w:val="00529B"/>
        </w:rPr>
      </w:pPr>
      <w:r>
        <w:rPr>
          <w:rFonts w:ascii="Arial" w:cs="Arial" w:eastAsia="Arial" w:hAnsi="Arial"/>
          <w:sz w:val="15"/>
          <w:szCs w:val="15"/>
          <w:color w:val="auto"/>
        </w:rPr>
        <w:t>Review and discuss with management Occidental’s environmental, health and safety performance and related initiatives</w:t>
      </w:r>
    </w:p>
    <w:p>
      <w:pPr>
        <w:spacing w:after="0" w:line="200" w:lineRule="exact"/>
        <w:rPr>
          <w:sz w:val="20"/>
          <w:szCs w:val="20"/>
          <w:color w:val="auto"/>
        </w:rPr>
      </w:pPr>
    </w:p>
    <w:p>
      <w:pPr>
        <w:sectPr>
          <w:pgSz w:w="11900" w:h="16838" w:orient="portrait"/>
          <w:cols w:equalWidth="0" w:num="2">
            <w:col w:w="2740" w:space="720"/>
            <w:col w:w="7660"/>
          </w:cols>
          <w:pgMar w:left="320" w:top="130" w:right="459" w:bottom="1440" w:gutter="0" w:footer="0" w:header="0"/>
          <w:type w:val="continuous"/>
        </w:sectPr>
      </w:pPr>
    </w:p>
    <w:p>
      <w:pPr>
        <w:spacing w:after="0" w:line="324"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2"/>
          <w:szCs w:val="12"/>
          <w:color w:val="auto"/>
        </w:rPr>
        <w:t>Does not include a joint meeting of the EH&amp;S and S&amp;SE Committees to discuss the company’s GHG emissions and associated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274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217670" cy="265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17670" cy="265430"/>
                    </a:xfrm>
                    <a:prstGeom prst="rect">
                      <a:avLst/>
                    </a:prstGeom>
                    <a:noFill/>
                  </pic:spPr>
                </pic:pic>
              </a:graphicData>
            </a:graphic>
          </wp:anchor>
        </w:drawing>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40575" cy="1808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0575" cy="18084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MEMBERS: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Avedick B. Poladian (Chair)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Vicky A. Bailey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Carlos M. Gutierrez</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Jack B. Moore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Claire O’Neill</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 xml:space="preserve">MEETINGS IN 2022: </w:t>
      </w:r>
      <w:r>
        <w:rPr>
          <w:rFonts w:ascii="Arial" w:cs="Arial" w:eastAsia="Arial" w:hAnsi="Arial"/>
          <w:sz w:val="14"/>
          <w:szCs w:val="14"/>
          <w:color w:val="000000"/>
        </w:rPr>
        <w:t>3</w:t>
      </w:r>
    </w:p>
    <w:p>
      <w:pPr>
        <w:spacing w:after="0" w:line="96" w:lineRule="exact"/>
        <w:rPr>
          <w:sz w:val="20"/>
          <w:szCs w:val="20"/>
          <w:color w:val="auto"/>
        </w:rPr>
      </w:pPr>
    </w:p>
    <w:p>
      <w:pPr>
        <w:ind w:left="120"/>
        <w:spacing w:after="0" w:line="252" w:lineRule="auto"/>
        <w:rPr>
          <w:sz w:val="20"/>
          <w:szCs w:val="20"/>
          <w:color w:val="auto"/>
        </w:rPr>
      </w:pPr>
      <w:r>
        <w:rPr>
          <w:rFonts w:ascii="Arial" w:cs="Arial" w:eastAsia="Arial" w:hAnsi="Arial"/>
          <w:sz w:val="14"/>
          <w:szCs w:val="14"/>
          <w:color w:val="auto"/>
        </w:rPr>
        <w:t>It is the policy of the Governance Committee to consider nominees to the Board recommended by Occidental’s shareholders. See pages 91-92 for information regarding how to recommend nominees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3000375" cy="265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0037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87"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5"/>
          <w:szCs w:val="15"/>
          <w:color w:val="00529B"/>
        </w:rPr>
      </w:pPr>
      <w:r>
        <w:rPr>
          <w:rFonts w:ascii="Arial" w:cs="Arial" w:eastAsia="Arial" w:hAnsi="Arial"/>
          <w:sz w:val="15"/>
          <w:szCs w:val="15"/>
          <w:color w:val="auto"/>
        </w:rPr>
        <w:t>Recommend candidates for election to the Board</w:t>
      </w:r>
    </w:p>
    <w:p>
      <w:pPr>
        <w:spacing w:after="0" w:line="70" w:lineRule="exact"/>
        <w:rPr>
          <w:rFonts w:ascii="Arial" w:cs="Arial" w:eastAsia="Arial" w:hAnsi="Arial"/>
          <w:sz w:val="15"/>
          <w:szCs w:val="15"/>
          <w:color w:val="00529B"/>
        </w:rPr>
      </w:pPr>
    </w:p>
    <w:p>
      <w:pPr>
        <w:ind w:left="200" w:hanging="192"/>
        <w:spacing w:after="0"/>
        <w:tabs>
          <w:tab w:leader="none" w:pos="200" w:val="left"/>
        </w:tabs>
        <w:numPr>
          <w:ilvl w:val="0"/>
          <w:numId w:val="32"/>
        </w:numPr>
        <w:rPr>
          <w:rFonts w:ascii="Arial" w:cs="Arial" w:eastAsia="Arial" w:hAnsi="Arial"/>
          <w:sz w:val="15"/>
          <w:szCs w:val="15"/>
          <w:color w:val="00529B"/>
        </w:rPr>
      </w:pPr>
      <w:r>
        <w:rPr>
          <w:rFonts w:ascii="Arial" w:cs="Arial" w:eastAsia="Arial" w:hAnsi="Arial"/>
          <w:sz w:val="15"/>
          <w:szCs w:val="15"/>
          <w:color w:val="auto"/>
        </w:rPr>
        <w:t>Review and interpret Occidental’s Corporate Governance Policies and consider other governance issues</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32"/>
        </w:numPr>
        <w:rPr>
          <w:rFonts w:ascii="Arial" w:cs="Arial" w:eastAsia="Arial" w:hAnsi="Arial"/>
          <w:sz w:val="15"/>
          <w:szCs w:val="15"/>
          <w:color w:val="00529B"/>
        </w:rPr>
      </w:pPr>
      <w:r>
        <w:rPr>
          <w:rFonts w:ascii="Arial" w:cs="Arial" w:eastAsia="Arial" w:hAnsi="Arial"/>
          <w:sz w:val="15"/>
          <w:szCs w:val="15"/>
          <w:color w:val="auto"/>
        </w:rPr>
        <w:t>Review and approve related party transactions</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32"/>
        </w:numPr>
        <w:rPr>
          <w:rFonts w:ascii="Arial" w:cs="Arial" w:eastAsia="Arial" w:hAnsi="Arial"/>
          <w:sz w:val="15"/>
          <w:szCs w:val="15"/>
          <w:color w:val="00529B"/>
        </w:rPr>
      </w:pPr>
      <w:r>
        <w:rPr>
          <w:rFonts w:ascii="Arial" w:cs="Arial" w:eastAsia="Arial" w:hAnsi="Arial"/>
          <w:sz w:val="15"/>
          <w:szCs w:val="15"/>
          <w:color w:val="auto"/>
        </w:rPr>
        <w:t>Oversee the evaluation of the Board, its committees and the individual directors</w:t>
      </w:r>
    </w:p>
    <w:p>
      <w:pPr>
        <w:spacing w:after="0" w:line="70" w:lineRule="exact"/>
        <w:rPr>
          <w:rFonts w:ascii="Arial" w:cs="Arial" w:eastAsia="Arial" w:hAnsi="Arial"/>
          <w:sz w:val="15"/>
          <w:szCs w:val="15"/>
          <w:color w:val="00529B"/>
        </w:rPr>
      </w:pPr>
    </w:p>
    <w:p>
      <w:pPr>
        <w:ind w:left="180" w:right="140" w:hanging="172"/>
        <w:spacing w:after="0" w:line="264" w:lineRule="auto"/>
        <w:tabs>
          <w:tab w:leader="none" w:pos="194" w:val="left"/>
        </w:tabs>
        <w:numPr>
          <w:ilvl w:val="0"/>
          <w:numId w:val="32"/>
        </w:numPr>
        <w:rPr>
          <w:rFonts w:ascii="Arial" w:cs="Arial" w:eastAsia="Arial" w:hAnsi="Arial"/>
          <w:sz w:val="15"/>
          <w:szCs w:val="15"/>
          <w:color w:val="00529B"/>
        </w:rPr>
      </w:pPr>
      <w:r>
        <w:rPr>
          <w:rFonts w:ascii="Arial" w:cs="Arial" w:eastAsia="Arial" w:hAnsi="Arial"/>
          <w:sz w:val="15"/>
          <w:szCs w:val="15"/>
          <w:color w:val="auto"/>
        </w:rPr>
        <w:t>Evaluate and make recommendations to the Board regarding the compensation and benefits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669925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687070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704215</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721360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16" w:lineRule="exact"/>
        <w:rPr>
          <w:sz w:val="20"/>
          <w:szCs w:val="20"/>
          <w:color w:val="auto"/>
        </w:rPr>
      </w:pPr>
    </w:p>
    <w:p>
      <w:pPr>
        <w:sectPr>
          <w:pgSz w:w="11900" w:h="16838" w:orient="portrait"/>
          <w:cols w:equalWidth="0" w:num="2">
            <w:col w:w="2980" w:space="480"/>
            <w:col w:w="7780"/>
          </w:cols>
          <w:pgMar w:left="320" w:top="130" w:right="339" w:bottom="1440" w:gutter="0" w:footer="0" w:header="0"/>
          <w:type w:val="continuous"/>
        </w:sect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EXECUTIVE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0575" cy="12941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0575" cy="12941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MEMBERS: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Jack B. Moore (Chair)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William R. Klesse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Avedick B. Poladian</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 xml:space="preserve">MEETINGS IN 2022: </w:t>
      </w:r>
      <w:r>
        <w:rPr>
          <w:rFonts w:ascii="Arial" w:cs="Arial" w:eastAsia="Arial" w:hAnsi="Arial"/>
          <w:sz w:val="14"/>
          <w:szCs w:val="14"/>
          <w:color w:val="000000"/>
        </w:rPr>
        <w:t>4</w:t>
      </w:r>
    </w:p>
    <w:p>
      <w:pPr>
        <w:spacing w:after="0" w:line="96" w:lineRule="exact"/>
        <w:rPr>
          <w:sz w:val="20"/>
          <w:szCs w:val="20"/>
          <w:color w:val="auto"/>
        </w:rPr>
      </w:pPr>
    </w:p>
    <w:p>
      <w:pPr>
        <w:ind w:left="120"/>
        <w:spacing w:after="0" w:line="285" w:lineRule="auto"/>
        <w:rPr>
          <w:sz w:val="20"/>
          <w:szCs w:val="20"/>
          <w:color w:val="auto"/>
        </w:rPr>
      </w:pPr>
      <w:r>
        <w:rPr>
          <w:rFonts w:ascii="Arial" w:cs="Arial" w:eastAsia="Arial" w:hAnsi="Arial"/>
          <w:sz w:val="14"/>
          <w:szCs w:val="14"/>
          <w:color w:val="auto"/>
        </w:rPr>
        <w:t>The Compensation Committee’s report on executive compensation is on page 60.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87"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5"/>
          <w:szCs w:val="15"/>
          <w:color w:val="00529B"/>
        </w:rPr>
      </w:pPr>
      <w:r>
        <w:rPr>
          <w:rFonts w:ascii="Arial" w:cs="Arial" w:eastAsia="Arial" w:hAnsi="Arial"/>
          <w:sz w:val="15"/>
          <w:szCs w:val="15"/>
          <w:color w:val="auto"/>
        </w:rPr>
        <w:t>Review the performance of the CEO and determine CEO compensation based on this evaluation</w:t>
      </w:r>
    </w:p>
    <w:p>
      <w:pPr>
        <w:spacing w:after="0" w:line="70" w:lineRule="exact"/>
        <w:rPr>
          <w:rFonts w:ascii="Arial" w:cs="Arial" w:eastAsia="Arial" w:hAnsi="Arial"/>
          <w:sz w:val="15"/>
          <w:szCs w:val="15"/>
          <w:color w:val="00529B"/>
        </w:rPr>
      </w:pPr>
    </w:p>
    <w:p>
      <w:pPr>
        <w:ind w:left="200" w:hanging="192"/>
        <w:spacing w:after="0"/>
        <w:tabs>
          <w:tab w:leader="none" w:pos="200" w:val="left"/>
        </w:tabs>
        <w:numPr>
          <w:ilvl w:val="0"/>
          <w:numId w:val="33"/>
        </w:numPr>
        <w:rPr>
          <w:rFonts w:ascii="Arial" w:cs="Arial" w:eastAsia="Arial" w:hAnsi="Arial"/>
          <w:sz w:val="15"/>
          <w:szCs w:val="15"/>
          <w:color w:val="00529B"/>
        </w:rPr>
      </w:pPr>
      <w:r>
        <w:rPr>
          <w:rFonts w:ascii="Arial" w:cs="Arial" w:eastAsia="Arial" w:hAnsi="Arial"/>
          <w:sz w:val="15"/>
          <w:szCs w:val="15"/>
          <w:color w:val="auto"/>
        </w:rPr>
        <w:t>Review and approve the compensation of all other executive officers</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33"/>
        </w:numPr>
        <w:rPr>
          <w:rFonts w:ascii="Arial" w:cs="Arial" w:eastAsia="Arial" w:hAnsi="Arial"/>
          <w:sz w:val="15"/>
          <w:szCs w:val="15"/>
          <w:color w:val="00529B"/>
        </w:rPr>
      </w:pPr>
      <w:r>
        <w:rPr>
          <w:rFonts w:ascii="Arial" w:cs="Arial" w:eastAsia="Arial" w:hAnsi="Arial"/>
          <w:sz w:val="15"/>
          <w:szCs w:val="15"/>
          <w:color w:val="auto"/>
        </w:rPr>
        <w:t>Oversee the assessment of risks related to Occidental’s compensation policies and programs</w:t>
      </w:r>
    </w:p>
    <w:p>
      <w:pPr>
        <w:spacing w:after="0" w:line="84" w:lineRule="exact"/>
        <w:rPr>
          <w:rFonts w:ascii="Arial" w:cs="Arial" w:eastAsia="Arial" w:hAnsi="Arial"/>
          <w:sz w:val="15"/>
          <w:szCs w:val="15"/>
          <w:color w:val="00529B"/>
        </w:rPr>
      </w:pPr>
    </w:p>
    <w:p>
      <w:pPr>
        <w:ind w:left="180" w:right="280" w:hanging="172"/>
        <w:spacing w:after="0" w:line="264" w:lineRule="auto"/>
        <w:tabs>
          <w:tab w:leader="none" w:pos="194" w:val="left"/>
        </w:tabs>
        <w:numPr>
          <w:ilvl w:val="0"/>
          <w:numId w:val="33"/>
        </w:numPr>
        <w:rPr>
          <w:rFonts w:ascii="Arial" w:cs="Arial" w:eastAsia="Arial" w:hAnsi="Arial"/>
          <w:sz w:val="15"/>
          <w:szCs w:val="15"/>
          <w:color w:val="00529B"/>
        </w:rPr>
      </w:pPr>
      <w:r>
        <w:rPr>
          <w:rFonts w:ascii="Arial" w:cs="Arial" w:eastAsia="Arial" w:hAnsi="Arial"/>
          <w:sz w:val="15"/>
          <w:szCs w:val="15"/>
          <w:color w:val="auto"/>
        </w:rPr>
        <w:t>Administer Occidental’s equity-based incentive compensation plans and periodically review the performance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309880</wp:posOffset>
            </wp:positionV>
            <wp:extent cx="4577715" cy="265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77715" cy="26543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2800" w:space="660"/>
            <w:col w:w="7780"/>
          </w:cols>
          <w:pgMar w:left="320" w:top="130" w:right="339" w:bottom="1440" w:gutter="0" w:footer="0" w:header="0"/>
          <w:type w:val="continuous"/>
        </w:sect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SUSTAINABILITY AND SHAREHOLDER ENGAGEMENT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0575" cy="19284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0575" cy="192849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MEMBERS: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Andrew Gould (Chair)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Vicky A. Bailey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Carlos M. Gutierrez</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Claire O’Neill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Robert M. Shearer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 xml:space="preserve">MEETINGS IN 2022: </w:t>
      </w:r>
      <w:r>
        <w:rPr>
          <w:rFonts w:ascii="Arial" w:cs="Arial" w:eastAsia="Arial" w:hAnsi="Arial"/>
          <w:sz w:val="14"/>
          <w:szCs w:val="14"/>
          <w:color w:val="000000"/>
        </w:rPr>
        <w:t>3*</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87" w:lineRule="exact"/>
        <w:rPr>
          <w:sz w:val="20"/>
          <w:szCs w:val="20"/>
          <w:color w:val="auto"/>
        </w:rPr>
      </w:pPr>
    </w:p>
    <w:p>
      <w:pPr>
        <w:ind w:left="180" w:right="480" w:hanging="172"/>
        <w:spacing w:after="0" w:line="264" w:lineRule="auto"/>
        <w:tabs>
          <w:tab w:leader="none" w:pos="194"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Review and oversee Occidental’s external reporting on ESG and sustainability matters, including climate-related risks and opportunities</w:t>
      </w:r>
    </w:p>
    <w:p>
      <w:pPr>
        <w:spacing w:after="0" w:line="25" w:lineRule="exact"/>
        <w:rPr>
          <w:rFonts w:ascii="Arial" w:cs="Arial" w:eastAsia="Arial" w:hAnsi="Arial"/>
          <w:sz w:val="15"/>
          <w:szCs w:val="15"/>
          <w:color w:val="00529B"/>
        </w:rPr>
      </w:pPr>
    </w:p>
    <w:p>
      <w:pPr>
        <w:ind w:left="180" w:right="620" w:hanging="172"/>
        <w:spacing w:after="0" w:line="264" w:lineRule="auto"/>
        <w:tabs>
          <w:tab w:leader="none" w:pos="194"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Review and oversee the company’s social responsibility programs, policies and practices, including the Human Rights Policy, and oversee associated external reporting</w:t>
      </w:r>
    </w:p>
    <w:p>
      <w:pPr>
        <w:spacing w:after="0" w:line="39" w:lineRule="exact"/>
        <w:rPr>
          <w:rFonts w:ascii="Arial" w:cs="Arial" w:eastAsia="Arial" w:hAnsi="Arial"/>
          <w:sz w:val="15"/>
          <w:szCs w:val="15"/>
          <w:color w:val="00529B"/>
        </w:rPr>
      </w:pPr>
    </w:p>
    <w:p>
      <w:pPr>
        <w:ind w:left="200" w:hanging="192"/>
        <w:spacing w:after="0"/>
        <w:tabs>
          <w:tab w:leader="none" w:pos="200"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Oversee Occidental’s shareholder engagement program</w:t>
      </w:r>
    </w:p>
    <w:p>
      <w:pPr>
        <w:spacing w:after="0" w:line="84" w:lineRule="exact"/>
        <w:rPr>
          <w:rFonts w:ascii="Arial" w:cs="Arial" w:eastAsia="Arial" w:hAnsi="Arial"/>
          <w:sz w:val="15"/>
          <w:szCs w:val="15"/>
          <w:color w:val="00529B"/>
        </w:rPr>
      </w:pPr>
    </w:p>
    <w:p>
      <w:pPr>
        <w:ind w:left="200" w:hanging="192"/>
        <w:spacing w:after="0"/>
        <w:tabs>
          <w:tab w:leader="none" w:pos="200"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Review and monitor climate-related public policy trends and related regulatory matters</w:t>
      </w:r>
    </w:p>
    <w:p>
      <w:pPr>
        <w:spacing w:after="0" w:line="70" w:lineRule="exact"/>
        <w:rPr>
          <w:rFonts w:ascii="Arial" w:cs="Arial" w:eastAsia="Arial" w:hAnsi="Arial"/>
          <w:sz w:val="15"/>
          <w:szCs w:val="15"/>
          <w:color w:val="00529B"/>
        </w:rPr>
      </w:pPr>
    </w:p>
    <w:p>
      <w:pPr>
        <w:ind w:left="200" w:hanging="192"/>
        <w:spacing w:after="0"/>
        <w:tabs>
          <w:tab w:leader="none" w:pos="200"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Review shareholder proposals related to matters overseen by the committee</w:t>
      </w:r>
    </w:p>
    <w:p>
      <w:pPr>
        <w:spacing w:after="0" w:line="84" w:lineRule="exact"/>
        <w:rPr>
          <w:rFonts w:ascii="Arial" w:cs="Arial" w:eastAsia="Arial" w:hAnsi="Arial"/>
          <w:sz w:val="15"/>
          <w:szCs w:val="15"/>
          <w:color w:val="00529B"/>
        </w:rPr>
      </w:pPr>
    </w:p>
    <w:p>
      <w:pPr>
        <w:ind w:left="180" w:right="360" w:hanging="172"/>
        <w:spacing w:after="0" w:line="264" w:lineRule="auto"/>
        <w:tabs>
          <w:tab w:leader="none" w:pos="194"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Oversee Occidental’s Political Contributions and Lobbying Policy and review Occidental’s political activities and expenditures</w:t>
      </w:r>
    </w:p>
    <w:p>
      <w:pPr>
        <w:spacing w:after="0" w:line="39" w:lineRule="exact"/>
        <w:rPr>
          <w:rFonts w:ascii="Arial" w:cs="Arial" w:eastAsia="Arial" w:hAnsi="Arial"/>
          <w:sz w:val="15"/>
          <w:szCs w:val="15"/>
          <w:color w:val="00529B"/>
        </w:rPr>
      </w:pPr>
    </w:p>
    <w:p>
      <w:pPr>
        <w:ind w:left="200" w:hanging="192"/>
        <w:spacing w:after="0"/>
        <w:tabs>
          <w:tab w:leader="none" w:pos="200" w:val="left"/>
        </w:tabs>
        <w:numPr>
          <w:ilvl w:val="0"/>
          <w:numId w:val="34"/>
        </w:numPr>
        <w:rPr>
          <w:rFonts w:ascii="Arial" w:cs="Arial" w:eastAsia="Arial" w:hAnsi="Arial"/>
          <w:sz w:val="15"/>
          <w:szCs w:val="15"/>
          <w:color w:val="00529B"/>
        </w:rPr>
      </w:pPr>
      <w:r>
        <w:rPr>
          <w:rFonts w:ascii="Arial" w:cs="Arial" w:eastAsia="Arial" w:hAnsi="Arial"/>
          <w:sz w:val="15"/>
          <w:szCs w:val="15"/>
          <w:color w:val="auto"/>
        </w:rPr>
        <w:t>Oversee the Charitable Contributions and Matching Gift Program</w:t>
      </w:r>
    </w:p>
    <w:p>
      <w:pPr>
        <w:spacing w:after="0" w:line="200" w:lineRule="exact"/>
        <w:rPr>
          <w:sz w:val="20"/>
          <w:szCs w:val="20"/>
          <w:color w:val="auto"/>
        </w:rPr>
      </w:pPr>
    </w:p>
    <w:p>
      <w:pPr>
        <w:sectPr>
          <w:pgSz w:w="11900" w:h="16838" w:orient="portrait"/>
          <w:cols w:equalWidth="0" w:num="2">
            <w:col w:w="2740" w:space="720"/>
            <w:col w:w="7780"/>
          </w:cols>
          <w:pgMar w:left="320" w:top="130" w:right="339" w:bottom="1440" w:gutter="0" w:footer="0" w:header="0"/>
          <w:type w:val="continuous"/>
        </w:sectPr>
      </w:pPr>
    </w:p>
    <w:p>
      <w:pPr>
        <w:spacing w:after="0" w:line="234"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Does not include a joint meeting of the EH&amp;S and S&amp;SE Committees to discuss the company’s GHG emissions and associated reporting.</w:t>
      </w: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Engagement</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Director Education and Orientation</w:t>
      </w:r>
    </w:p>
    <w:p>
      <w:pPr>
        <w:spacing w:after="0" w:line="239"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auto"/>
        </w:rPr>
        <w:t>Directors are provided with continuing education, including business-specific learning opportunities through site visits and briefing sessions led by internal experts or third parties on topics that are relevant to Occidental. For example, Board and committee briefings on climate risks and opportunities in 2022 included updates from the OLCV team and other members of management on Occidental’s net-zero strategy (including DAC 1 progress), its GHG emissions and associated reporting as well as pertinent legislative and regulatory updates (including the impact of the Inflation Reduction Act and other legislation on Occidental and its low-carbon initiatives). In January 2023 at a special meeting, the full Board received an update on DAC 1, including costs and inflation, materials and related supply chain matters, technology and scale-up and financing options. Directors are also encouraged to attend additional continuing education programs designed to enhance the performance and competencies of individual directors and the Board.</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Each new director is provided with extensive onboarding materials and information covering director responsibilities, corporate governance practices and policies, business strategies, leadership structure, and long-term plans concerning Occidental in order to enable the director to perform the duties of a director. Orientation also includes individualized meetings with senior management and other appropriate individuals. Participation in regular Board and committee meetings also provides new directors with a strong foundation for understanding Occidental’s businesses, connects directors with members of management, and accelerates their effectiveness. Directors have access to additional orientation and educational opportunities as they accept new or additional responsibilities on the Board or its committees.</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Director Attendance</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The Board of Directors held eight meetings in 2022, one of which was principally devoted to a strategic review session and two of which were special meetings. Each of the directors attended at least 75% of the aggregate number of meetings of the Board and of the Board committees on which he or she served and which were held during the period that each director served. All of the directors then serving on the Board attended the 2022 Annual Meeting of Shareholders. Attendance at the Annual Meeting of Shareholders is expected of directors as if it were a regular meeting of the Board.</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Executive Sessions of the Independent Directors</w:t>
      </w:r>
    </w:p>
    <w:p>
      <w:pPr>
        <w:spacing w:after="0" w:line="239"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color w:val="auto"/>
        </w:rPr>
        <w:t>The independent directors regularly meet in executive sessions at which no members of management are present. The independent directors held four executive sessions in 2022. The Board’s Independent Chairman chaired the executive sessions.</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Risk Oversight</w:t>
      </w:r>
    </w:p>
    <w:p>
      <w:pPr>
        <w:spacing w:after="0" w:line="239" w:lineRule="exact"/>
        <w:rPr>
          <w:sz w:val="20"/>
          <w:szCs w:val="20"/>
          <w:color w:val="auto"/>
        </w:rPr>
      </w:pPr>
    </w:p>
    <w:p>
      <w:pPr>
        <w:ind w:right="60"/>
        <w:spacing w:after="0"/>
        <w:rPr>
          <w:sz w:val="20"/>
          <w:szCs w:val="20"/>
          <w:color w:val="auto"/>
        </w:rPr>
      </w:pPr>
      <w:r>
        <w:rPr>
          <w:rFonts w:ascii="Arial" w:cs="Arial" w:eastAsia="Arial" w:hAnsi="Arial"/>
          <w:sz w:val="15"/>
          <w:szCs w:val="15"/>
          <w:color w:val="auto"/>
        </w:rPr>
        <w:t>Risk oversight occurs at both the Board and committee level. The Board is responsible for overseeing Occidental’s policies and procedures with respect to risk management, and it has empowered its committees with oversight of specific, material risks tailored to each committee’s area of focus. Each of the Board’s committees is integral to the control and compliance aspects of risk oversight by the Board. Each committee meets regularly with management to review, as appropriate, compliance with existing policies and procedures and to discuss changes or improvements that may be required or desirable. The frequency of committee meetings is intended to allow each committee adequate time for in-depth review and discussion of matters associated with its areas of responsibility. Each committee regularly reports to the Board regarding the committee’s discussion of issues and findings, as well as to make recommendations regarding appropriate changes or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274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7046595" cy="61982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46595" cy="6198235"/>
                    </a:xfrm>
                    <a:prstGeom prst="rect">
                      <a:avLst/>
                    </a:prstGeom>
                    <a:noFill/>
                  </pic:spPr>
                </pic:pic>
              </a:graphicData>
            </a:graphic>
          </wp:anchor>
        </w:drawing>
      </w:r>
    </w:p>
    <w:p>
      <w:pPr>
        <w:spacing w:after="0" w:line="27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FFFFFF"/>
        </w:rPr>
        <w:t>BOARD OVERSIGHT</w:t>
      </w:r>
    </w:p>
    <w:p>
      <w:pPr>
        <w:spacing w:after="0" w:line="186" w:lineRule="exact"/>
        <w:rPr>
          <w:sz w:val="20"/>
          <w:szCs w:val="20"/>
          <w:color w:val="auto"/>
        </w:rPr>
      </w:pPr>
    </w:p>
    <w:p>
      <w:pPr>
        <w:ind w:left="640" w:right="460"/>
        <w:spacing w:after="0" w:line="264" w:lineRule="auto"/>
        <w:rPr>
          <w:sz w:val="20"/>
          <w:szCs w:val="20"/>
          <w:color w:val="auto"/>
        </w:rPr>
      </w:pPr>
      <w:r>
        <w:rPr>
          <w:rFonts w:ascii="Arial" w:cs="Arial" w:eastAsia="Arial" w:hAnsi="Arial"/>
          <w:sz w:val="15"/>
          <w:szCs w:val="15"/>
          <w:color w:val="FFFFFF"/>
        </w:rPr>
        <w:t>As part of its overall responsibility for overseeing Occidental’s policies and procedures with respect to risk management, the Board has empowered its committees with oversight responsibility for the risks and matters described below, which are tailored to each committee’s area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318770</wp:posOffset>
            </wp:positionV>
            <wp:extent cx="34290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000000"/>
                        </a:clrFrom>
                        <a:clrTo>
                          <a:srgbClr val="000000">
                            <a:alpha val="0"/>
                          </a:srgbClr>
                        </a:clrTo>
                      </a:clrChange>
                      <a:extLst>
                        <a:ext uri="{28A0092B-C50C-407E-A947-70E740481C1C}"/>
                      </a:extLst>
                    </a:blip>
                    <a:srcRect/>
                    <a:stretch>
                      <a:fillRect/>
                    </a:stretch>
                  </pic:blipFill>
                  <pic:spPr bwMode="auto">
                    <a:xfrm>
                      <a:off x="0" y="0"/>
                      <a:ext cx="342900" cy="12890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318770</wp:posOffset>
            </wp:positionV>
            <wp:extent cx="34290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342900" cy="128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529B"/>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-213360</wp:posOffset>
            </wp:positionV>
            <wp:extent cx="22631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1" w:lineRule="exact"/>
        <w:rPr>
          <w:sz w:val="20"/>
          <w:szCs w:val="20"/>
          <w:color w:val="auto"/>
        </w:rPr>
      </w:pPr>
    </w:p>
    <w:p>
      <w:pPr>
        <w:ind w:left="660" w:hanging="193"/>
        <w:spacing w:after="0" w:line="234" w:lineRule="auto"/>
        <w:tabs>
          <w:tab w:leader="none" w:pos="656" w:val="left"/>
        </w:tabs>
        <w:numPr>
          <w:ilvl w:val="0"/>
          <w:numId w:val="36"/>
        </w:numPr>
        <w:rPr>
          <w:rFonts w:ascii="Arial" w:cs="Arial" w:eastAsia="Arial" w:hAnsi="Arial"/>
          <w:sz w:val="15"/>
          <w:szCs w:val="15"/>
          <w:color w:val="00529B"/>
        </w:rPr>
      </w:pPr>
      <w:r>
        <w:rPr>
          <w:rFonts w:ascii="Arial" w:cs="Arial" w:eastAsia="Arial" w:hAnsi="Arial"/>
          <w:sz w:val="15"/>
          <w:szCs w:val="15"/>
          <w:color w:val="231F20"/>
        </w:rPr>
        <w:t>Assists the Board in monitoring the company’s financial statements, compliance with legal and regulatory requirements, the qualifications and independence of the independent auditor, the independent auditor’s performance, and Occidental’s internal audit function</w:t>
      </w:r>
    </w:p>
    <w:p>
      <w:pPr>
        <w:spacing w:after="0" w:line="16" w:lineRule="exact"/>
        <w:rPr>
          <w:rFonts w:ascii="Arial" w:cs="Arial" w:eastAsia="Arial" w:hAnsi="Arial"/>
          <w:sz w:val="15"/>
          <w:szCs w:val="15"/>
          <w:color w:val="00529B"/>
        </w:rPr>
      </w:pPr>
    </w:p>
    <w:p>
      <w:pPr>
        <w:ind w:left="660" w:right="400" w:hanging="193"/>
        <w:spacing w:after="0" w:line="253" w:lineRule="auto"/>
        <w:tabs>
          <w:tab w:leader="none" w:pos="656" w:val="left"/>
        </w:tabs>
        <w:numPr>
          <w:ilvl w:val="0"/>
          <w:numId w:val="36"/>
        </w:numPr>
        <w:rPr>
          <w:rFonts w:ascii="Arial" w:cs="Arial" w:eastAsia="Arial" w:hAnsi="Arial"/>
          <w:sz w:val="15"/>
          <w:szCs w:val="15"/>
          <w:color w:val="00529B"/>
        </w:rPr>
      </w:pPr>
      <w:r>
        <w:rPr>
          <w:rFonts w:ascii="Arial" w:cs="Arial" w:eastAsia="Arial" w:hAnsi="Arial"/>
          <w:sz w:val="15"/>
          <w:szCs w:val="15"/>
          <w:color w:val="231F20"/>
        </w:rPr>
        <w:t>Oversees information technology security programs, including cyber security</w:t>
      </w:r>
    </w:p>
    <w:p>
      <w:pPr>
        <w:ind w:left="660" w:right="340" w:hanging="193"/>
        <w:spacing w:after="0" w:line="244" w:lineRule="auto"/>
        <w:tabs>
          <w:tab w:leader="none" w:pos="656" w:val="left"/>
        </w:tabs>
        <w:numPr>
          <w:ilvl w:val="0"/>
          <w:numId w:val="36"/>
        </w:numPr>
        <w:rPr>
          <w:rFonts w:ascii="Arial" w:cs="Arial" w:eastAsia="Arial" w:hAnsi="Arial"/>
          <w:sz w:val="15"/>
          <w:szCs w:val="15"/>
          <w:color w:val="00529B"/>
        </w:rPr>
      </w:pPr>
      <w:r>
        <w:rPr>
          <w:rFonts w:ascii="Arial" w:cs="Arial" w:eastAsia="Arial" w:hAnsi="Arial"/>
          <w:sz w:val="15"/>
          <w:szCs w:val="15"/>
          <w:color w:val="231F20"/>
        </w:rPr>
        <w:t>Oversees Occidental’s Enterprise Risk Management (ERM) program and Code of Business Conduct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440055</wp:posOffset>
            </wp:positionV>
            <wp:extent cx="22631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28"/>
        <w:spacing w:after="0"/>
        <w:rPr>
          <w:sz w:val="20"/>
          <w:szCs w:val="20"/>
          <w:color w:val="auto"/>
        </w:rPr>
      </w:pPr>
      <w:r>
        <w:rPr>
          <w:rFonts w:ascii="Arial" w:cs="Arial" w:eastAsia="Arial" w:hAnsi="Arial"/>
          <w:sz w:val="18"/>
          <w:szCs w:val="18"/>
          <w:b w:val="1"/>
          <w:bCs w:val="1"/>
          <w:color w:val="00529B"/>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248920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266065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283210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300355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223520</wp:posOffset>
            </wp:positionV>
            <wp:extent cx="230568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0568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 w:right="260"/>
        <w:spacing w:after="0" w:line="266" w:lineRule="auto"/>
        <w:rPr>
          <w:sz w:val="20"/>
          <w:szCs w:val="20"/>
          <w:color w:val="auto"/>
        </w:rPr>
      </w:pPr>
      <w:r>
        <w:rPr>
          <w:rFonts w:ascii="Arial" w:cs="Arial" w:eastAsia="Arial" w:hAnsi="Arial"/>
          <w:sz w:val="18"/>
          <w:szCs w:val="18"/>
          <w:b w:val="1"/>
          <w:bCs w:val="1"/>
          <w:color w:val="00529B"/>
        </w:rPr>
        <w:t>CORPORATE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-287020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-269875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-252730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-235585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-218440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-201295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-184150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-167005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-149860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-132715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-115570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-98425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-81280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-64135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-46990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-29845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89" w:hanging="189"/>
        <w:spacing w:after="0" w:line="236" w:lineRule="auto"/>
        <w:tabs>
          <w:tab w:leader="none" w:pos="184" w:val="left"/>
        </w:tabs>
        <w:numPr>
          <w:ilvl w:val="0"/>
          <w:numId w:val="37"/>
        </w:numPr>
        <w:rPr>
          <w:rFonts w:ascii="Arial" w:cs="Arial" w:eastAsia="Arial" w:hAnsi="Arial"/>
          <w:sz w:val="15"/>
          <w:szCs w:val="15"/>
          <w:color w:val="00529B"/>
        </w:rPr>
      </w:pPr>
      <w:r>
        <w:rPr>
          <w:rFonts w:ascii="Arial" w:cs="Arial" w:eastAsia="Arial" w:hAnsi="Arial"/>
          <w:sz w:val="15"/>
          <w:szCs w:val="15"/>
          <w:color w:val="231F20"/>
        </w:rPr>
        <w:t>Oversees the Corporate Governance Policies, Board composition and refreshment, Board committee leadership and membership and Board, committee and individual director performance evaluations</w:t>
      </w:r>
    </w:p>
    <w:p>
      <w:pPr>
        <w:spacing w:after="0" w:line="15" w:lineRule="exact"/>
        <w:rPr>
          <w:rFonts w:ascii="Arial" w:cs="Arial" w:eastAsia="Arial" w:hAnsi="Arial"/>
          <w:sz w:val="15"/>
          <w:szCs w:val="15"/>
          <w:color w:val="00529B"/>
        </w:rPr>
      </w:pPr>
    </w:p>
    <w:p>
      <w:pPr>
        <w:ind w:left="189" w:right="180" w:hanging="189"/>
        <w:spacing w:after="0" w:line="264" w:lineRule="auto"/>
        <w:tabs>
          <w:tab w:leader="none" w:pos="184" w:val="left"/>
        </w:tabs>
        <w:numPr>
          <w:ilvl w:val="0"/>
          <w:numId w:val="37"/>
        </w:numPr>
        <w:rPr>
          <w:rFonts w:ascii="Arial" w:cs="Arial" w:eastAsia="Arial" w:hAnsi="Arial"/>
          <w:sz w:val="15"/>
          <w:szCs w:val="15"/>
          <w:color w:val="00529B"/>
        </w:rPr>
      </w:pPr>
      <w:r>
        <w:rPr>
          <w:rFonts w:ascii="Arial" w:cs="Arial" w:eastAsia="Arial" w:hAnsi="Arial"/>
          <w:sz w:val="15"/>
          <w:szCs w:val="15"/>
          <w:color w:val="231F20"/>
        </w:rPr>
        <w:t>Administers the company’s Related Party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755650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730250</wp:posOffset>
            </wp:positionV>
            <wp:extent cx="227139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71395" cy="1714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-786765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-769620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-752475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-735330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-718185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-701040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-683895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-666750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-649605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-632460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-615315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-598170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-581025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-563880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-546735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-529590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-512445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-495300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-478155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-461010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-443865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-426720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-409575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-392430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-375285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-358140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-340995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-323850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-306705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-289560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-272415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-255270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-238125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-220980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-203835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-186690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-169545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-152400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-135255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-118110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-100965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-83820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-66675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-49530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-32385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-15240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18415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35560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52705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69850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86995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104140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121285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138430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155575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172720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189865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207010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224155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241300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258445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275590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292735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309880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327025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344170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361315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378460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395605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412750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429895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447040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464185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481330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498475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515620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532765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549910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567055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584200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601345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618490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635635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652780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669925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687070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704215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00529B"/>
        </w:rPr>
        <w:t>ENVIRONMENTAL,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-355600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-338455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-321310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-304165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-287020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-269875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-252730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-235585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-218440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-201295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-184150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-167005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-149860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-132715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-115570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-98425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-81280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-64135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-46990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-29845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-12700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-381635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-381635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-381635</wp:posOffset>
            </wp:positionV>
            <wp:extent cx="8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-381635</wp:posOffset>
            </wp:positionV>
            <wp:extent cx="82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-381635</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-381635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-381635</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-381635</wp:posOffset>
            </wp:positionV>
            <wp:extent cx="82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-381635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-381635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-381635</wp:posOffset>
            </wp:positionV>
            <wp:extent cx="825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-381635</wp:posOffset>
            </wp:positionV>
            <wp:extent cx="8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-381635</wp:posOffset>
            </wp:positionV>
            <wp:extent cx="82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-381635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-381635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-381635</wp:posOffset>
            </wp:positionV>
            <wp:extent cx="82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-381635</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-381635</wp:posOffset>
            </wp:positionV>
            <wp:extent cx="825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-381635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-381635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-381635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-381635</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-381635</wp:posOffset>
            </wp:positionV>
            <wp:extent cx="825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-381635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-381635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-381635</wp:posOffset>
            </wp:positionV>
            <wp:extent cx="8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-381635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-381635</wp:posOffset>
            </wp:positionV>
            <wp:extent cx="825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-381635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-381635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-381635</wp:posOffset>
            </wp:positionV>
            <wp:extent cx="82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-381635</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-381635</wp:posOffset>
            </wp:positionV>
            <wp:extent cx="825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-381635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-381635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-381635</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-381635</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-381635</wp:posOffset>
            </wp:positionV>
            <wp:extent cx="825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-381635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-381635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607060</wp:posOffset>
            </wp:positionH>
            <wp:positionV relativeFrom="paragraph">
              <wp:posOffset>-381635</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-381635</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-381635</wp:posOffset>
            </wp:positionV>
            <wp:extent cx="82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658495</wp:posOffset>
            </wp:positionH>
            <wp:positionV relativeFrom="paragraph">
              <wp:posOffset>-381635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-381635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-381635</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-381635</wp:posOffset>
            </wp:positionV>
            <wp:extent cx="82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-381635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-381635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-381635</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778510</wp:posOffset>
            </wp:positionH>
            <wp:positionV relativeFrom="paragraph">
              <wp:posOffset>-381635</wp:posOffset>
            </wp:positionV>
            <wp:extent cx="82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-381635</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-381635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-381635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847090</wp:posOffset>
            </wp:positionH>
            <wp:positionV relativeFrom="paragraph">
              <wp:posOffset>-381635</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-381635</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-381635</wp:posOffset>
            </wp:positionV>
            <wp:extent cx="82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-381635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915670</wp:posOffset>
            </wp:positionH>
            <wp:positionV relativeFrom="paragraph">
              <wp:posOffset>-381635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932815</wp:posOffset>
            </wp:positionH>
            <wp:positionV relativeFrom="paragraph">
              <wp:posOffset>-381635</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-381635</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-381635</wp:posOffset>
            </wp:positionV>
            <wp:extent cx="82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-381635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1001395</wp:posOffset>
            </wp:positionH>
            <wp:positionV relativeFrom="paragraph">
              <wp:posOffset>-381635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-381635</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-381635</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1052830</wp:posOffset>
            </wp:positionH>
            <wp:positionV relativeFrom="paragraph">
              <wp:posOffset>-381635</wp:posOffset>
            </wp:positionV>
            <wp:extent cx="82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-381635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-381635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1104265</wp:posOffset>
            </wp:positionH>
            <wp:positionV relativeFrom="paragraph">
              <wp:posOffset>-381635</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-381635</wp:posOffset>
            </wp:positionV>
            <wp:extent cx="825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-381635</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-381635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1172845</wp:posOffset>
            </wp:positionH>
            <wp:positionV relativeFrom="paragraph">
              <wp:posOffset>-381635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-381635</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-381635</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-381635</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-381635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1258570</wp:posOffset>
            </wp:positionH>
            <wp:positionV relativeFrom="paragraph">
              <wp:posOffset>-381635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1275715</wp:posOffset>
            </wp:positionH>
            <wp:positionV relativeFrom="paragraph">
              <wp:posOffset>-381635</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1292860</wp:posOffset>
            </wp:positionH>
            <wp:positionV relativeFrom="paragraph">
              <wp:posOffset>-381635</wp:posOffset>
            </wp:positionV>
            <wp:extent cx="82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-381635</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-381635</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-381635</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-381635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-381635</wp:posOffset>
            </wp:positionV>
            <wp:extent cx="82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-381635</wp:posOffset>
            </wp:positionV>
            <wp:extent cx="82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-381635</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-381635</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1447165</wp:posOffset>
            </wp:positionH>
            <wp:positionV relativeFrom="paragraph">
              <wp:posOffset>-381635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-381635</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-381635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1498600</wp:posOffset>
            </wp:positionH>
            <wp:positionV relativeFrom="paragraph">
              <wp:posOffset>-381635</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-381635</wp:posOffset>
            </wp:positionV>
            <wp:extent cx="8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-381635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-381635</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-381635</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-381635</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-381635</wp:posOffset>
            </wp:positionV>
            <wp:extent cx="82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-381635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-381635</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-381635</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-381635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-381635</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-381635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-381635</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-381635</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-381635</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-381635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-381635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1807210</wp:posOffset>
            </wp:positionH>
            <wp:positionV relativeFrom="paragraph">
              <wp:posOffset>-381635</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-381635</wp:posOffset>
            </wp:positionV>
            <wp:extent cx="825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-381635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-381635</wp:posOffset>
            </wp:positionV>
            <wp:extent cx="82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-381635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1892935</wp:posOffset>
            </wp:positionH>
            <wp:positionV relativeFrom="paragraph">
              <wp:posOffset>-381635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-381635</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-381635</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-381635</wp:posOffset>
            </wp:positionV>
            <wp:extent cx="82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-381635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-381635</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-381635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-381635</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-381635</wp:posOffset>
            </wp:positionV>
            <wp:extent cx="82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-381635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-381635</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-381635</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-381635</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-381635</wp:posOffset>
            </wp:positionV>
            <wp:extent cx="82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-381635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-381635</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200" w:right="340" w:hanging="198"/>
        <w:spacing w:after="0" w:line="244" w:lineRule="auto"/>
        <w:tabs>
          <w:tab w:leader="none" w:pos="196" w:val="left"/>
        </w:tabs>
        <w:numPr>
          <w:ilvl w:val="0"/>
          <w:numId w:val="38"/>
        </w:numPr>
        <w:rPr>
          <w:rFonts w:ascii="Arial" w:cs="Arial" w:eastAsia="Arial" w:hAnsi="Arial"/>
          <w:sz w:val="15"/>
          <w:szCs w:val="15"/>
          <w:color w:val="00529B"/>
        </w:rPr>
      </w:pPr>
      <w:r>
        <w:rPr>
          <w:rFonts w:ascii="Arial" w:cs="Arial" w:eastAsia="Arial" w:hAnsi="Arial"/>
          <w:sz w:val="15"/>
          <w:szCs w:val="15"/>
          <w:color w:val="231F20"/>
        </w:rPr>
        <w:t>Oversees compliance with applicable environmental, health and safety laws and regulations</w:t>
      </w:r>
    </w:p>
    <w:p>
      <w:pPr>
        <w:spacing w:after="0" w:line="13" w:lineRule="exact"/>
        <w:rPr>
          <w:rFonts w:ascii="Arial" w:cs="Arial" w:eastAsia="Arial" w:hAnsi="Arial"/>
          <w:sz w:val="15"/>
          <w:szCs w:val="15"/>
          <w:color w:val="00529B"/>
        </w:rPr>
      </w:pPr>
    </w:p>
    <w:p>
      <w:pPr>
        <w:ind w:left="200" w:right="400" w:hanging="198"/>
        <w:spacing w:after="0" w:line="244" w:lineRule="auto"/>
        <w:tabs>
          <w:tab w:leader="none" w:pos="196" w:val="left"/>
        </w:tabs>
        <w:numPr>
          <w:ilvl w:val="0"/>
          <w:numId w:val="38"/>
        </w:numPr>
        <w:rPr>
          <w:rFonts w:ascii="Arial" w:cs="Arial" w:eastAsia="Arial" w:hAnsi="Arial"/>
          <w:sz w:val="15"/>
          <w:szCs w:val="15"/>
          <w:color w:val="00529B"/>
        </w:rPr>
      </w:pPr>
      <w:r>
        <w:rPr>
          <w:rFonts w:ascii="Arial" w:cs="Arial" w:eastAsia="Arial" w:hAnsi="Arial"/>
          <w:sz w:val="15"/>
          <w:szCs w:val="15"/>
          <w:color w:val="231F20"/>
        </w:rPr>
        <w:t>Oversees the company’s Operational Management System, including results of internal compliance reviews</w:t>
      </w:r>
    </w:p>
    <w:p>
      <w:pPr>
        <w:spacing w:after="0" w:line="13" w:lineRule="exact"/>
        <w:rPr>
          <w:rFonts w:ascii="Arial" w:cs="Arial" w:eastAsia="Arial" w:hAnsi="Arial"/>
          <w:sz w:val="15"/>
          <w:szCs w:val="15"/>
          <w:color w:val="00529B"/>
        </w:rPr>
      </w:pPr>
    </w:p>
    <w:p>
      <w:pPr>
        <w:ind w:left="200" w:hanging="198"/>
        <w:spacing w:after="0"/>
        <w:tabs>
          <w:tab w:leader="none" w:pos="200" w:val="left"/>
        </w:tabs>
        <w:numPr>
          <w:ilvl w:val="0"/>
          <w:numId w:val="38"/>
        </w:numPr>
        <w:rPr>
          <w:rFonts w:ascii="Arial" w:cs="Arial" w:eastAsia="Arial" w:hAnsi="Arial"/>
          <w:sz w:val="15"/>
          <w:szCs w:val="15"/>
          <w:color w:val="00529B"/>
        </w:rPr>
      </w:pPr>
      <w:r>
        <w:rPr>
          <w:rFonts w:ascii="Arial" w:cs="Arial" w:eastAsia="Arial" w:hAnsi="Arial"/>
          <w:sz w:val="15"/>
          <w:szCs w:val="15"/>
          <w:color w:val="231F20"/>
        </w:rPr>
        <w:t>Oversees remediation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724535</wp:posOffset>
            </wp:positionV>
            <wp:extent cx="228854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-792480</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-775335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-758190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-741045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-723900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-706755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-689610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-672465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-655320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-638175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-621030</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-603885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-586740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-569595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-552450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-535305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-518160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-501015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-483870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-466725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-449580</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-432435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-415290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-398145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-381000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-363855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-346710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-329565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-312420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-295275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-278130</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-260985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-243840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-226695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-209550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-192405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-175260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-158115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-140970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-123825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-106680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-89535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-72390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-55245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-38100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-20955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-3810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12700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29845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46990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64135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81280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98425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115570</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132715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149860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167005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184150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201295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218440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235585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252730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269875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287020</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304165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321310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338455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355600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372745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389890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407035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424180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441325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458470</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475615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492760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509905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527050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544195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561340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578485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595630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612775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629920</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647065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664210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681355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698500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3">
            <w:col w:w="3860" w:space="391"/>
            <w:col w:w="3169" w:space="420"/>
            <w:col w:w="3400"/>
          </w:cols>
          <w:pgMar w:left="320" w:top="130" w:right="3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529B"/>
        </w:rPr>
        <w:t>EXECUTIVE COMPENSATION</w:t>
      </w:r>
    </w:p>
    <w:p>
      <w:pPr>
        <w:spacing w:after="0" w:line="51" w:lineRule="exact"/>
        <w:rPr>
          <w:sz w:val="20"/>
          <w:szCs w:val="20"/>
          <w:color w:val="auto"/>
        </w:rPr>
      </w:pPr>
    </w:p>
    <w:p>
      <w:pPr>
        <w:ind w:left="660" w:hanging="193"/>
        <w:spacing w:after="0" w:line="238" w:lineRule="auto"/>
        <w:tabs>
          <w:tab w:leader="none" w:pos="656" w:val="left"/>
        </w:tabs>
        <w:numPr>
          <w:ilvl w:val="0"/>
          <w:numId w:val="39"/>
        </w:numPr>
        <w:rPr>
          <w:rFonts w:ascii="Arial" w:cs="Arial" w:eastAsia="Arial" w:hAnsi="Arial"/>
          <w:sz w:val="15"/>
          <w:szCs w:val="15"/>
          <w:color w:val="00529B"/>
        </w:rPr>
      </w:pPr>
      <w:r>
        <w:rPr>
          <w:rFonts w:ascii="Arial" w:cs="Arial" w:eastAsia="Arial" w:hAnsi="Arial"/>
          <w:sz w:val="15"/>
          <w:szCs w:val="15"/>
          <w:color w:val="auto"/>
        </w:rPr>
        <w:t>Oversees the risk assessment related to the company’s compensation policies and programs applicable to executive officers and other employees, including the determination of whether any such policies and programs encourage unnecessary or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939800</wp:posOffset>
            </wp:positionV>
            <wp:extent cx="339471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00529B"/>
        </w:rPr>
        <w:t>SUSTAINABILITY AND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-137160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-120015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-102870</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-85725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-68580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-51435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-34290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-17145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16510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33655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50800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69" w:lineRule="exact"/>
        <w:rPr>
          <w:sz w:val="20"/>
          <w:szCs w:val="20"/>
          <w:color w:val="auto"/>
        </w:rPr>
      </w:pPr>
    </w:p>
    <w:p>
      <w:pPr>
        <w:ind w:left="200" w:right="460" w:hanging="193"/>
        <w:spacing w:after="0" w:line="264" w:lineRule="auto"/>
        <w:tabs>
          <w:tab w:leader="none" w:pos="196" w:val="left"/>
        </w:tabs>
        <w:numPr>
          <w:ilvl w:val="0"/>
          <w:numId w:val="40"/>
        </w:numPr>
        <w:rPr>
          <w:rFonts w:ascii="Arial" w:cs="Arial" w:eastAsia="Arial" w:hAnsi="Arial"/>
          <w:sz w:val="15"/>
          <w:szCs w:val="15"/>
          <w:color w:val="00529B"/>
        </w:rPr>
      </w:pPr>
      <w:r>
        <w:rPr>
          <w:rFonts w:ascii="Arial" w:cs="Arial" w:eastAsia="Arial" w:hAnsi="Arial"/>
          <w:sz w:val="15"/>
          <w:szCs w:val="15"/>
          <w:color w:val="auto"/>
        </w:rPr>
        <w:t>Oversees the external reporting on ESG and sustainability matters, including climate-related risks and opportunities</w:t>
      </w:r>
    </w:p>
    <w:p>
      <w:pPr>
        <w:spacing w:after="0" w:line="39" w:lineRule="exact"/>
        <w:rPr>
          <w:rFonts w:ascii="Arial" w:cs="Arial" w:eastAsia="Arial" w:hAnsi="Arial"/>
          <w:sz w:val="15"/>
          <w:szCs w:val="15"/>
          <w:color w:val="00529B"/>
        </w:rPr>
      </w:pPr>
    </w:p>
    <w:p>
      <w:pPr>
        <w:ind w:left="200" w:right="380" w:hanging="193"/>
        <w:spacing w:after="0" w:line="264" w:lineRule="auto"/>
        <w:tabs>
          <w:tab w:leader="none" w:pos="196" w:val="left"/>
        </w:tabs>
        <w:numPr>
          <w:ilvl w:val="0"/>
          <w:numId w:val="40"/>
        </w:numPr>
        <w:rPr>
          <w:rFonts w:ascii="Arial" w:cs="Arial" w:eastAsia="Arial" w:hAnsi="Arial"/>
          <w:sz w:val="15"/>
          <w:szCs w:val="15"/>
          <w:color w:val="00529B"/>
        </w:rPr>
      </w:pPr>
      <w:r>
        <w:rPr>
          <w:rFonts w:ascii="Arial" w:cs="Arial" w:eastAsia="Arial" w:hAnsi="Arial"/>
          <w:sz w:val="15"/>
          <w:szCs w:val="15"/>
          <w:color w:val="auto"/>
        </w:rPr>
        <w:t>Oversees the company’s social responsibility programs, policies and practices, including the Human Rights Policy</w:t>
      </w:r>
    </w:p>
    <w:p>
      <w:pPr>
        <w:spacing w:after="0" w:line="39" w:lineRule="exact"/>
        <w:rPr>
          <w:rFonts w:ascii="Arial" w:cs="Arial" w:eastAsia="Arial" w:hAnsi="Arial"/>
          <w:sz w:val="15"/>
          <w:szCs w:val="15"/>
          <w:color w:val="00529B"/>
        </w:rPr>
      </w:pPr>
    </w:p>
    <w:p>
      <w:pPr>
        <w:ind w:left="200" w:right="260" w:hanging="193"/>
        <w:spacing w:after="0" w:line="264" w:lineRule="auto"/>
        <w:tabs>
          <w:tab w:leader="none" w:pos="196" w:val="left"/>
        </w:tabs>
        <w:numPr>
          <w:ilvl w:val="0"/>
          <w:numId w:val="40"/>
        </w:numPr>
        <w:rPr>
          <w:rFonts w:ascii="Arial" w:cs="Arial" w:eastAsia="Arial" w:hAnsi="Arial"/>
          <w:sz w:val="15"/>
          <w:szCs w:val="15"/>
          <w:color w:val="00529B"/>
        </w:rPr>
      </w:pPr>
      <w:r>
        <w:rPr>
          <w:rFonts w:ascii="Arial" w:cs="Arial" w:eastAsia="Arial" w:hAnsi="Arial"/>
          <w:sz w:val="15"/>
          <w:szCs w:val="15"/>
          <w:color w:val="auto"/>
        </w:rPr>
        <w:t>Oversees Occidental’s Political Contributions and Lobbying Policy and Charitable Contributions and Matching Gift Program</w:t>
      </w:r>
    </w:p>
    <w:p>
      <w:pPr>
        <w:spacing w:after="0" w:line="25" w:lineRule="exact"/>
        <w:rPr>
          <w:rFonts w:ascii="Arial" w:cs="Arial" w:eastAsia="Arial" w:hAnsi="Arial"/>
          <w:sz w:val="15"/>
          <w:szCs w:val="15"/>
          <w:color w:val="00529B"/>
        </w:rPr>
      </w:pPr>
    </w:p>
    <w:p>
      <w:pPr>
        <w:ind w:left="200" w:hanging="193"/>
        <w:spacing w:after="0"/>
        <w:tabs>
          <w:tab w:leader="none" w:pos="200" w:val="left"/>
        </w:tabs>
        <w:numPr>
          <w:ilvl w:val="0"/>
          <w:numId w:val="40"/>
        </w:numPr>
        <w:rPr>
          <w:rFonts w:ascii="Arial" w:cs="Arial" w:eastAsia="Arial" w:hAnsi="Arial"/>
          <w:sz w:val="15"/>
          <w:szCs w:val="15"/>
          <w:color w:val="00529B"/>
        </w:rPr>
      </w:pPr>
      <w:r>
        <w:rPr>
          <w:rFonts w:ascii="Arial" w:cs="Arial" w:eastAsia="Arial" w:hAnsi="Arial"/>
          <w:sz w:val="15"/>
          <w:szCs w:val="15"/>
          <w:color w:val="auto"/>
        </w:rPr>
        <w:t>Oversees the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818515</wp:posOffset>
            </wp:positionV>
            <wp:extent cx="6840855" cy="92583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40855" cy="92583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433070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433070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433070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433070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433070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433070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433070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433070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433070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433070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433070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433070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433070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433070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433070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433070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433070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433070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433070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433070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433070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433070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433070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433070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433070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433070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433070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433070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433070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433070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433070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433070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433070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433070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433070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433070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433070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433070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433070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433070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433070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433070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433070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433070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652780</wp:posOffset>
            </wp:positionH>
            <wp:positionV relativeFrom="paragraph">
              <wp:posOffset>433070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433070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433070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433070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433070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433070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433070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433070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433070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433070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433070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433070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433070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433070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433070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433070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433070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433070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433070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433070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433070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433070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433070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433070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1064260</wp:posOffset>
            </wp:positionH>
            <wp:positionV relativeFrom="paragraph">
              <wp:posOffset>433070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433070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433070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433070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433070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433070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433070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433070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433070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1218565</wp:posOffset>
            </wp:positionH>
            <wp:positionV relativeFrom="paragraph">
              <wp:posOffset>433070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433070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433070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433070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1287145</wp:posOffset>
            </wp:positionH>
            <wp:positionV relativeFrom="paragraph">
              <wp:posOffset>433070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433070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433070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433070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433070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433070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433070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433070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433070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433070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433070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433070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433070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433070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433070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433070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1561465</wp:posOffset>
            </wp:positionH>
            <wp:positionV relativeFrom="paragraph">
              <wp:posOffset>433070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433070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433070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1612900</wp:posOffset>
            </wp:positionH>
            <wp:positionV relativeFrom="paragraph">
              <wp:posOffset>433070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1630045</wp:posOffset>
            </wp:positionH>
            <wp:positionV relativeFrom="paragraph">
              <wp:posOffset>433070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433070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433070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433070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433070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1715770</wp:posOffset>
            </wp:positionH>
            <wp:positionV relativeFrom="paragraph">
              <wp:posOffset>433070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433070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433070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433070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433070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1801495</wp:posOffset>
            </wp:positionH>
            <wp:positionV relativeFrom="paragraph">
              <wp:posOffset>433070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433070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433070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433070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433070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433070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433070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433070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433070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433070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433070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433070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433070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433070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433070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433070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2075815</wp:posOffset>
            </wp:positionH>
            <wp:positionV relativeFrom="paragraph">
              <wp:posOffset>433070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2092960</wp:posOffset>
            </wp:positionH>
            <wp:positionV relativeFrom="paragraph">
              <wp:posOffset>433070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433070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433070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433070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433070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433070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433070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433070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2230120</wp:posOffset>
            </wp:positionH>
            <wp:positionV relativeFrom="paragraph">
              <wp:posOffset>433070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433070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2264410</wp:posOffset>
            </wp:positionH>
            <wp:positionV relativeFrom="paragraph">
              <wp:posOffset>433070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2281555</wp:posOffset>
            </wp:positionH>
            <wp:positionV relativeFrom="paragraph">
              <wp:posOffset>433070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2298700</wp:posOffset>
            </wp:positionH>
            <wp:positionV relativeFrom="paragraph">
              <wp:posOffset>433070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433070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433070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433070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433070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433070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433070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433070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433070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433070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433070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433070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433070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433070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433070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433070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433070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433070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433070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433070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433070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433070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433070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433070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2710180</wp:posOffset>
            </wp:positionH>
            <wp:positionV relativeFrom="paragraph">
              <wp:posOffset>433070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433070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433070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433070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433070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2795905</wp:posOffset>
            </wp:positionH>
            <wp:positionV relativeFrom="paragraph">
              <wp:posOffset>433070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433070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433070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433070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433070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2881630</wp:posOffset>
            </wp:positionH>
            <wp:positionV relativeFrom="paragraph">
              <wp:posOffset>433070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433070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433070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433070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433070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433070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433070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433070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433070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433070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433070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433070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433070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433070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433070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433070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433070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433070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433070</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433070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433070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433070</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433070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433070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433070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433070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-886460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-869315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-852170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-835025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-817880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-800735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-783590</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-766445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-749300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-732155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-715010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-697865</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-680720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-663575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-646430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-629285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-612140</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-594995</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-577850</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-560705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-543560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-526415</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-509270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-492125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-474980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-457835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-440690</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-423545</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-406400</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-389255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-372110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-354965</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-337820</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-320675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-303530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-286385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-269240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-252095</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-234950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-217805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-200660</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-183515</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-166370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-149225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-132080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-114935</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-97790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-80645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-63500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-46355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-29210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-12065</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4445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21590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38735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55880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73025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90170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107315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124460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141605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158750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175895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193040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210185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227330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244475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261620</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278765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295910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313055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330200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347345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364490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381635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398780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415925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433070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535940</wp:posOffset>
            </wp:positionV>
            <wp:extent cx="342900" cy="12890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clrChange>
                        <a:clrFrom>
                          <a:srgbClr val="000000"/>
                        </a:clrFrom>
                        <a:clrTo>
                          <a:srgbClr val="000000">
                            <a:alpha val="0"/>
                          </a:srgbClr>
                        </a:clrTo>
                      </a:clrChange>
                      <a:extLst>
                        <a:ext uri="{28A0092B-C50C-407E-A947-70E740481C1C}"/>
                      </a:extLst>
                    </a:blip>
                    <a:srcRect/>
                    <a:stretch>
                      <a:fillRect/>
                    </a:stretch>
                  </pic:blipFill>
                  <pic:spPr bwMode="auto">
                    <a:xfrm>
                      <a:off x="0" y="0"/>
                      <a:ext cx="342900" cy="128905"/>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535940</wp:posOffset>
            </wp:positionV>
            <wp:extent cx="342900" cy="1289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clrChange>
                        <a:clrFrom>
                          <a:srgbClr val="FFFFFF"/>
                        </a:clrFrom>
                        <a:clrTo>
                          <a:srgbClr val="FFFFFF">
                            <a:alpha val="0"/>
                          </a:srgbClr>
                        </a:clrTo>
                      </a:clrChange>
                      <a:extLst>
                        <a:ext uri="{28A0092B-C50C-407E-A947-70E740481C1C}"/>
                      </a:extLst>
                    </a:blip>
                    <a:srcRect/>
                    <a:stretch>
                      <a:fillRect/>
                    </a:stretch>
                  </pic:blipFill>
                  <pic:spPr bwMode="auto">
                    <a:xfrm>
                      <a:off x="0" y="0"/>
                      <a:ext cx="34290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460"/>
            <w:col w:w="52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00519B"/>
        </w:rPr>
        <w:t>ROLE OF MANAGEMENT</w:t>
      </w:r>
    </w:p>
    <w:p>
      <w:pPr>
        <w:spacing w:after="0" w:line="91" w:lineRule="exact"/>
        <w:rPr>
          <w:sz w:val="20"/>
          <w:szCs w:val="20"/>
          <w:color w:val="auto"/>
        </w:rPr>
      </w:pPr>
    </w:p>
    <w:p>
      <w:pPr>
        <w:ind w:left="640" w:right="200"/>
        <w:spacing w:after="0" w:line="238" w:lineRule="auto"/>
        <w:rPr>
          <w:sz w:val="20"/>
          <w:szCs w:val="20"/>
          <w:color w:val="auto"/>
        </w:rPr>
      </w:pPr>
      <w:r>
        <w:rPr>
          <w:rFonts w:ascii="Arial" w:cs="Arial" w:eastAsia="Arial" w:hAnsi="Arial"/>
          <w:sz w:val="15"/>
          <w:szCs w:val="15"/>
          <w:color w:val="auto"/>
        </w:rPr>
        <w:t>Senior leadership, including the ERM Council (a group of senior executives responsible for governance and oversight of the ERM program), manages risk. Occidental maintains internal processes and controls to facilitate risk identification and management. As part of Occidental’s governance and risk management processes, senior management regularly reports to the Board on financial, operational, human capital, cyber security, environmental, health, safety and sustainability matters.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42037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40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OVERSIGHT OF CYBER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8890" cy="117411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1174115"/>
                    </a:xfrm>
                    <a:prstGeom prst="rect">
                      <a:avLst/>
                    </a:prstGeom>
                    <a:noFill/>
                  </pic:spPr>
                </pic:pic>
              </a:graphicData>
            </a:graphic>
          </wp:anchor>
        </w:drawing>
      </w:r>
    </w:p>
    <w:p>
      <w:pPr>
        <w:spacing w:after="0" w:line="395" w:lineRule="exact"/>
        <w:rPr>
          <w:sz w:val="20"/>
          <w:szCs w:val="20"/>
          <w:color w:val="auto"/>
        </w:rPr>
      </w:pPr>
    </w:p>
    <w:p>
      <w:pPr>
        <w:ind w:left="200" w:right="80"/>
        <w:spacing w:after="0" w:line="233" w:lineRule="auto"/>
        <w:rPr>
          <w:sz w:val="20"/>
          <w:szCs w:val="20"/>
          <w:color w:val="auto"/>
        </w:rPr>
      </w:pPr>
      <w:r>
        <w:rPr>
          <w:rFonts w:ascii="Arial" w:cs="Arial" w:eastAsia="Arial" w:hAnsi="Arial"/>
          <w:sz w:val="15"/>
          <w:szCs w:val="15"/>
          <w:color w:val="auto"/>
        </w:rPr>
        <w:t>The Board recognizes the importance of monitoring cyber risk. At the management level, the company has a dedicated Chief Information Officer (CIO) who, along with his team, is responsible for the Information Technology (IT) organization and the strategy and deployment of IT across Occidental’s worldwide oil and gas, midstream, chemicals and corporate operations. The CIO briefs the Audit Committee on a quarterly basis on the cyber security program, events and the state of cyber security. Beginning in 2022 at the then-Chairman’s request, the Board also annually reviews the company’s cyber security program. In July 2022, the CIO briefed the full Board on the cyber warfare landscape, Occidental’s cyber risk management strategy and cyber security framework and external scoring and statistics, among other things. A representative from Secureworks also presented to the Board on its independent National Institute of Standards and Technology (NIST) Cybersecurity Framework (CSF) maturity assessment of Occidental’s cyber security posture and program.</w:t>
      </w:r>
    </w:p>
    <w:p>
      <w:pPr>
        <w:spacing w:after="0" w:line="178" w:lineRule="exact"/>
        <w:rPr>
          <w:sz w:val="20"/>
          <w:szCs w:val="20"/>
          <w:color w:val="auto"/>
        </w:rPr>
      </w:pPr>
    </w:p>
    <w:p>
      <w:pPr>
        <w:ind w:left="200" w:right="640"/>
        <w:spacing w:after="0" w:line="264" w:lineRule="auto"/>
        <w:rPr>
          <w:sz w:val="20"/>
          <w:szCs w:val="20"/>
          <w:color w:val="auto"/>
        </w:rPr>
      </w:pPr>
      <w:r>
        <w:rPr>
          <w:rFonts w:ascii="Arial" w:cs="Arial" w:eastAsia="Arial" w:hAnsi="Arial"/>
          <w:sz w:val="15"/>
          <w:szCs w:val="15"/>
          <w:color w:val="auto"/>
        </w:rPr>
        <w:t>In addition to the above, Occidental’s cyber security practices are reviewed as part of our standard general IT controls. Industrial Control Systems (ICS) Cybersecurity has also been incorporated into Occidental’s ERM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511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7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OVERSIGHT OF HUMAN CAPITAL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8890" cy="10369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1036955"/>
                    </a:xfrm>
                    <a:prstGeom prst="rect">
                      <a:avLst/>
                    </a:prstGeom>
                    <a:noFill/>
                  </pic:spPr>
                </pic:pic>
              </a:graphicData>
            </a:graphic>
          </wp:anchor>
        </w:drawing>
      </w:r>
    </w:p>
    <w:p>
      <w:pPr>
        <w:spacing w:after="0" w:line="341" w:lineRule="exact"/>
        <w:rPr>
          <w:sz w:val="20"/>
          <w:szCs w:val="20"/>
          <w:color w:val="auto"/>
        </w:rPr>
      </w:pPr>
    </w:p>
    <w:p>
      <w:pPr>
        <w:ind w:left="200" w:right="20"/>
        <w:spacing w:after="0" w:line="231" w:lineRule="auto"/>
        <w:rPr>
          <w:sz w:val="20"/>
          <w:szCs w:val="20"/>
          <w:color w:val="auto"/>
        </w:rPr>
      </w:pPr>
      <w:r>
        <w:rPr>
          <w:rFonts w:ascii="Arial" w:cs="Arial" w:eastAsia="Arial" w:hAnsi="Arial"/>
          <w:sz w:val="15"/>
          <w:szCs w:val="15"/>
          <w:color w:val="auto"/>
        </w:rPr>
        <w:t>The Board understands the importance of attracting, retaining and motivating top talent at all levels within the company, and that Occidental’s commitment to diversity, inclusion and belonging (DIB) is a key part of doing so. At the management level, the company has a dedicated Vice President of Diversity and Inclusion who, along with her team, is responsible for providing strategic diversity and inclusion expertise and support to business leaders and executives. The DIB Advisory Board, which is chaired by Occidental’s President and CEO and includes members of senior leadership, provides DIB governance and oversight to ensure that Occidental’s integrated DIB strategy is executed and aligns with the company’s mission, vision and strategic objectives. The DIB Ambassador Committee, which is chaired by Occidental’s Vice President of Diversity and Inclusion, consists of a diverse group of employee representatives from all business segments, domestic and international. The full Board discusses senior management succession planning at least annually. Most recently, in February 2023, the Vice President of HR Strategy and Services presented to the Sustainability and Shareholder Engagement Committee on the company’s HR strategy priorities for 2023 and reviewed employee diversity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43688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OVERSIGHT OF HSE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890" cy="182562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18256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0"/>
        <w:spacing w:after="0" w:line="244" w:lineRule="auto"/>
        <w:rPr>
          <w:sz w:val="20"/>
          <w:szCs w:val="20"/>
          <w:color w:val="auto"/>
        </w:rPr>
      </w:pPr>
      <w:r>
        <w:rPr>
          <w:rFonts w:ascii="Arial" w:cs="Arial" w:eastAsia="Arial" w:hAnsi="Arial"/>
          <w:sz w:val="15"/>
          <w:szCs w:val="15"/>
          <w:color w:val="auto"/>
        </w:rPr>
        <w:t>The Board oversees environmental, health, safety and sustainability matters, including those with respect to climate change, as an integral part of its oversight of Occidental’s strategy and key risks. These matters are inherent to the company’s strategic plans and, accordingly, are incorporated into regular Board meetings as well as the Board’s annual in-depth strategic review session.</w:t>
      </w:r>
    </w:p>
    <w:p>
      <w:pPr>
        <w:spacing w:after="0" w:line="176" w:lineRule="exact"/>
        <w:rPr>
          <w:sz w:val="20"/>
          <w:szCs w:val="20"/>
          <w:color w:val="auto"/>
        </w:rPr>
      </w:pPr>
    </w:p>
    <w:p>
      <w:pPr>
        <w:ind w:left="200" w:right="40"/>
        <w:spacing w:after="0" w:line="244" w:lineRule="auto"/>
        <w:rPr>
          <w:sz w:val="20"/>
          <w:szCs w:val="20"/>
          <w:color w:val="auto"/>
        </w:rPr>
      </w:pPr>
      <w:r>
        <w:rPr>
          <w:rFonts w:ascii="Arial" w:cs="Arial" w:eastAsia="Arial" w:hAnsi="Arial"/>
          <w:sz w:val="15"/>
          <w:szCs w:val="15"/>
          <w:color w:val="auto"/>
        </w:rPr>
        <w:t>In addition, the Board’s committee structure is designed to provide the Board and its committees with the appropriate oversight of relevant environmental, health and safety matters. The Environmental, Health and Safety Committee oversees and reviews the status of environmental, health and safety issues, including compliance with applicable laws and regulations. It also reviews results of internal compliance reviews and remediation projects, among other things.</w:t>
      </w:r>
    </w:p>
    <w:p>
      <w:pPr>
        <w:spacing w:after="0" w:line="176" w:lineRule="exact"/>
        <w:rPr>
          <w:sz w:val="20"/>
          <w:szCs w:val="20"/>
          <w:color w:val="auto"/>
        </w:rPr>
      </w:pPr>
    </w:p>
    <w:p>
      <w:pPr>
        <w:ind w:left="200" w:right="160"/>
        <w:spacing w:after="0" w:line="232" w:lineRule="auto"/>
        <w:rPr>
          <w:sz w:val="20"/>
          <w:szCs w:val="20"/>
          <w:color w:val="auto"/>
        </w:rPr>
      </w:pPr>
      <w:r>
        <w:rPr>
          <w:rFonts w:ascii="Arial" w:cs="Arial" w:eastAsia="Arial" w:hAnsi="Arial"/>
          <w:sz w:val="15"/>
          <w:szCs w:val="15"/>
          <w:color w:val="auto"/>
        </w:rPr>
        <w:t>The Board’s committee structure is also designed to provide the Board and its committees with the appropriate oversight of relevant sustainability matters. The Sustainability and Shareholder Engagement Committee provides close oversight of key sustainability and social responsibility issues, including shareholder proposals related to such matters. It reviews and monitors climate-related public policy trends and related regulatory matters and oversees Occidental’s social responsibility programs, policies and practices, including the Human Rights Policy. It also oversees Occidental’s external reporting on ESG and sustainability matters, including climate-related risks and opportunities. These two committees held a joint meeting in 2022 to discuss Occidental’s GHG emissions and associated reporting. Also, upon the recommendation of both committees, the Board approved updates to the company’s longstanding Health, Safety and Environmental Principles (as revised, the HSE and Sustainability Principles) that management recommended based on engagement with shareholders, employees and other stakeholders. Both committees report to the full Board on their respective activities and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743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6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Strategy Oversight</w:t>
      </w:r>
    </w:p>
    <w:p>
      <w:pPr>
        <w:spacing w:after="0" w:line="239"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The Board and its committees provide strategic guidance to management and oversight of Occidental’s business strategy throughout the year. This includes a dedicated discussion of significant risks, opportunities and strategies at the Board’s annual strategic planning meeting, which allows for an in-depth annual assessment of the key risks and opportunities facing Occidental. In particular, while Occidental’s low-carbon ventures and carbon management platform is a topic that is a focus for the full Board throughout the year, it has also been a key topic of our annual strategic planning meeting in recent years. The strategic planning meeting also affords the Board the opportunity to meet with expanded members of management, including internal subject-matter experts. At the 2022 strategic planning meeting, the Board focused particularly on the company’s assets and enabling technologies, as well as associated challenges and opportunities. In addition, various elements of strategy are discussed at every Board meeting, as well as at many meetings of the Board’s committees.</w:t>
      </w:r>
    </w:p>
    <w:p>
      <w:pPr>
        <w:spacing w:after="0" w:line="15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Shareholder Engagement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Occidental is committed to regular and transparent communication and engagement with its shareholders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3275" cy="443166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53275" cy="44316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both"/>
        <w:ind w:left="1080" w:right="60"/>
        <w:spacing w:after="0" w:line="235" w:lineRule="auto"/>
        <w:rPr>
          <w:sz w:val="20"/>
          <w:szCs w:val="20"/>
          <w:color w:val="auto"/>
        </w:rPr>
      </w:pPr>
      <w:r>
        <w:rPr>
          <w:rFonts w:ascii="Arial" w:cs="Arial" w:eastAsia="Arial" w:hAnsi="Arial"/>
          <w:sz w:val="15"/>
          <w:szCs w:val="15"/>
          <w:color w:val="auto"/>
        </w:rPr>
        <w:t>In 2022, we engaged with shareholders representing approximately</w:t>
      </w:r>
    </w:p>
    <w:p>
      <w:pPr>
        <w:ind w:left="1080"/>
        <w:spacing w:after="0" w:line="237" w:lineRule="auto"/>
        <w:rPr>
          <w:sz w:val="20"/>
          <w:szCs w:val="20"/>
          <w:color w:val="auto"/>
        </w:rPr>
      </w:pPr>
      <w:r>
        <w:rPr>
          <w:rFonts w:ascii="Arial" w:cs="Arial" w:eastAsia="Arial" w:hAnsi="Arial"/>
          <w:sz w:val="41"/>
          <w:szCs w:val="41"/>
          <w:b w:val="1"/>
          <w:bCs w:val="1"/>
          <w:color w:val="00529B"/>
        </w:rPr>
        <w:t>4x</w:t>
      </w:r>
    </w:p>
    <w:p>
      <w:pPr>
        <w:ind w:left="1080"/>
        <w:spacing w:after="0"/>
        <w:rPr>
          <w:sz w:val="20"/>
          <w:szCs w:val="20"/>
          <w:color w:val="auto"/>
        </w:rPr>
      </w:pPr>
      <w:r>
        <w:rPr>
          <w:rFonts w:ascii="Arial" w:cs="Arial" w:eastAsia="Arial" w:hAnsi="Arial"/>
          <w:sz w:val="15"/>
          <w:szCs w:val="15"/>
          <w:color w:val="auto"/>
        </w:rPr>
        <w:t>our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60" w:hanging="172"/>
        <w:spacing w:after="0" w:line="230" w:lineRule="auto"/>
        <w:tabs>
          <w:tab w:leader="none" w:pos="12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average shares outstanding in 2022. Includes each shareholder engagement, except engagements with direct board representation or common equity ownership of over 15% where engagement was counted once.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 w:right="613"/>
        <w:spacing w:after="0" w:line="281" w:lineRule="auto"/>
        <w:rPr>
          <w:sz w:val="20"/>
          <w:szCs w:val="20"/>
          <w:color w:val="auto"/>
        </w:rPr>
      </w:pPr>
      <w:r>
        <w:rPr>
          <w:rFonts w:ascii="Arial" w:cs="Arial" w:eastAsia="Arial" w:hAnsi="Arial"/>
          <w:sz w:val="18"/>
          <w:szCs w:val="18"/>
          <w:b w:val="1"/>
          <w:bCs w:val="1"/>
          <w:color w:val="00529B"/>
        </w:rPr>
        <w:t>HOW WE ENGAGED WITH OUR SHAREHOLDERS:</w:t>
      </w:r>
    </w:p>
    <w:p>
      <w:pPr>
        <w:spacing w:after="0" w:line="55" w:lineRule="exact"/>
        <w:rPr>
          <w:sz w:val="20"/>
          <w:szCs w:val="20"/>
          <w:color w:val="auto"/>
        </w:rPr>
      </w:pPr>
    </w:p>
    <w:p>
      <w:pPr>
        <w:ind w:left="183" w:right="253" w:hanging="183"/>
        <w:spacing w:after="0" w:line="233" w:lineRule="auto"/>
        <w:tabs>
          <w:tab w:leader="none" w:pos="197" w:val="left"/>
        </w:tabs>
        <w:numPr>
          <w:ilvl w:val="0"/>
          <w:numId w:val="42"/>
        </w:numPr>
        <w:rPr>
          <w:rFonts w:ascii="Arial" w:cs="Arial" w:eastAsia="Arial" w:hAnsi="Arial"/>
          <w:sz w:val="15"/>
          <w:szCs w:val="15"/>
          <w:color w:val="00529B"/>
        </w:rPr>
      </w:pPr>
      <w:r>
        <w:rPr>
          <w:rFonts w:ascii="Arial" w:cs="Arial" w:eastAsia="Arial" w:hAnsi="Arial"/>
          <w:sz w:val="15"/>
          <w:szCs w:val="15"/>
          <w:b w:val="1"/>
          <w:bCs w:val="1"/>
          <w:color w:val="auto"/>
        </w:rPr>
        <w:t xml:space="preserve">We proactively engage with our largest shareholders </w:t>
      </w:r>
      <w:r>
        <w:rPr>
          <w:rFonts w:ascii="Arial" w:cs="Arial" w:eastAsia="Arial" w:hAnsi="Arial"/>
          <w:sz w:val="15"/>
          <w:szCs w:val="15"/>
          <w:color w:val="auto"/>
        </w:rPr>
        <w:t>throughout the year,</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broad-based engagements in the fall/winter to discuss ESG matters and in advance of the annual meeting to discuss agenda items and any other topics of interest.</w:t>
      </w:r>
    </w:p>
    <w:p>
      <w:pPr>
        <w:spacing w:after="0" w:line="56" w:lineRule="exact"/>
        <w:rPr>
          <w:rFonts w:ascii="Arial" w:cs="Arial" w:eastAsia="Arial" w:hAnsi="Arial"/>
          <w:sz w:val="15"/>
          <w:szCs w:val="15"/>
          <w:color w:val="00529B"/>
        </w:rPr>
      </w:pPr>
    </w:p>
    <w:p>
      <w:pPr>
        <w:ind w:left="183" w:right="493" w:hanging="183"/>
        <w:spacing w:after="0" w:line="238" w:lineRule="auto"/>
        <w:tabs>
          <w:tab w:leader="none" w:pos="197" w:val="left"/>
        </w:tabs>
        <w:numPr>
          <w:ilvl w:val="0"/>
          <w:numId w:val="42"/>
        </w:numPr>
        <w:rPr>
          <w:rFonts w:ascii="Arial" w:cs="Arial" w:eastAsia="Arial" w:hAnsi="Arial"/>
          <w:sz w:val="15"/>
          <w:szCs w:val="15"/>
          <w:color w:val="00529B"/>
        </w:rPr>
      </w:pPr>
      <w:r>
        <w:rPr>
          <w:rFonts w:ascii="Arial" w:cs="Arial" w:eastAsia="Arial" w:hAnsi="Arial"/>
          <w:sz w:val="15"/>
          <w:szCs w:val="15"/>
          <w:b w:val="1"/>
          <w:bCs w:val="1"/>
          <w:color w:val="auto"/>
        </w:rPr>
        <w:t>We regularly conduct roadshows targeting engagement with specific investors and participate in industry conferences to engage with a broad group of investors.</w:t>
      </w:r>
    </w:p>
    <w:p>
      <w:pPr>
        <w:spacing w:after="0" w:line="51" w:lineRule="exact"/>
        <w:rPr>
          <w:rFonts w:ascii="Arial" w:cs="Arial" w:eastAsia="Arial" w:hAnsi="Arial"/>
          <w:sz w:val="15"/>
          <w:szCs w:val="15"/>
          <w:color w:val="00529B"/>
        </w:rPr>
      </w:pPr>
    </w:p>
    <w:p>
      <w:pPr>
        <w:ind w:left="183" w:right="373" w:hanging="183"/>
        <w:spacing w:after="0" w:line="250" w:lineRule="auto"/>
        <w:tabs>
          <w:tab w:leader="none" w:pos="197" w:val="left"/>
        </w:tabs>
        <w:numPr>
          <w:ilvl w:val="0"/>
          <w:numId w:val="42"/>
        </w:numPr>
        <w:rPr>
          <w:rFonts w:ascii="Arial" w:cs="Arial" w:eastAsia="Arial" w:hAnsi="Arial"/>
          <w:sz w:val="15"/>
          <w:szCs w:val="15"/>
          <w:color w:val="00529B"/>
        </w:rPr>
      </w:pPr>
      <w:r>
        <w:rPr>
          <w:rFonts w:ascii="Arial" w:cs="Arial" w:eastAsia="Arial" w:hAnsi="Arial"/>
          <w:sz w:val="15"/>
          <w:szCs w:val="15"/>
          <w:color w:val="auto"/>
        </w:rPr>
        <w:t xml:space="preserve">We also engage with investors through </w:t>
      </w:r>
      <w:r>
        <w:rPr>
          <w:rFonts w:ascii="Arial" w:cs="Arial" w:eastAsia="Arial" w:hAnsi="Arial"/>
          <w:sz w:val="15"/>
          <w:szCs w:val="15"/>
          <w:b w:val="1"/>
          <w:bCs w:val="1"/>
          <w:color w:val="auto"/>
        </w:rPr>
        <w:t>virtual and in-person meetings, phone calls and emails</w:t>
      </w:r>
      <w:r>
        <w:rPr>
          <w:rFonts w:ascii="Arial" w:cs="Arial" w:eastAsia="Arial" w:hAnsi="Arial"/>
          <w:sz w:val="15"/>
          <w:szCs w:val="15"/>
          <w:color w:val="auto"/>
        </w:rPr>
        <w:t>.</w:t>
      </w:r>
    </w:p>
    <w:p>
      <w:pPr>
        <w:spacing w:after="0" w:line="25" w:lineRule="exact"/>
        <w:rPr>
          <w:rFonts w:ascii="Arial" w:cs="Arial" w:eastAsia="Arial" w:hAnsi="Arial"/>
          <w:sz w:val="15"/>
          <w:szCs w:val="15"/>
          <w:color w:val="00529B"/>
        </w:rPr>
      </w:pPr>
    </w:p>
    <w:p>
      <w:pPr>
        <w:ind w:left="183" w:right="393" w:hanging="183"/>
        <w:spacing w:after="0" w:line="246" w:lineRule="auto"/>
        <w:tabs>
          <w:tab w:leader="none" w:pos="197" w:val="left"/>
        </w:tabs>
        <w:numPr>
          <w:ilvl w:val="0"/>
          <w:numId w:val="42"/>
        </w:numPr>
        <w:rPr>
          <w:rFonts w:ascii="Arial" w:cs="Arial" w:eastAsia="Arial" w:hAnsi="Arial"/>
          <w:sz w:val="15"/>
          <w:szCs w:val="15"/>
          <w:color w:val="00529B"/>
        </w:rPr>
      </w:pPr>
      <w:r>
        <w:rPr>
          <w:rFonts w:ascii="Arial" w:cs="Arial" w:eastAsia="Arial" w:hAnsi="Arial"/>
          <w:sz w:val="15"/>
          <w:szCs w:val="15"/>
          <w:b w:val="1"/>
          <w:bCs w:val="1"/>
          <w:color w:val="auto"/>
        </w:rPr>
        <w:t xml:space="preserve">We regularly report our shareholders’ views to the Board </w:t>
      </w:r>
      <w:r>
        <w:rPr>
          <w:rFonts w:ascii="Arial" w:cs="Arial" w:eastAsia="Arial" w:hAnsi="Arial"/>
          <w:sz w:val="15"/>
          <w:szCs w:val="15"/>
          <w:color w:val="auto"/>
        </w:rPr>
        <w:t>and respond to</w:t>
      </w:r>
      <w:r>
        <w:rPr>
          <w:rFonts w:ascii="Arial" w:cs="Arial" w:eastAsia="Arial" w:hAnsi="Arial"/>
          <w:sz w:val="15"/>
          <w:szCs w:val="15"/>
          <w:b w:val="1"/>
          <w:bCs w:val="1"/>
          <w:color w:val="auto"/>
        </w:rPr>
        <w:t xml:space="preserve"> </w:t>
      </w:r>
      <w:r>
        <w:rPr>
          <w:rFonts w:ascii="Arial" w:cs="Arial" w:eastAsia="Arial" w:hAnsi="Arial"/>
          <w:sz w:val="15"/>
          <w:szCs w:val="15"/>
          <w:color w:val="auto"/>
        </w:rPr>
        <w:t>feedback.</w:t>
      </w:r>
    </w:p>
    <w:p>
      <w:pPr>
        <w:spacing w:after="0" w:line="50" w:lineRule="exact"/>
        <w:rPr>
          <w:rFonts w:ascii="Arial" w:cs="Arial" w:eastAsia="Arial" w:hAnsi="Arial"/>
          <w:sz w:val="15"/>
          <w:szCs w:val="15"/>
          <w:color w:val="00529B"/>
        </w:rPr>
      </w:pPr>
    </w:p>
    <w:p>
      <w:pPr>
        <w:ind w:left="183" w:right="513" w:hanging="183"/>
        <w:spacing w:after="0" w:line="267" w:lineRule="auto"/>
        <w:tabs>
          <w:tab w:leader="none" w:pos="197" w:val="left"/>
        </w:tabs>
        <w:numPr>
          <w:ilvl w:val="0"/>
          <w:numId w:val="42"/>
        </w:numPr>
        <w:rPr>
          <w:rFonts w:ascii="Arial" w:cs="Arial" w:eastAsia="Arial" w:hAnsi="Arial"/>
          <w:sz w:val="15"/>
          <w:szCs w:val="15"/>
          <w:color w:val="00529B"/>
        </w:rPr>
      </w:pPr>
      <w:r>
        <w:rPr>
          <w:rFonts w:ascii="Arial" w:cs="Arial" w:eastAsia="Arial" w:hAnsi="Arial"/>
          <w:sz w:val="15"/>
          <w:szCs w:val="15"/>
          <w:b w:val="1"/>
          <w:bCs w:val="1"/>
          <w:color w:val="auto"/>
        </w:rPr>
        <w:t xml:space="preserve">Independent directors </w:t>
      </w:r>
      <w:r>
        <w:rPr>
          <w:rFonts w:ascii="Arial" w:cs="Arial" w:eastAsia="Arial" w:hAnsi="Arial"/>
          <w:sz w:val="15"/>
          <w:szCs w:val="15"/>
          <w:color w:val="auto"/>
        </w:rPr>
        <w:t>participated in</w:t>
      </w:r>
      <w:r>
        <w:rPr>
          <w:rFonts w:ascii="Arial" w:cs="Arial" w:eastAsia="Arial" w:hAnsi="Arial"/>
          <w:sz w:val="15"/>
          <w:szCs w:val="15"/>
          <w:b w:val="1"/>
          <w:bCs w:val="1"/>
          <w:color w:val="auto"/>
        </w:rPr>
        <w:t xml:space="preserve"> </w:t>
      </w:r>
      <w:r>
        <w:rPr>
          <w:rFonts w:ascii="Arial" w:cs="Arial" w:eastAsia="Arial" w:hAnsi="Arial"/>
          <w:sz w:val="15"/>
          <w:szCs w:val="15"/>
          <w:color w:val="auto"/>
        </w:rPr>
        <w:t>many of our engagement meetings.</w:t>
      </w:r>
    </w:p>
    <w:p>
      <w:pPr>
        <w:spacing w:after="0" w:line="34" w:lineRule="exact"/>
        <w:rPr>
          <w:rFonts w:ascii="Arial" w:cs="Arial" w:eastAsia="Arial" w:hAnsi="Arial"/>
          <w:sz w:val="15"/>
          <w:szCs w:val="15"/>
          <w:color w:val="00529B"/>
        </w:rPr>
      </w:pPr>
    </w:p>
    <w:p>
      <w:pPr>
        <w:ind w:left="183" w:right="253" w:hanging="183"/>
        <w:spacing w:after="0" w:line="234" w:lineRule="auto"/>
        <w:tabs>
          <w:tab w:leader="none" w:pos="197" w:val="left"/>
        </w:tabs>
        <w:numPr>
          <w:ilvl w:val="0"/>
          <w:numId w:val="42"/>
        </w:numPr>
        <w:rPr>
          <w:rFonts w:ascii="Arial" w:cs="Arial" w:eastAsia="Arial" w:hAnsi="Arial"/>
          <w:sz w:val="15"/>
          <w:szCs w:val="15"/>
          <w:color w:val="00529B"/>
        </w:rPr>
      </w:pPr>
      <w:r>
        <w:rPr>
          <w:rFonts w:ascii="Arial" w:cs="Arial" w:eastAsia="Arial" w:hAnsi="Arial"/>
          <w:sz w:val="15"/>
          <w:szCs w:val="15"/>
          <w:b w:val="1"/>
          <w:bCs w:val="1"/>
          <w:color w:val="auto"/>
        </w:rPr>
        <w:t xml:space="preserve">The Board’s Sustainability and Shareholder Engagement Committee oversees our shareholder engagement program </w:t>
      </w:r>
      <w:r>
        <w:rPr>
          <w:rFonts w:ascii="Arial" w:cs="Arial" w:eastAsia="Arial" w:hAnsi="Arial"/>
          <w:sz w:val="15"/>
          <w:szCs w:val="15"/>
          <w:color w:val="auto"/>
        </w:rPr>
        <w:t>and provides an avenue for</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 feedback to be communicated directly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529B"/>
        </w:rPr>
        <w:t>TOPICS DISCUSSED</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529B"/>
        </w:rPr>
        <w:t>WITH OUR</w:t>
      </w:r>
    </w:p>
    <w:p>
      <w:pPr>
        <w:ind w:left="7"/>
        <w:spacing w:after="0"/>
        <w:rPr>
          <w:sz w:val="20"/>
          <w:szCs w:val="20"/>
          <w:color w:val="auto"/>
        </w:rPr>
      </w:pPr>
      <w:r>
        <w:rPr>
          <w:rFonts w:ascii="Arial" w:cs="Arial" w:eastAsia="Arial" w:hAnsi="Arial"/>
          <w:sz w:val="18"/>
          <w:szCs w:val="18"/>
          <w:b w:val="1"/>
          <w:bCs w:val="1"/>
          <w:color w:val="00529B"/>
        </w:rPr>
        <w:t>SHAREHOLDERS:</w:t>
      </w:r>
    </w:p>
    <w:p>
      <w:pPr>
        <w:spacing w:after="0" w:line="114" w:lineRule="exact"/>
        <w:rPr>
          <w:sz w:val="20"/>
          <w:szCs w:val="20"/>
          <w:color w:val="auto"/>
        </w:rPr>
      </w:pPr>
    </w:p>
    <w:p>
      <w:pPr>
        <w:ind w:left="187" w:right="1240" w:hanging="187"/>
        <w:spacing w:after="0" w:line="264"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Shareholder return framework and cash flow priorities</w:t>
      </w:r>
    </w:p>
    <w:p>
      <w:pPr>
        <w:spacing w:after="0" w:line="39" w:lineRule="exact"/>
        <w:rPr>
          <w:rFonts w:ascii="Arial" w:cs="Arial" w:eastAsia="Arial" w:hAnsi="Arial"/>
          <w:sz w:val="15"/>
          <w:szCs w:val="15"/>
          <w:color w:val="00529B"/>
        </w:rPr>
      </w:pPr>
    </w:p>
    <w:p>
      <w:pPr>
        <w:ind w:left="187" w:right="1180" w:hanging="187"/>
        <w:spacing w:after="0" w:line="238"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Actions to strengthen the company’s balance sheet, including debt reduction and potential for preferred equity redemption</w:t>
      </w:r>
    </w:p>
    <w:p>
      <w:pPr>
        <w:spacing w:after="0" w:line="58" w:lineRule="exact"/>
        <w:rPr>
          <w:rFonts w:ascii="Arial" w:cs="Arial" w:eastAsia="Arial" w:hAnsi="Arial"/>
          <w:sz w:val="15"/>
          <w:szCs w:val="15"/>
          <w:color w:val="00529B"/>
        </w:rPr>
      </w:pPr>
    </w:p>
    <w:p>
      <w:pPr>
        <w:ind w:left="187" w:hanging="187"/>
        <w:spacing w:after="0"/>
        <w:tabs>
          <w:tab w:leader="none" w:pos="187"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Capital spending and activity levels</w:t>
      </w:r>
    </w:p>
    <w:p>
      <w:pPr>
        <w:spacing w:after="0" w:line="70" w:lineRule="exact"/>
        <w:rPr>
          <w:rFonts w:ascii="Arial" w:cs="Arial" w:eastAsia="Arial" w:hAnsi="Arial"/>
          <w:sz w:val="15"/>
          <w:szCs w:val="15"/>
          <w:color w:val="00529B"/>
        </w:rPr>
      </w:pPr>
    </w:p>
    <w:p>
      <w:pPr>
        <w:ind w:left="187" w:right="1200" w:hanging="187"/>
        <w:spacing w:after="0" w:line="264"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Oil &amp; gas inventory and operational differentiation</w:t>
      </w:r>
    </w:p>
    <w:p>
      <w:pPr>
        <w:spacing w:after="0" w:line="39" w:lineRule="exact"/>
        <w:rPr>
          <w:rFonts w:ascii="Arial" w:cs="Arial" w:eastAsia="Arial" w:hAnsi="Arial"/>
          <w:sz w:val="15"/>
          <w:szCs w:val="15"/>
          <w:color w:val="00529B"/>
        </w:rPr>
      </w:pPr>
    </w:p>
    <w:p>
      <w:pPr>
        <w:ind w:left="187" w:hanging="187"/>
        <w:spacing w:after="0"/>
        <w:tabs>
          <w:tab w:leader="none" w:pos="187"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OLCV updates</w:t>
      </w:r>
    </w:p>
    <w:p>
      <w:pPr>
        <w:spacing w:after="0" w:line="84" w:lineRule="exact"/>
        <w:rPr>
          <w:rFonts w:ascii="Arial" w:cs="Arial" w:eastAsia="Arial" w:hAnsi="Arial"/>
          <w:sz w:val="15"/>
          <w:szCs w:val="15"/>
          <w:color w:val="00529B"/>
        </w:rPr>
      </w:pPr>
    </w:p>
    <w:p>
      <w:pPr>
        <w:ind w:left="187" w:right="1240" w:hanging="187"/>
        <w:spacing w:after="0" w:line="233"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Our net-zero pathway to achieve net-zero emissions in our operations and energy use (Scope 1 and 2) before 2040 and in our value chain, including the use of our products (Scope 3), with an ambition to do so before 2050</w:t>
      </w:r>
    </w:p>
    <w:p>
      <w:pPr>
        <w:spacing w:after="0" w:line="42" w:lineRule="exact"/>
        <w:rPr>
          <w:rFonts w:ascii="Arial" w:cs="Arial" w:eastAsia="Arial" w:hAnsi="Arial"/>
          <w:sz w:val="15"/>
          <w:szCs w:val="15"/>
          <w:color w:val="00529B"/>
        </w:rPr>
      </w:pPr>
    </w:p>
    <w:p>
      <w:pPr>
        <w:ind w:left="187" w:right="1720" w:hanging="187"/>
        <w:spacing w:after="0" w:line="264"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Climate, human capital and sustainability matters</w:t>
      </w:r>
    </w:p>
    <w:p>
      <w:pPr>
        <w:spacing w:after="0" w:line="39" w:lineRule="exact"/>
        <w:rPr>
          <w:rFonts w:ascii="Arial" w:cs="Arial" w:eastAsia="Arial" w:hAnsi="Arial"/>
          <w:sz w:val="15"/>
          <w:szCs w:val="15"/>
          <w:color w:val="00529B"/>
        </w:rPr>
      </w:pPr>
    </w:p>
    <w:p>
      <w:pPr>
        <w:ind w:left="187" w:right="2000" w:hanging="187"/>
        <w:spacing w:after="0" w:line="264"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Board composition and refreshment</w:t>
      </w:r>
    </w:p>
    <w:p>
      <w:pPr>
        <w:spacing w:after="0" w:line="39" w:lineRule="exact"/>
        <w:rPr>
          <w:rFonts w:ascii="Arial" w:cs="Arial" w:eastAsia="Arial" w:hAnsi="Arial"/>
          <w:sz w:val="15"/>
          <w:szCs w:val="15"/>
          <w:color w:val="00529B"/>
        </w:rPr>
      </w:pPr>
    </w:p>
    <w:p>
      <w:pPr>
        <w:ind w:left="187" w:right="1300" w:hanging="187"/>
        <w:spacing w:after="0" w:line="264"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Board oversight of the company’s strategy</w:t>
      </w:r>
    </w:p>
    <w:p>
      <w:pPr>
        <w:spacing w:after="0" w:line="25" w:lineRule="exact"/>
        <w:rPr>
          <w:rFonts w:ascii="Arial" w:cs="Arial" w:eastAsia="Arial" w:hAnsi="Arial"/>
          <w:sz w:val="15"/>
          <w:szCs w:val="15"/>
          <w:color w:val="00529B"/>
        </w:rPr>
      </w:pPr>
    </w:p>
    <w:p>
      <w:pPr>
        <w:ind w:left="187" w:hanging="187"/>
        <w:spacing w:after="0"/>
        <w:tabs>
          <w:tab w:leader="none" w:pos="187"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Board oversight of risk</w:t>
      </w:r>
    </w:p>
    <w:p>
      <w:pPr>
        <w:spacing w:after="0" w:line="84" w:lineRule="exact"/>
        <w:rPr>
          <w:rFonts w:ascii="Arial" w:cs="Arial" w:eastAsia="Arial" w:hAnsi="Arial"/>
          <w:sz w:val="15"/>
          <w:szCs w:val="15"/>
          <w:color w:val="00529B"/>
        </w:rPr>
      </w:pPr>
    </w:p>
    <w:p>
      <w:pPr>
        <w:ind w:left="187" w:right="1340" w:hanging="187"/>
        <w:spacing w:after="0" w:line="264" w:lineRule="auto"/>
        <w:tabs>
          <w:tab w:leader="none" w:pos="200" w:val="left"/>
        </w:tabs>
        <w:numPr>
          <w:ilvl w:val="0"/>
          <w:numId w:val="43"/>
        </w:numPr>
        <w:rPr>
          <w:rFonts w:ascii="Arial" w:cs="Arial" w:eastAsia="Arial" w:hAnsi="Arial"/>
          <w:sz w:val="15"/>
          <w:szCs w:val="15"/>
          <w:color w:val="00529B"/>
        </w:rPr>
      </w:pPr>
      <w:r>
        <w:rPr>
          <w:rFonts w:ascii="Arial" w:cs="Arial" w:eastAsia="Arial" w:hAnsi="Arial"/>
          <w:sz w:val="15"/>
          <w:szCs w:val="15"/>
          <w:color w:val="auto"/>
        </w:rPr>
        <w:t>Design and structure of our executive compensation program</w:t>
      </w:r>
    </w:p>
    <w:p>
      <w:pPr>
        <w:spacing w:after="0" w:line="200" w:lineRule="exact"/>
        <w:rPr>
          <w:sz w:val="20"/>
          <w:szCs w:val="20"/>
          <w:color w:val="auto"/>
        </w:rPr>
      </w:pPr>
    </w:p>
    <w:p>
      <w:pPr>
        <w:sectPr>
          <w:pgSz w:w="11900" w:h="16838" w:orient="portrait"/>
          <w:cols w:equalWidth="0" w:num="3">
            <w:col w:w="2920" w:space="517"/>
            <w:col w:w="3316" w:space="720"/>
            <w:col w:w="3767"/>
          </w:cols>
          <w:pgMar w:left="320" w:top="130"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jc w:val="right"/>
        <w:ind w:right="180"/>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Corporate Governance</w:t>
      </w:r>
    </w:p>
    <w:p>
      <w:pPr>
        <w:spacing w:after="0" w:line="33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Communications with Directors</w:t>
      </w:r>
    </w:p>
    <w:p>
      <w:pPr>
        <w:spacing w:after="0" w:line="241"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Shareholders and other interested parties may communicate with any director by sending a letter to the director’s attention in care of Occidental’s Corporate Secretary, Occidental Petroleum Corporation, 5 Greenway Plaza, Suite 110, Houston, Texas 77046. The Corporate Secretary opens, logs and forwards all such correspondence (other than advertisements or other solicitations) to directors unless a director has requested that the Corporate Secretary forward correspondence unopened.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Governance Matters</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Related Party Transactions</w:t>
      </w:r>
    </w:p>
    <w:p>
      <w:pPr>
        <w:spacing w:after="0" w:line="239"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Pursuant to Occidental’s Conflict of Interest Policy and Code of Business Conduct, each director and executive officer has an obligation to avoid any activity, agreement, business investment or interest, or other situation that could be construed either as divergent from or in competition with Occidental’s interest or as an interference with such person’s primary duty to serve Occidental, unless prior written approval has been granted by the Audit Committee. All potential conflicts of interest must be reported to a designated compliance officer. A summary of the Conflict of Interest Policy is included in Occidental’s Code of Business Conduct which can be found at www.oxy.com/investors/governance.</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Pursuant to Occidental’s written policy on related party transactions, the Governance Committee reviews relationships and transactions in which Occidental and its directors, executive officers or their immediate family members participate if the amount involved exceeds $ 120,000. To help identify related party transactions, each director and executive officer completes an annual questionnaire that requires disclosure of any transaction between Occidental and the director or executive officer or any of his or her affiliates or immediate family members. Additionally, the accounting department reviews Occidental’s financial records for payments made to, or received from, related parties and the entities with which the related parties are affiliated, and reports any identified transactions to the legal department. The Governance Committee reviews and approves, ratifies or rejects identified related party transactions. In approving, ratifying or rejecting a related party transaction, the Governance Committee considers such information as it deems appropriate to determine whether the transaction is on reasonable and competitive terms and is fair to Occidental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2743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Non-Employee Director Compensation</w:t>
      </w:r>
    </w:p>
    <w:p>
      <w:pPr>
        <w:spacing w:after="0" w:line="242"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auto"/>
        </w:rPr>
        <w:t>The Governance Committee periodically reviews non-employee director compensation and makes recommendations regarding changes to the program to the Board. The Governance Committee last reviewed non-employee director compensation in May 2021 with the assistance of Meridian as its independent compensation consultant. Meridian performed a robust review of Occidental’s non-employee director compensation program, which included a detailed comparison of Occidental’s non-employee director compensation program and practices against those of Occidental’s peer companies (as defined on page 45) and against a broader comparator group of the largest 200 companies in the S&amp;P 500. After careful consideration and discussion, the Governance Committee determined to partially restore non-employee director compensation to an amount approximately 11% less than 2019 levels.</w:t>
      </w:r>
    </w:p>
    <w:p>
      <w:pPr>
        <w:spacing w:after="0" w:line="17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Governance Committee believes the program is competitive and aligned with market practices and therefore decided not to make changes to the program for the 2022-2023 term.</w:t>
      </w:r>
    </w:p>
    <w:p>
      <w:pPr>
        <w:spacing w:after="0" w:line="14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Compensation Program</w:t>
      </w:r>
    </w:p>
    <w:p>
      <w:pPr>
        <w:spacing w:after="0" w:line="241"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The non-employee directors receive a combination of cash, in the form of an annual retainer payable on a monthly basis, and stock-based compensation. Occidental does not provide option awards, non-equity incentive awards or retirement plans for non-employee directors. The Independent Chairman of the Board, the Independent Vice Chairman of the Board (if any) and the committee chairs receive additional compensation for their service due to the increased responsibilities that accompany these positions. Ms. Hollub does not receive any compensation for her service as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describes the components of the non-employee director compensation program for the 2022-2023 term:</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Compensation Element</w:t>
            </w:r>
          </w:p>
        </w:tc>
        <w:tc>
          <w:tcPr>
            <w:tcW w:w="100" w:type="dxa"/>
            <w:vAlign w:val="bottom"/>
            <w:tcBorders>
              <w:bottom w:val="single" w:sz="8" w:color="00529B"/>
            </w:tcBorders>
          </w:tcPr>
          <w:p>
            <w:pPr>
              <w:spacing w:after="0"/>
              <w:rPr>
                <w:sz w:val="17"/>
                <w:szCs w:val="17"/>
                <w:color w:val="auto"/>
              </w:rPr>
            </w:pPr>
          </w:p>
        </w:tc>
        <w:tc>
          <w:tcPr>
            <w:tcW w:w="260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00529B"/>
              </w:rPr>
              <w:t>Term Amount</w:t>
            </w:r>
          </w:p>
        </w:tc>
      </w:tr>
      <w:tr>
        <w:trPr>
          <w:trHeight w:val="209"/>
        </w:trPr>
        <w:tc>
          <w:tcPr>
            <w:tcW w:w="8540" w:type="dxa"/>
            <w:vAlign w:val="bottom"/>
          </w:tcPr>
          <w:p>
            <w:pPr>
              <w:ind w:left="60"/>
              <w:spacing w:after="0"/>
              <w:rPr>
                <w:sz w:val="20"/>
                <w:szCs w:val="20"/>
                <w:color w:val="auto"/>
              </w:rPr>
            </w:pPr>
            <w:r>
              <w:rPr>
                <w:rFonts w:ascii="Arial" w:cs="Arial" w:eastAsia="Arial" w:hAnsi="Arial"/>
                <w:sz w:val="14"/>
                <w:szCs w:val="14"/>
                <w:b w:val="1"/>
                <w:bCs w:val="1"/>
                <w:color w:val="00529B"/>
              </w:rPr>
              <w:t>Annual Cash Retainer</w:t>
            </w:r>
          </w:p>
        </w:tc>
        <w:tc>
          <w:tcPr>
            <w:tcW w:w="1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110,000 for non-employee directors</w:t>
            </w:r>
          </w:p>
        </w:tc>
      </w:tr>
      <w:tr>
        <w:trPr>
          <w:trHeight w:val="207"/>
        </w:trPr>
        <w:tc>
          <w:tcPr>
            <w:tcW w:w="854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140,000 for Chairman of the Board</w:t>
            </w:r>
          </w:p>
        </w:tc>
      </w:tr>
      <w:tr>
        <w:trPr>
          <w:trHeight w:val="213"/>
        </w:trPr>
        <w:tc>
          <w:tcPr>
            <w:tcW w:w="8540" w:type="dxa"/>
            <w:vAlign w:val="bottom"/>
          </w:tcPr>
          <w:p>
            <w:pPr>
              <w:ind w:left="60"/>
              <w:spacing w:after="0"/>
              <w:rPr>
                <w:sz w:val="20"/>
                <w:szCs w:val="20"/>
                <w:color w:val="auto"/>
              </w:rPr>
            </w:pPr>
            <w:r>
              <w:rPr>
                <w:rFonts w:ascii="Arial" w:cs="Arial" w:eastAsia="Arial" w:hAnsi="Arial"/>
                <w:sz w:val="14"/>
                <w:szCs w:val="14"/>
                <w:b w:val="1"/>
                <w:bCs w:val="1"/>
                <w:color w:val="00529B"/>
              </w:rPr>
              <w:t>Annual Equity Award</w:t>
            </w:r>
          </w:p>
        </w:tc>
        <w:tc>
          <w:tcPr>
            <w:tcW w:w="1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200,000 for non-employee directors</w:t>
            </w:r>
          </w:p>
        </w:tc>
      </w:tr>
      <w:tr>
        <w:trPr>
          <w:trHeight w:val="206"/>
        </w:trPr>
        <w:tc>
          <w:tcPr>
            <w:tcW w:w="8540" w:type="dxa"/>
            <w:vAlign w:val="bottom"/>
          </w:tcPr>
          <w:p>
            <w:pPr>
              <w:spacing w:after="0"/>
              <w:rPr>
                <w:sz w:val="17"/>
                <w:szCs w:val="17"/>
                <w:color w:val="auto"/>
              </w:rPr>
            </w:pPr>
          </w:p>
        </w:tc>
        <w:tc>
          <w:tcPr>
            <w:tcW w:w="1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250,000 for Vice Chairman of the Board</w:t>
            </w:r>
          </w:p>
        </w:tc>
      </w:tr>
      <w:tr>
        <w:trPr>
          <w:trHeight w:val="210"/>
        </w:trPr>
        <w:tc>
          <w:tcPr>
            <w:tcW w:w="85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310,000 for Chairman of the Board</w:t>
            </w:r>
          </w:p>
        </w:tc>
      </w:tr>
      <w:tr>
        <w:trPr>
          <w:trHeight w:val="212"/>
        </w:trPr>
        <w:tc>
          <w:tcPr>
            <w:tcW w:w="854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Board or Committee Meeting Fees</w:t>
            </w:r>
          </w:p>
        </w:tc>
        <w:tc>
          <w:tcPr>
            <w:tcW w:w="100" w:type="dxa"/>
            <w:vAlign w:val="bottom"/>
            <w:tcBorders>
              <w:bottom w:val="single" w:sz="8" w:color="D1D2D4"/>
            </w:tcBorders>
          </w:tcPr>
          <w:p>
            <w:pPr>
              <w:spacing w:after="0"/>
              <w:rPr>
                <w:sz w:val="18"/>
                <w:szCs w:val="18"/>
                <w:color w:val="auto"/>
              </w:rPr>
            </w:pPr>
          </w:p>
        </w:tc>
        <w:tc>
          <w:tcPr>
            <w:tcW w:w="2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None</w:t>
            </w:r>
          </w:p>
        </w:tc>
      </w:tr>
      <w:tr>
        <w:trPr>
          <w:trHeight w:val="210"/>
        </w:trPr>
        <w:tc>
          <w:tcPr>
            <w:tcW w:w="854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Committee Chair Additional Annual Equity Award</w:t>
            </w:r>
          </w:p>
        </w:tc>
        <w:tc>
          <w:tcPr>
            <w:tcW w:w="10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25,000 for each committee</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Annual Equity Award</w:t>
      </w:r>
    </w:p>
    <w:p>
      <w:pPr>
        <w:spacing w:after="0" w:line="239" w:lineRule="exact"/>
        <w:rPr>
          <w:sz w:val="20"/>
          <w:szCs w:val="20"/>
          <w:color w:val="auto"/>
        </w:rPr>
      </w:pPr>
    </w:p>
    <w:p>
      <w:pPr>
        <w:jc w:val="both"/>
        <w:ind w:right="40"/>
        <w:spacing w:after="0" w:line="264" w:lineRule="auto"/>
        <w:rPr>
          <w:sz w:val="20"/>
          <w:szCs w:val="20"/>
          <w:color w:val="auto"/>
        </w:rPr>
      </w:pPr>
      <w:r>
        <w:rPr>
          <w:rFonts w:ascii="Arial" w:cs="Arial" w:eastAsia="Arial" w:hAnsi="Arial"/>
          <w:sz w:val="15"/>
          <w:szCs w:val="15"/>
          <w:color w:val="auto"/>
        </w:rPr>
        <w:t>The Board believes that director and shareholder interests should be aligned over the long term. In furtherance of this objective, the majority of non-employee director compensation is equity-based compensation. Directors may elect to receive their annual equity award in shares of common stock or in deferred common stock units.</w:t>
      </w:r>
    </w:p>
    <w:p>
      <w:pPr>
        <w:spacing w:after="0" w:line="159"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b w:val="1"/>
          <w:bCs w:val="1"/>
          <w:color w:val="auto"/>
        </w:rPr>
        <w:t xml:space="preserve">Common Stock Award. </w:t>
      </w:r>
      <w:r>
        <w:rPr>
          <w:rFonts w:ascii="Arial" w:cs="Arial" w:eastAsia="Arial" w:hAnsi="Arial"/>
          <w:sz w:val="15"/>
          <w:szCs w:val="15"/>
          <w:color w:val="auto"/>
        </w:rPr>
        <w:t>Pursuant to the terms of the award, the director receives shares of common stock that are fully vested at grant but subject to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restrictions. 50% of the shares may not be sold or transferred until the third anniversary of the grant date, and the remaining 50% may not be sold or transferred until the date of the director’s separation from service; provided, however, that all of the shares become transferable in the event of certain change in control events or the director’s separation from service.</w:t>
      </w:r>
    </w:p>
    <w:p>
      <w:pPr>
        <w:spacing w:after="0" w:line="177" w:lineRule="exact"/>
        <w:rPr>
          <w:sz w:val="20"/>
          <w:szCs w:val="20"/>
          <w:color w:val="auto"/>
        </w:rPr>
      </w:pPr>
    </w:p>
    <w:p>
      <w:pPr>
        <w:ind w:right="40"/>
        <w:spacing w:after="0"/>
        <w:rPr>
          <w:sz w:val="20"/>
          <w:szCs w:val="20"/>
          <w:color w:val="auto"/>
        </w:rPr>
      </w:pPr>
      <w:r>
        <w:rPr>
          <w:rFonts w:ascii="Arial" w:cs="Arial" w:eastAsia="Arial" w:hAnsi="Arial"/>
          <w:sz w:val="15"/>
          <w:szCs w:val="15"/>
          <w:b w:val="1"/>
          <w:bCs w:val="1"/>
          <w:color w:val="auto"/>
        </w:rPr>
        <w:t xml:space="preserve">Deferred Common Stock Unit Award. </w:t>
      </w:r>
      <w:r>
        <w:rPr>
          <w:rFonts w:ascii="Arial" w:cs="Arial" w:eastAsia="Arial" w:hAnsi="Arial"/>
          <w:sz w:val="15"/>
          <w:szCs w:val="15"/>
          <w:color w:val="auto"/>
        </w:rPr>
        <w:t>Pursuant to the terms of the award, the director receives deferred stock units that are fully vested at grant but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 restrictions. Each deferred stock unit is equivalent to one share of common stock and payable in shares of common stock upon the satisfaction of the deferral period. 50% of the deferred stock units are payable upon the third anniversary of the grant date, and the remaining 50% are payable on the date of the director’s separation from service; provided, however, that all of the deferred stock units are payable in the event of certain change in control events or the director’s separation from service.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27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000750" cy="12827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Non-Employee Director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All Other Compensation</w:t>
      </w:r>
    </w:p>
    <w:p>
      <w:pPr>
        <w:spacing w:after="0" w:line="239"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Directors are eligible to participate in the Occidental Petroleum Corporation Matching Gift Program, which matches contributions made by employees and directors to educational institutions and organizations, as well as arts and cultural organizations. The limit for such matching contributions is $10,000. Occidental also reimburses non-employee directors for expenses related to their Board service, including hotel, airfare, ground transportation and meals.</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Stock Ownership Guidelines</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auto"/>
        </w:rPr>
        <w:t>Each non-employee director is expected to beneficially own a number of shares of common stock or deferred stock units of Occidental having a market price equal to at least six times the annual cash retainer for non-employee directors within five years of his or her election to the Board. A director who does not meet the minimum ownership guideline may not sell any shares of Occidental common stock until he or she meets the ownership guideline and would continue to meet the ownership guideline following any such sale. As of March 1, 2023, each of our non-employee directors was in compliance with these guidelines.</w:t>
      </w:r>
    </w:p>
    <w:p>
      <w:pPr>
        <w:spacing w:after="0" w:line="1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Compensation Table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total compensation for each of the non-employee directors in 2022.</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529B"/>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29B"/>
              </w:rPr>
              <w:t>Fees Earned or</w:t>
            </w:r>
          </w:p>
        </w:tc>
        <w:tc>
          <w:tcPr>
            <w:tcW w:w="3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00529B"/>
              </w:rPr>
              <w:t>Stock</w:t>
            </w:r>
          </w:p>
        </w:tc>
        <w:tc>
          <w:tcPr>
            <w:tcW w:w="15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29B"/>
              </w:rPr>
              <w:t>All Other</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432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Name</w:t>
            </w:r>
          </w:p>
        </w:tc>
        <w:tc>
          <w:tcPr>
            <w:tcW w:w="3460" w:type="dxa"/>
            <w:vAlign w:val="bottom"/>
            <w:tcBorders>
              <w:bottom w:val="single" w:sz="8" w:color="00529B"/>
            </w:tcBorders>
            <w:gridSpan w:val="2"/>
          </w:tcPr>
          <w:p>
            <w:pPr>
              <w:jc w:val="right"/>
              <w:ind w:right="108"/>
              <w:spacing w:after="0"/>
              <w:rPr>
                <w:sz w:val="20"/>
                <w:szCs w:val="20"/>
                <w:color w:val="auto"/>
              </w:rPr>
            </w:pPr>
            <w:r>
              <w:rPr>
                <w:rFonts w:ascii="Arial" w:cs="Arial" w:eastAsia="Arial" w:hAnsi="Arial"/>
                <w:sz w:val="14"/>
                <w:szCs w:val="14"/>
                <w:b w:val="1"/>
                <w:bCs w:val="1"/>
                <w:color w:val="00529B"/>
              </w:rPr>
              <w:t>Paid in Cash</w:t>
            </w:r>
          </w:p>
        </w:tc>
        <w:tc>
          <w:tcPr>
            <w:tcW w:w="1060" w:type="dxa"/>
            <w:vAlign w:val="bottom"/>
            <w:tcBorders>
              <w:bottom w:val="single" w:sz="8" w:color="00529B"/>
            </w:tcBorders>
            <w:gridSpan w:val="2"/>
          </w:tcPr>
          <w:p>
            <w:pPr>
              <w:jc w:val="right"/>
              <w:ind w:right="148"/>
              <w:spacing w:after="0" w:line="216" w:lineRule="exact"/>
              <w:rPr>
                <w:sz w:val="20"/>
                <w:szCs w:val="20"/>
                <w:color w:val="auto"/>
              </w:rPr>
            </w:pPr>
            <w:r>
              <w:rPr>
                <w:rFonts w:ascii="Arial" w:cs="Arial" w:eastAsia="Arial" w:hAnsi="Arial"/>
                <w:sz w:val="14"/>
                <w:szCs w:val="14"/>
                <w:b w:val="1"/>
                <w:bCs w:val="1"/>
                <w:color w:val="00529B"/>
              </w:rPr>
              <w:t>Awards</w:t>
            </w:r>
            <w:r>
              <w:rPr>
                <w:rFonts w:ascii="Arial" w:cs="Arial" w:eastAsia="Arial" w:hAnsi="Arial"/>
                <w:sz w:val="23"/>
                <w:szCs w:val="23"/>
                <w:b w:val="1"/>
                <w:bCs w:val="1"/>
                <w:color w:val="00529B"/>
                <w:vertAlign w:val="superscript"/>
              </w:rPr>
              <w:t>(1)</w:t>
            </w:r>
          </w:p>
        </w:tc>
        <w:tc>
          <w:tcPr>
            <w:tcW w:w="1540" w:type="dxa"/>
            <w:vAlign w:val="bottom"/>
            <w:tcBorders>
              <w:bottom w:val="single" w:sz="8" w:color="00529B"/>
            </w:tcBorders>
            <w:gridSpan w:val="2"/>
          </w:tcPr>
          <w:p>
            <w:pPr>
              <w:jc w:val="right"/>
              <w:ind w:right="128"/>
              <w:spacing w:after="0" w:line="216" w:lineRule="exact"/>
              <w:rPr>
                <w:sz w:val="20"/>
                <w:szCs w:val="20"/>
                <w:color w:val="auto"/>
              </w:rPr>
            </w:pPr>
            <w:r>
              <w:rPr>
                <w:rFonts w:ascii="Arial" w:cs="Arial" w:eastAsia="Arial" w:hAnsi="Arial"/>
                <w:sz w:val="14"/>
                <w:szCs w:val="14"/>
                <w:b w:val="1"/>
                <w:bCs w:val="1"/>
                <w:color w:val="00529B"/>
              </w:rPr>
              <w:t>Compensation</w:t>
            </w:r>
            <w:r>
              <w:rPr>
                <w:rFonts w:ascii="Arial" w:cs="Arial" w:eastAsia="Arial" w:hAnsi="Arial"/>
                <w:sz w:val="23"/>
                <w:szCs w:val="23"/>
                <w:b w:val="1"/>
                <w:bCs w:val="1"/>
                <w:color w:val="00529B"/>
                <w:vertAlign w:val="superscript"/>
              </w:rPr>
              <w:t>(2)</w:t>
            </w:r>
          </w:p>
        </w:tc>
        <w:tc>
          <w:tcPr>
            <w:tcW w:w="280" w:type="dxa"/>
            <w:vAlign w:val="bottom"/>
            <w:tcBorders>
              <w:bottom w:val="single" w:sz="8" w:color="00529B"/>
            </w:tcBorders>
          </w:tcPr>
          <w:p>
            <w:pPr>
              <w:spacing w:after="0"/>
              <w:rPr>
                <w:sz w:val="19"/>
                <w:szCs w:val="19"/>
                <w:color w:val="auto"/>
              </w:rPr>
            </w:pPr>
          </w:p>
        </w:tc>
        <w:tc>
          <w:tcPr>
            <w:tcW w:w="58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00529B"/>
              </w:rPr>
              <w:t>Total</w:t>
            </w:r>
          </w:p>
        </w:tc>
      </w:tr>
      <w:tr>
        <w:trPr>
          <w:trHeight w:val="215"/>
        </w:trPr>
        <w:tc>
          <w:tcPr>
            <w:tcW w:w="432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Vicky A. Bailey</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82,500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233,401</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315,901</w:t>
            </w:r>
          </w:p>
        </w:tc>
      </w:tr>
      <w:tr>
        <w:trPr>
          <w:trHeight w:val="238"/>
        </w:trPr>
        <w:tc>
          <w:tcPr>
            <w:tcW w:w="4320" w:type="dxa"/>
            <w:vAlign w:val="bottom"/>
            <w:tcBorders>
              <w:bottom w:val="single" w:sz="8" w:color="D1D2D4"/>
            </w:tcBorders>
          </w:tcPr>
          <w:p>
            <w:pPr>
              <w:ind w:left="60"/>
              <w:spacing w:after="0" w:line="237" w:lineRule="exact"/>
              <w:rPr>
                <w:sz w:val="20"/>
                <w:szCs w:val="20"/>
                <w:color w:val="auto"/>
              </w:rPr>
            </w:pPr>
            <w:r>
              <w:rPr>
                <w:rFonts w:ascii="Arial" w:cs="Arial" w:eastAsia="Arial" w:hAnsi="Arial"/>
                <w:sz w:val="14"/>
                <w:szCs w:val="14"/>
                <w:b w:val="1"/>
                <w:bCs w:val="1"/>
                <w:color w:val="00529B"/>
              </w:rPr>
              <w:t>Stephen I. Chazen</w:t>
            </w:r>
            <w:r>
              <w:rPr>
                <w:rFonts w:ascii="Arial" w:cs="Arial" w:eastAsia="Arial" w:hAnsi="Arial"/>
                <w:sz w:val="23"/>
                <w:szCs w:val="23"/>
                <w:b w:val="1"/>
                <w:bCs w:val="1"/>
                <w:color w:val="00529B"/>
                <w:vertAlign w:val="superscript"/>
              </w:rPr>
              <w:t>(3)</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8"/>
              </w:rPr>
              <w:t>105,000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310,022</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415,022</w:t>
            </w:r>
          </w:p>
        </w:tc>
      </w:tr>
      <w:tr>
        <w:trPr>
          <w:trHeight w:val="208"/>
        </w:trPr>
        <w:tc>
          <w:tcPr>
            <w:tcW w:w="432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Andrew F. Gould</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8"/>
              </w:rPr>
              <w:t>110,000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225,055</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335,055</w:t>
            </w:r>
          </w:p>
        </w:tc>
      </w:tr>
      <w:tr>
        <w:trPr>
          <w:trHeight w:val="209"/>
        </w:trPr>
        <w:tc>
          <w:tcPr>
            <w:tcW w:w="432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Carlos M. Gutierrez</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8"/>
              </w:rPr>
              <w:t>110,000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200,010</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310,010</w:t>
            </w:r>
          </w:p>
        </w:tc>
      </w:tr>
      <w:tr>
        <w:trPr>
          <w:trHeight w:val="238"/>
        </w:trPr>
        <w:tc>
          <w:tcPr>
            <w:tcW w:w="4320" w:type="dxa"/>
            <w:vAlign w:val="bottom"/>
            <w:tcBorders>
              <w:bottom w:val="single" w:sz="8" w:color="D1D2D4"/>
            </w:tcBorders>
          </w:tcPr>
          <w:p>
            <w:pPr>
              <w:ind w:left="60"/>
              <w:spacing w:after="0" w:line="237" w:lineRule="exact"/>
              <w:rPr>
                <w:sz w:val="20"/>
                <w:szCs w:val="20"/>
                <w:color w:val="auto"/>
              </w:rPr>
            </w:pPr>
            <w:r>
              <w:rPr>
                <w:rFonts w:ascii="Arial" w:cs="Arial" w:eastAsia="Arial" w:hAnsi="Arial"/>
                <w:sz w:val="14"/>
                <w:szCs w:val="14"/>
                <w:b w:val="1"/>
                <w:bCs w:val="1"/>
                <w:color w:val="00529B"/>
              </w:rPr>
              <w:t>Gary Hu</w:t>
            </w:r>
            <w:r>
              <w:rPr>
                <w:rFonts w:ascii="Arial" w:cs="Arial" w:eastAsia="Arial" w:hAnsi="Arial"/>
                <w:sz w:val="23"/>
                <w:szCs w:val="23"/>
                <w:b w:val="1"/>
                <w:bCs w:val="1"/>
                <w:color w:val="00529B"/>
                <w:vertAlign w:val="superscript"/>
              </w:rPr>
              <w:t>(4)</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27,500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27,500</w:t>
            </w:r>
          </w:p>
        </w:tc>
      </w:tr>
      <w:tr>
        <w:trPr>
          <w:trHeight w:val="208"/>
        </w:trPr>
        <w:tc>
          <w:tcPr>
            <w:tcW w:w="432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William R. Klesse</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8"/>
              </w:rPr>
              <w:t>110,000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225,055</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335,055</w:t>
            </w:r>
          </w:p>
        </w:tc>
      </w:tr>
      <w:tr>
        <w:trPr>
          <w:trHeight w:val="238"/>
        </w:trPr>
        <w:tc>
          <w:tcPr>
            <w:tcW w:w="4320" w:type="dxa"/>
            <w:vAlign w:val="bottom"/>
            <w:tcBorders>
              <w:bottom w:val="single" w:sz="8" w:color="D1D2D4"/>
            </w:tcBorders>
          </w:tcPr>
          <w:p>
            <w:pPr>
              <w:ind w:left="60"/>
              <w:spacing w:after="0" w:line="237" w:lineRule="exact"/>
              <w:rPr>
                <w:sz w:val="20"/>
                <w:szCs w:val="20"/>
                <w:color w:val="auto"/>
              </w:rPr>
            </w:pPr>
            <w:r>
              <w:rPr>
                <w:rFonts w:ascii="Arial" w:cs="Arial" w:eastAsia="Arial" w:hAnsi="Arial"/>
                <w:sz w:val="14"/>
                <w:szCs w:val="14"/>
                <w:b w:val="1"/>
                <w:bCs w:val="1"/>
                <w:color w:val="00529B"/>
              </w:rPr>
              <w:t>Andrew N. Langham</w:t>
            </w:r>
            <w:r>
              <w:rPr>
                <w:rFonts w:ascii="Arial" w:cs="Arial" w:eastAsia="Arial" w:hAnsi="Arial"/>
                <w:sz w:val="23"/>
                <w:szCs w:val="23"/>
                <w:b w:val="1"/>
                <w:bCs w:val="1"/>
                <w:color w:val="00529B"/>
                <w:vertAlign w:val="superscript"/>
              </w:rPr>
              <w:t>(4)</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27,500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27,500</w:t>
            </w:r>
          </w:p>
        </w:tc>
      </w:tr>
      <w:tr>
        <w:trPr>
          <w:trHeight w:val="236"/>
        </w:trPr>
        <w:tc>
          <w:tcPr>
            <w:tcW w:w="4320" w:type="dxa"/>
            <w:vAlign w:val="bottom"/>
            <w:tcBorders>
              <w:bottom w:val="single" w:sz="8" w:color="D1D2D4"/>
            </w:tcBorders>
          </w:tcPr>
          <w:p>
            <w:pPr>
              <w:ind w:left="60"/>
              <w:spacing w:after="0" w:line="236" w:lineRule="exact"/>
              <w:rPr>
                <w:sz w:val="20"/>
                <w:szCs w:val="20"/>
                <w:color w:val="auto"/>
              </w:rPr>
            </w:pPr>
            <w:r>
              <w:rPr>
                <w:rFonts w:ascii="Arial" w:cs="Arial" w:eastAsia="Arial" w:hAnsi="Arial"/>
                <w:sz w:val="14"/>
                <w:szCs w:val="14"/>
                <w:b w:val="1"/>
                <w:bCs w:val="1"/>
                <w:color w:val="00529B"/>
              </w:rPr>
              <w:t>Jack B. Moore</w:t>
            </w:r>
            <w:r>
              <w:rPr>
                <w:rFonts w:ascii="Arial" w:cs="Arial" w:eastAsia="Arial" w:hAnsi="Arial"/>
                <w:sz w:val="23"/>
                <w:szCs w:val="23"/>
                <w:b w:val="1"/>
                <w:bCs w:val="1"/>
                <w:color w:val="00529B"/>
                <w:vertAlign w:val="superscript"/>
              </w:rPr>
              <w:t>(5)</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8"/>
              </w:rPr>
              <w:t>117,500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305,033</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422,533</w:t>
            </w:r>
          </w:p>
        </w:tc>
      </w:tr>
      <w:tr>
        <w:trPr>
          <w:trHeight w:val="237"/>
        </w:trPr>
        <w:tc>
          <w:tcPr>
            <w:tcW w:w="4320" w:type="dxa"/>
            <w:vAlign w:val="bottom"/>
            <w:tcBorders>
              <w:bottom w:val="single" w:sz="8" w:color="D1D2D4"/>
            </w:tcBorders>
          </w:tcPr>
          <w:p>
            <w:pPr>
              <w:ind w:left="60"/>
              <w:spacing w:after="0" w:line="236" w:lineRule="exact"/>
              <w:rPr>
                <w:sz w:val="20"/>
                <w:szCs w:val="20"/>
                <w:color w:val="auto"/>
              </w:rPr>
            </w:pPr>
            <w:r>
              <w:rPr>
                <w:rFonts w:ascii="Arial" w:cs="Arial" w:eastAsia="Arial" w:hAnsi="Arial"/>
                <w:sz w:val="14"/>
                <w:szCs w:val="14"/>
                <w:b w:val="1"/>
                <w:bCs w:val="1"/>
                <w:color w:val="00529B"/>
              </w:rPr>
              <w:t>Margarita Paláu-Hernández</w:t>
            </w:r>
            <w:r>
              <w:rPr>
                <w:rFonts w:ascii="Arial" w:cs="Arial" w:eastAsia="Arial" w:hAnsi="Arial"/>
                <w:sz w:val="23"/>
                <w:szCs w:val="23"/>
                <w:b w:val="1"/>
                <w:bCs w:val="1"/>
                <w:color w:val="00529B"/>
                <w:vertAlign w:val="superscript"/>
              </w:rPr>
              <w:t>(4)</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45,833</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45,833</w:t>
            </w:r>
          </w:p>
        </w:tc>
      </w:tr>
      <w:tr>
        <w:trPr>
          <w:trHeight w:val="208"/>
        </w:trPr>
        <w:tc>
          <w:tcPr>
            <w:tcW w:w="432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Avedick B. Poladian</w:t>
            </w:r>
          </w:p>
        </w:tc>
        <w:tc>
          <w:tcPr>
            <w:tcW w:w="27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8"/>
              </w:rPr>
              <w:t>110,000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8"/>
              </w:rPr>
              <w:t>225,055</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2,500</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w w:val="98"/>
              </w:rPr>
              <w:t>337,555</w:t>
            </w:r>
          </w:p>
        </w:tc>
      </w:tr>
      <w:tr>
        <w:trPr>
          <w:trHeight w:val="218"/>
        </w:trPr>
        <w:tc>
          <w:tcPr>
            <w:tcW w:w="432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Robert M. Shearer</w:t>
            </w:r>
          </w:p>
        </w:tc>
        <w:tc>
          <w:tcPr>
            <w:tcW w:w="276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529B"/>
            </w:tcBorders>
          </w:tcPr>
          <w:p>
            <w:pPr>
              <w:jc w:val="right"/>
              <w:ind w:right="108"/>
              <w:spacing w:after="0"/>
              <w:rPr>
                <w:sz w:val="20"/>
                <w:szCs w:val="20"/>
                <w:color w:val="auto"/>
              </w:rPr>
            </w:pPr>
            <w:r>
              <w:rPr>
                <w:rFonts w:ascii="Arial" w:cs="Arial" w:eastAsia="Arial" w:hAnsi="Arial"/>
                <w:sz w:val="14"/>
                <w:szCs w:val="14"/>
                <w:color w:val="auto"/>
                <w:w w:val="98"/>
              </w:rPr>
              <w:t>110,000</w:t>
            </w:r>
          </w:p>
        </w:tc>
        <w:tc>
          <w:tcPr>
            <w:tcW w:w="32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529B"/>
            </w:tcBorders>
          </w:tcPr>
          <w:p>
            <w:pPr>
              <w:jc w:val="right"/>
              <w:ind w:right="148"/>
              <w:spacing w:after="0"/>
              <w:rPr>
                <w:sz w:val="20"/>
                <w:szCs w:val="20"/>
                <w:color w:val="auto"/>
              </w:rPr>
            </w:pPr>
            <w:r>
              <w:rPr>
                <w:rFonts w:ascii="Arial" w:cs="Arial" w:eastAsia="Arial" w:hAnsi="Arial"/>
                <w:sz w:val="14"/>
                <w:szCs w:val="14"/>
                <w:color w:val="auto"/>
                <w:w w:val="98"/>
              </w:rPr>
              <w:t>225,055</w:t>
            </w:r>
          </w:p>
        </w:tc>
        <w:tc>
          <w:tcPr>
            <w:tcW w:w="94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529B"/>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w w:val="98"/>
              </w:rPr>
              <w:t>335,055</w:t>
            </w:r>
          </w:p>
        </w:tc>
      </w:tr>
    </w:tbl>
    <w:p>
      <w:pPr>
        <w:spacing w:after="0" w:line="225" w:lineRule="exact"/>
        <w:rPr>
          <w:sz w:val="20"/>
          <w:szCs w:val="20"/>
          <w:color w:val="auto"/>
        </w:rPr>
      </w:pPr>
    </w:p>
    <w:p>
      <w:pPr>
        <w:ind w:left="300" w:right="20" w:hanging="292"/>
        <w:spacing w:after="0" w:line="222" w:lineRule="auto"/>
        <w:tabs>
          <w:tab w:leader="none" w:pos="300" w:val="left"/>
        </w:tabs>
        <w:numPr>
          <w:ilvl w:val="0"/>
          <w:numId w:val="44"/>
        </w:numPr>
        <w:rPr>
          <w:rFonts w:ascii="Arial" w:cs="Arial" w:eastAsia="Arial" w:hAnsi="Arial"/>
          <w:sz w:val="10"/>
          <w:szCs w:val="10"/>
          <w:color w:val="auto"/>
        </w:rPr>
      </w:pPr>
      <w:r>
        <w:rPr>
          <w:rFonts w:ascii="Arial" w:cs="Arial" w:eastAsia="Arial" w:hAnsi="Arial"/>
          <w:sz w:val="13"/>
          <w:szCs w:val="13"/>
          <w:color w:val="auto"/>
        </w:rPr>
        <w:t>Equity awards are granted to each non-employee director on the first business day following the annual meeting. Prior to the grant date, directors are given the option to receive their annual equity awards as shares of common stock or as deferred stock units, as described above. In 2022, all non-employee directors elected to receive shares of common stock. The grant date fair value reported in the table is calculated by multiplying the number of shares of common stock granted by a price per share of $57.84, the closing price of Occidental’s common stock on the NYSE on May 9, 2022. The dollar amount shown for Ms. Bailey includes a pro-rated equity award upon election to the Board reflecting a price per share of $59.84, the closing price of Occidental’s common stock on the NYSE on March 23, 2022. The dollar amount shown for Mr. Moore includes a pro-rated equity award in connection with his election as Independent Chairman reflecting a price per share of $71.10, the closing price of Occidental’s common stock on the NYSE on November 2, 2022. These grants are made in whole shares, with fractional share amounts rounded up to the nearest whole share. For information regarding the total number of restricted shares and deferred stock units held by each director, see the Beneficial Ownership of Directors and Executive Officers table on page 85.</w:t>
      </w:r>
    </w:p>
    <w:p>
      <w:pPr>
        <w:spacing w:after="0" w:line="41" w:lineRule="exact"/>
        <w:rPr>
          <w:rFonts w:ascii="Arial" w:cs="Arial" w:eastAsia="Arial" w:hAnsi="Arial"/>
          <w:sz w:val="10"/>
          <w:szCs w:val="10"/>
          <w:color w:val="auto"/>
        </w:rPr>
      </w:pPr>
    </w:p>
    <w:p>
      <w:pPr>
        <w:ind w:left="300" w:hanging="292"/>
        <w:spacing w:after="0"/>
        <w:tabs>
          <w:tab w:leader="none" w:pos="300" w:val="left"/>
        </w:tabs>
        <w:numPr>
          <w:ilvl w:val="0"/>
          <w:numId w:val="44"/>
        </w:numPr>
        <w:rPr>
          <w:rFonts w:ascii="Arial" w:cs="Arial" w:eastAsia="Arial" w:hAnsi="Arial"/>
          <w:sz w:val="10"/>
          <w:szCs w:val="10"/>
          <w:color w:val="auto"/>
        </w:rPr>
      </w:pPr>
      <w:r>
        <w:rPr>
          <w:rFonts w:ascii="Arial" w:cs="Arial" w:eastAsia="Arial" w:hAnsi="Arial"/>
          <w:sz w:val="13"/>
          <w:szCs w:val="13"/>
          <w:color w:val="auto"/>
        </w:rPr>
        <w:t>A matching contribution in the amount of $2,500 was made on behalf of Mr. Poladian pursuant to Occidental’s Matching Gift Program.</w:t>
      </w:r>
    </w:p>
    <w:p>
      <w:pPr>
        <w:spacing w:after="0" w:line="66" w:lineRule="exact"/>
        <w:rPr>
          <w:rFonts w:ascii="Arial" w:cs="Arial" w:eastAsia="Arial" w:hAnsi="Arial"/>
          <w:sz w:val="10"/>
          <w:szCs w:val="10"/>
          <w:color w:val="auto"/>
        </w:rPr>
      </w:pPr>
    </w:p>
    <w:p>
      <w:pPr>
        <w:ind w:left="300" w:hanging="292"/>
        <w:spacing w:after="0"/>
        <w:tabs>
          <w:tab w:leader="none" w:pos="300" w:val="left"/>
        </w:tabs>
        <w:numPr>
          <w:ilvl w:val="0"/>
          <w:numId w:val="44"/>
        </w:numPr>
        <w:rPr>
          <w:rFonts w:ascii="Arial" w:cs="Arial" w:eastAsia="Arial" w:hAnsi="Arial"/>
          <w:sz w:val="10"/>
          <w:szCs w:val="10"/>
          <w:color w:val="auto"/>
        </w:rPr>
      </w:pPr>
      <w:r>
        <w:rPr>
          <w:rFonts w:ascii="Arial" w:cs="Arial" w:eastAsia="Arial" w:hAnsi="Arial"/>
          <w:sz w:val="13"/>
          <w:szCs w:val="13"/>
          <w:color w:val="auto"/>
        </w:rPr>
        <w:t>Mr. Chazen passed away on September 22, 2022.</w:t>
      </w:r>
    </w:p>
    <w:p>
      <w:pPr>
        <w:spacing w:after="0" w:line="66" w:lineRule="exact"/>
        <w:rPr>
          <w:rFonts w:ascii="Arial" w:cs="Arial" w:eastAsia="Arial" w:hAnsi="Arial"/>
          <w:sz w:val="10"/>
          <w:szCs w:val="10"/>
          <w:color w:val="auto"/>
        </w:rPr>
      </w:pPr>
    </w:p>
    <w:p>
      <w:pPr>
        <w:ind w:left="300" w:hanging="292"/>
        <w:spacing w:after="0"/>
        <w:tabs>
          <w:tab w:leader="none" w:pos="300" w:val="left"/>
        </w:tabs>
        <w:numPr>
          <w:ilvl w:val="0"/>
          <w:numId w:val="44"/>
        </w:numPr>
        <w:rPr>
          <w:rFonts w:ascii="Arial" w:cs="Arial" w:eastAsia="Arial" w:hAnsi="Arial"/>
          <w:sz w:val="10"/>
          <w:szCs w:val="10"/>
          <w:color w:val="auto"/>
        </w:rPr>
      </w:pPr>
      <w:r>
        <w:rPr>
          <w:rFonts w:ascii="Arial" w:cs="Arial" w:eastAsia="Arial" w:hAnsi="Arial"/>
          <w:sz w:val="13"/>
          <w:szCs w:val="13"/>
          <w:color w:val="auto"/>
        </w:rPr>
        <w:t>Messrs. Hu and Langham resigned from the Board effective as of March 4, 2022, and Ms. Paláu-Hernández did not stand for re-election at the 2022 Annual Meeting.</w:t>
      </w:r>
    </w:p>
    <w:p>
      <w:pPr>
        <w:spacing w:after="0" w:line="66" w:lineRule="exact"/>
        <w:rPr>
          <w:rFonts w:ascii="Arial" w:cs="Arial" w:eastAsia="Arial" w:hAnsi="Arial"/>
          <w:sz w:val="10"/>
          <w:szCs w:val="10"/>
          <w:color w:val="auto"/>
        </w:rPr>
      </w:pPr>
    </w:p>
    <w:p>
      <w:pPr>
        <w:ind w:left="300" w:right="80" w:hanging="292"/>
        <w:spacing w:after="0" w:line="243" w:lineRule="auto"/>
        <w:tabs>
          <w:tab w:leader="none" w:pos="300" w:val="left"/>
        </w:tabs>
        <w:numPr>
          <w:ilvl w:val="0"/>
          <w:numId w:val="44"/>
        </w:numPr>
        <w:rPr>
          <w:rFonts w:ascii="Arial" w:cs="Arial" w:eastAsia="Arial" w:hAnsi="Arial"/>
          <w:sz w:val="10"/>
          <w:szCs w:val="10"/>
          <w:color w:val="auto"/>
        </w:rPr>
      </w:pPr>
      <w:r>
        <w:rPr>
          <w:rFonts w:ascii="Arial" w:cs="Arial" w:eastAsia="Arial" w:hAnsi="Arial"/>
          <w:sz w:val="13"/>
          <w:szCs w:val="13"/>
          <w:color w:val="auto"/>
        </w:rPr>
        <w:t>Mr. Moore was elected as Independent Chairman of the Board effective as of September 26, 2022. Prior to his appointment as Independent Chairman, he served as Independent Vice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743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100965</wp:posOffset>
            </wp:positionV>
            <wp:extent cx="6831965" cy="23317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83196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FFFFFF"/>
        </w:rPr>
        <w:t>ADVISORY VOTE ON</w:t>
      </w:r>
    </w:p>
    <w:p>
      <w:pPr>
        <w:spacing w:after="0" w:line="41" w:lineRule="exact"/>
        <w:rPr>
          <w:sz w:val="20"/>
          <w:szCs w:val="20"/>
          <w:color w:val="auto"/>
        </w:rPr>
      </w:pPr>
    </w:p>
    <w:p>
      <w:pPr>
        <w:jc w:val="right"/>
        <w:ind w:right="420"/>
        <w:spacing w:after="0"/>
        <w:rPr>
          <w:sz w:val="20"/>
          <w:szCs w:val="20"/>
          <w:color w:val="auto"/>
        </w:rPr>
      </w:pPr>
      <w:r>
        <w:rPr>
          <w:rFonts w:ascii="Arial" w:cs="Arial" w:eastAsia="Arial" w:hAnsi="Arial"/>
          <w:sz w:val="36"/>
          <w:szCs w:val="36"/>
          <w:b w:val="1"/>
          <w:bCs w:val="1"/>
          <w:color w:val="FFFFFF"/>
        </w:rPr>
        <w:t>THE FREQUENCY OF</w:t>
      </w:r>
    </w:p>
    <w:p>
      <w:pPr>
        <w:spacing w:after="0" w:line="5"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FFFFFF"/>
        </w:rPr>
        <w:t>FUTURE ADVISORY</w:t>
      </w:r>
    </w:p>
    <w:p>
      <w:pPr>
        <w:spacing w:after="0" w:line="5" w:lineRule="exact"/>
        <w:rPr>
          <w:sz w:val="20"/>
          <w:szCs w:val="20"/>
          <w:color w:val="auto"/>
        </w:rPr>
      </w:pPr>
    </w:p>
    <w:p>
      <w:pPr>
        <w:ind w:left="1240"/>
        <w:spacing w:after="0"/>
        <w:tabs>
          <w:tab w:leader="none" w:pos="3480" w:val="left"/>
        </w:tabs>
        <w:rPr>
          <w:sz w:val="20"/>
          <w:szCs w:val="20"/>
          <w:color w:val="auto"/>
        </w:rPr>
      </w:pPr>
      <w:r>
        <w:rPr>
          <w:rFonts w:ascii="Arial" w:cs="Arial" w:eastAsia="Arial" w:hAnsi="Arial"/>
          <w:sz w:val="35"/>
          <w:szCs w:val="35"/>
          <w:b w:val="1"/>
          <w:bCs w:val="1"/>
          <w:color w:val="FFFFFF"/>
        </w:rPr>
        <w:t>Proposal</w:t>
      </w:r>
      <w:r>
        <w:rPr>
          <w:sz w:val="20"/>
          <w:szCs w:val="20"/>
          <w:color w:val="auto"/>
        </w:rPr>
        <w:tab/>
      </w:r>
      <w:r>
        <w:rPr>
          <w:rFonts w:ascii="Arial" w:cs="Arial" w:eastAsia="Arial" w:hAnsi="Arial"/>
          <w:sz w:val="35"/>
          <w:szCs w:val="35"/>
          <w:b w:val="1"/>
          <w:bCs w:val="1"/>
          <w:color w:val="FFFFFF"/>
        </w:rPr>
        <w:t>VOTES TO APPROVE</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FFFFFF"/>
        </w:rPr>
        <w:t>EXECUTIVE</w:t>
      </w:r>
    </w:p>
    <w:p>
      <w:pPr>
        <w:spacing w:after="0" w:line="5"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FFFFFF"/>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80"/>
        <w:spacing w:after="0"/>
        <w:rPr>
          <w:sz w:val="20"/>
          <w:szCs w:val="20"/>
          <w:color w:val="auto"/>
        </w:rPr>
      </w:pPr>
      <w:r>
        <w:rPr>
          <w:rFonts w:ascii="Arial" w:cs="Arial" w:eastAsia="Arial" w:hAnsi="Arial"/>
          <w:sz w:val="18"/>
          <w:szCs w:val="18"/>
          <w:b w:val="1"/>
          <w:bCs w:val="1"/>
          <w:color w:val="FFFFFF"/>
        </w:rPr>
        <w:t xml:space="preserve">THE BOARD OF DIRECTORS RECOMMENDS THAT YOU VOTE </w:t>
      </w:r>
      <w:r>
        <w:rPr>
          <w:rFonts w:ascii="Arial" w:cs="Arial" w:eastAsia="Arial" w:hAnsi="Arial"/>
          <w:sz w:val="18"/>
          <w:szCs w:val="18"/>
          <w:b w:val="1"/>
          <w:bCs w:val="1"/>
          <w:color w:val="00529B"/>
        </w:rPr>
        <w:t>“ONE YEAR”</w:t>
      </w:r>
      <w:r>
        <w:rPr>
          <w:rFonts w:ascii="Arial" w:cs="Arial" w:eastAsia="Arial" w:hAnsi="Arial"/>
          <w:sz w:val="18"/>
          <w:szCs w:val="18"/>
          <w:b w:val="1"/>
          <w:bCs w:val="1"/>
          <w:color w:val="FFFFFF"/>
        </w:rPr>
        <w:t xml:space="preserve"> </w:t>
      </w:r>
      <w:r>
        <w:rPr>
          <w:rFonts w:ascii="Arial" w:cs="Arial" w:eastAsia="Arial" w:hAnsi="Arial"/>
          <w:sz w:val="18"/>
          <w:szCs w:val="18"/>
          <w:color w:val="FFFFFF"/>
        </w:rPr>
        <w:t>FOR THE</w:t>
      </w:r>
      <w:r>
        <w:rPr>
          <w:rFonts w:ascii="Arial" w:cs="Arial" w:eastAsia="Arial" w:hAnsi="Arial"/>
          <w:sz w:val="18"/>
          <w:szCs w:val="18"/>
          <w:b w:val="1"/>
          <w:bCs w:val="1"/>
          <w:color w:val="FFFFFF"/>
        </w:rPr>
        <w:t xml:space="preserve"> </w:t>
      </w:r>
      <w:r>
        <w:rPr>
          <w:rFonts w:ascii="Arial" w:cs="Arial" w:eastAsia="Arial" w:hAnsi="Arial"/>
          <w:sz w:val="18"/>
          <w:szCs w:val="18"/>
          <w:color w:val="FFFFFF"/>
        </w:rPr>
        <w:t>ADVISORY VOTE ON THE FREQUENCY OF FUTURE ADVISORY VOTES TO APPROVE EXECUTIVE COMPENSATION.</w:t>
      </w:r>
    </w:p>
    <w:p>
      <w:pPr>
        <w:spacing w:after="0" w:line="200" w:lineRule="exact"/>
        <w:rPr>
          <w:sz w:val="20"/>
          <w:szCs w:val="20"/>
          <w:color w:val="auto"/>
        </w:rPr>
      </w:pPr>
    </w:p>
    <w:p>
      <w:pPr>
        <w:sectPr>
          <w:pgSz w:w="11900" w:h="16838" w:orient="portrait"/>
          <w:cols w:equalWidth="0" w:num="2">
            <w:col w:w="7600" w:space="720"/>
            <w:col w:w="288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In accordance with the Dodd-Frank Wall Street Reform and Consumer Protection Act, shareholders are being asked to cast a vote on the frequency of future advisory votes concerning the approval of the compensation of Occidental’s named executive officers. Shareholders may indicate whether they prefer an advisory vote to approve executive compensation every one, two or three years, or may abstain. Abstentions have the same effect as votes cast AGAINST each of the frequency options of the proposal. After careful consideration of the frequency alternatives, the Board believes that a one-year frequency for conducting an advisory vote on executive compensation remains appropriate for Occidental and its shareholders at this time. Our shareholders previously supported a one-year frequency for this shareholder advisory vote at the 2017 Annual Meeting of Shareholders.</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The frequency alternative that receives the majority of the shares of common stock represented at the 2023 Annual Meeting and entitled to vote on this proposal will be considered the frequency selected by shareholders. If none of the alternatives receives a majority vote, the frequency receiving the highest number of votes will be considered the frequency selected by shareholders. However, because this vote is advisory and not binding on the Board, the Board may decide that it is in the best interests of our shareholders to hold an advisory vote to approve executive compensation more or less frequently than the option approved by our shareholders.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100965</wp:posOffset>
            </wp:positionV>
            <wp:extent cx="6858000" cy="236601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858000" cy="2366010"/>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FFFFFF"/>
        </w:rPr>
        <w:t>ADVISORY VOTE TO</w:t>
      </w:r>
    </w:p>
    <w:p>
      <w:pPr>
        <w:ind w:left="3500"/>
        <w:spacing w:after="0" w:line="219" w:lineRule="auto"/>
        <w:rPr>
          <w:sz w:val="20"/>
          <w:szCs w:val="20"/>
          <w:color w:val="auto"/>
        </w:rPr>
      </w:pPr>
      <w:r>
        <w:rPr>
          <w:rFonts w:ascii="Arial" w:cs="Arial" w:eastAsia="Arial" w:hAnsi="Arial"/>
          <w:sz w:val="36"/>
          <w:szCs w:val="36"/>
          <w:b w:val="1"/>
          <w:bCs w:val="1"/>
          <w:color w:val="FFFFFF"/>
        </w:rPr>
        <w:t>APPROVE NAMED</w:t>
      </w:r>
    </w:p>
    <w:p>
      <w:pPr>
        <w:ind w:left="3500" w:right="300" w:hanging="2259"/>
        <w:spacing w:after="0" w:line="181" w:lineRule="auto"/>
        <w:tabs>
          <w:tab w:leader="none" w:pos="3480" w:val="left"/>
        </w:tabs>
        <w:rPr>
          <w:sz w:val="20"/>
          <w:szCs w:val="20"/>
          <w:color w:val="auto"/>
        </w:rPr>
      </w:pPr>
      <w:r>
        <w:rPr>
          <w:rFonts w:ascii="Arial" w:cs="Arial" w:eastAsia="Arial" w:hAnsi="Arial"/>
          <w:sz w:val="70"/>
          <w:szCs w:val="70"/>
          <w:b w:val="1"/>
          <w:bCs w:val="1"/>
          <w:color w:val="FFFFFF"/>
          <w:vertAlign w:val="superscript"/>
        </w:rPr>
        <w:t>Proposal</w:t>
      </w:r>
      <w:r>
        <w:rPr>
          <w:sz w:val="20"/>
          <w:szCs w:val="20"/>
          <w:color w:val="auto"/>
        </w:rPr>
        <w:tab/>
      </w:r>
      <w:r>
        <w:rPr>
          <w:rFonts w:ascii="Arial" w:cs="Arial" w:eastAsia="Arial" w:hAnsi="Arial"/>
          <w:sz w:val="35"/>
          <w:szCs w:val="35"/>
          <w:b w:val="1"/>
          <w:bCs w:val="1"/>
          <w:color w:val="FFFFFF"/>
        </w:rPr>
        <w:t>EXECUTIVE OFFICER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color w:val="FFFFFF"/>
        </w:rPr>
        <w:t xml:space="preserve">THE BOARD RECOMMENDS THAT YOU VOTE </w:t>
      </w:r>
      <w:r>
        <w:rPr>
          <w:rFonts w:ascii="Arial" w:cs="Arial" w:eastAsia="Arial" w:hAnsi="Arial"/>
          <w:sz w:val="18"/>
          <w:szCs w:val="18"/>
          <w:b w:val="1"/>
          <w:bCs w:val="1"/>
          <w:color w:val="00529B"/>
        </w:rPr>
        <w:t>“FOR”</w:t>
      </w:r>
      <w:r>
        <w:rPr>
          <w:rFonts w:ascii="Arial" w:cs="Arial" w:eastAsia="Arial" w:hAnsi="Arial"/>
          <w:sz w:val="18"/>
          <w:szCs w:val="18"/>
          <w:b w:val="1"/>
          <w:bCs w:val="1"/>
          <w:color w:val="FFFFFF"/>
        </w:rPr>
        <w:t xml:space="preserve"> </w:t>
      </w:r>
      <w:r>
        <w:rPr>
          <w:rFonts w:ascii="Arial" w:cs="Arial" w:eastAsia="Arial" w:hAnsi="Arial"/>
          <w:sz w:val="18"/>
          <w:szCs w:val="18"/>
          <w:color w:val="FFFFFF"/>
        </w:rPr>
        <w:t>THE</w:t>
      </w:r>
      <w:r>
        <w:rPr>
          <w:rFonts w:ascii="Arial" w:cs="Arial" w:eastAsia="Arial" w:hAnsi="Arial"/>
          <w:sz w:val="18"/>
          <w:szCs w:val="18"/>
          <w:b w:val="1"/>
          <w:bCs w:val="1"/>
          <w:color w:val="FFFFFF"/>
        </w:rPr>
        <w:t xml:space="preserve"> </w:t>
      </w:r>
      <w:r>
        <w:rPr>
          <w:rFonts w:ascii="Arial" w:cs="Arial" w:eastAsia="Arial" w:hAnsi="Arial"/>
          <w:sz w:val="18"/>
          <w:szCs w:val="18"/>
          <w:color w:val="FFFFFF"/>
        </w:rPr>
        <w:t>ADVISORY VOTE TO APPROVE NAMED EXECUTIVE OFFICER COMPENSATION.</w:t>
      </w:r>
    </w:p>
    <w:p>
      <w:pPr>
        <w:spacing w:after="0" w:line="278" w:lineRule="exact"/>
        <w:rPr>
          <w:sz w:val="20"/>
          <w:szCs w:val="20"/>
          <w:color w:val="auto"/>
        </w:rPr>
      </w:pPr>
    </w:p>
    <w:p>
      <w:pPr>
        <w:sectPr>
          <w:pgSz w:w="11900" w:h="16838" w:orient="portrait"/>
          <w:cols w:equalWidth="0" w:num="2">
            <w:col w:w="7520" w:space="720"/>
            <w:col w:w="2900"/>
          </w:cols>
          <w:pgMar w:left="320" w:top="13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Occidental is submitting this proposal to its shareholders for an advisory vote to approve the compensation of its named executive officers as disclosed in this proxy statement pursuant to Section 14A of the Exchange Act. At our 2017 annual meeting, the shareholders approved, on an advisory basis, a frequency of every year for casting advisory votes to approve named executive officer compensation; and in accordance with the Dodd-Frank Wall Street Reform and Consumer Protection Act, we are asking shareholders to cast a say-on-frequency vote this year. See page 35 for information regarding Proposal 2 (Advisory Vote on the Frequency of Future Advisory Votes to Approve Executive Compensation).</w:t>
      </w:r>
    </w:p>
    <w:p>
      <w:pPr>
        <w:spacing w:after="0" w:line="178" w:lineRule="exact"/>
        <w:rPr>
          <w:sz w:val="20"/>
          <w:szCs w:val="20"/>
          <w:color w:val="auto"/>
        </w:rPr>
      </w:pPr>
    </w:p>
    <w:p>
      <w:pPr>
        <w:ind w:right="380"/>
        <w:spacing w:after="0" w:line="244" w:lineRule="auto"/>
        <w:rPr>
          <w:sz w:val="20"/>
          <w:szCs w:val="20"/>
          <w:color w:val="auto"/>
        </w:rPr>
      </w:pPr>
      <w:r>
        <w:rPr>
          <w:rFonts w:ascii="Arial" w:cs="Arial" w:eastAsia="Arial" w:hAnsi="Arial"/>
          <w:sz w:val="15"/>
          <w:szCs w:val="15"/>
          <w:color w:val="auto"/>
        </w:rPr>
        <w:t>The executive compensation program for the named executive officers includes many best-practice features that are intended to enhance the alignment of compensation with the interests of Occidental’s shareholders. The executive compensation program is described in the Compensation Discussion and Analysis (CD&amp;A) section beginning on page 37 of this proxy statement.</w:t>
      </w:r>
    </w:p>
    <w:p>
      <w:pPr>
        <w:spacing w:after="0" w:line="176"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The Compensation Committee strives to maintain a compensation program that will attract, retain and motivate outstanding executives by providing incentives to reward them for strong performance that supports Occidental’s long-term strategic objectives and is competitive with industry practices. The executive compensation program is intended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52590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237" w:lineRule="exact"/>
        <w:rPr>
          <w:sz w:val="20"/>
          <w:szCs w:val="20"/>
          <w:color w:val="auto"/>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Align with shareholder interests;</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Preserve performance accountability across the commodity price cycle;</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Build and encourage long-term share ownership;</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Provide a consistent retention incentive;</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Be straightforward and transparent for the benefit of executives and shareholders;</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Match or exceed prevailing governance standards for performance-based compensation;</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Use relative and absolute performance measures for equity awards; and</w:t>
      </w:r>
    </w:p>
    <w:p>
      <w:pPr>
        <w:spacing w:after="0" w:line="124" w:lineRule="exact"/>
        <w:rPr>
          <w:rFonts w:ascii="Arial" w:cs="Arial" w:eastAsia="Arial" w:hAnsi="Arial"/>
          <w:sz w:val="15"/>
          <w:szCs w:val="15"/>
          <w:color w:val="00529B"/>
        </w:rPr>
      </w:pPr>
    </w:p>
    <w:p>
      <w:pPr>
        <w:ind w:left="400" w:hanging="302"/>
        <w:spacing w:after="0"/>
        <w:tabs>
          <w:tab w:leader="none" w:pos="400" w:val="left"/>
        </w:tabs>
        <w:numPr>
          <w:ilvl w:val="0"/>
          <w:numId w:val="45"/>
        </w:numPr>
        <w:rPr>
          <w:rFonts w:ascii="Arial" w:cs="Arial" w:eastAsia="Arial" w:hAnsi="Arial"/>
          <w:sz w:val="15"/>
          <w:szCs w:val="15"/>
          <w:color w:val="00529B"/>
        </w:rPr>
      </w:pPr>
      <w:r>
        <w:rPr>
          <w:rFonts w:ascii="Arial" w:cs="Arial" w:eastAsia="Arial" w:hAnsi="Arial"/>
          <w:sz w:val="15"/>
          <w:szCs w:val="15"/>
          <w:color w:val="auto"/>
        </w:rPr>
        <w:t>Respond to shareholder feedback.</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The Board recommends that shareholders support the following resolution for the reasons described in the CD&amp;A:</w:t>
      </w:r>
    </w:p>
    <w:p>
      <w:pPr>
        <w:spacing w:after="0" w:line="204" w:lineRule="exact"/>
        <w:rPr>
          <w:sz w:val="20"/>
          <w:szCs w:val="20"/>
          <w:color w:val="auto"/>
        </w:rPr>
      </w:pPr>
    </w:p>
    <w:p>
      <w:pPr>
        <w:ind w:right="260"/>
        <w:spacing w:after="0" w:line="267"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shareholders approve, on an advisory basis, the compensation of Occidental’s named executive officers for 2022, as set forth in the CD&amp;A,</w:t>
      </w:r>
      <w:r>
        <w:rPr>
          <w:rFonts w:ascii="Arial" w:cs="Arial" w:eastAsia="Arial" w:hAnsi="Arial"/>
          <w:sz w:val="15"/>
          <w:szCs w:val="15"/>
          <w:b w:val="1"/>
          <w:bCs w:val="1"/>
          <w:color w:val="auto"/>
        </w:rPr>
        <w:t xml:space="preserve"> </w:t>
      </w:r>
      <w:r>
        <w:rPr>
          <w:rFonts w:ascii="Arial" w:cs="Arial" w:eastAsia="Arial" w:hAnsi="Arial"/>
          <w:sz w:val="15"/>
          <w:szCs w:val="15"/>
          <w:color w:val="auto"/>
        </w:rPr>
        <w:t>Summary Compensation Table and the other tables and narrative disclosures regarding named executive officer compensation set forth in this proxy statement.</w:t>
      </w:r>
    </w:p>
    <w:p>
      <w:pPr>
        <w:spacing w:after="0" w:line="158"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auto"/>
        </w:rPr>
        <w:t>A majority of the shares of common stock present in person or by proxy at the 2023 Annual Meeting and entitled to vote on this proposal must vote “FOR” the proposal to approve it. Your broker may not vote your shares on this proposal unless you give voting instructions. Abstentions have the same effect as votes cast “AGAINST” the proposal. Broker non-votes have no effect on the vote. As in past years, your vote will not directly affect or otherwise limit or enhance any existing compensation or award arrangement of any of our named executive officers, but the outcome of this advisory say-on-pay vote will be taken into account by the Compensation Committee in making future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2743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Compensation Discussion and Analysis</w:t>
      </w:r>
    </w:p>
    <w:p>
      <w:pPr>
        <w:spacing w:after="0" w:line="242"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This Compensation Discussion and Analysis (CD&amp;A) describes the material elements, objectives and principles of Occidental’s 2022 executive compensation program for its named executive officers (NEOs), recent compensation decisions and the factors the Compensation Committee considered in making those decisions. The following officers are our NEOs for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8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Name</w:t>
            </w:r>
          </w:p>
        </w:tc>
        <w:tc>
          <w:tcPr>
            <w:tcW w:w="8760" w:type="dxa"/>
            <w:vAlign w:val="bottom"/>
            <w:tcBorders>
              <w:bottom w:val="single" w:sz="8" w:color="00529B"/>
            </w:tcBorders>
          </w:tcPr>
          <w:p>
            <w:pPr>
              <w:ind w:left="400"/>
              <w:spacing w:after="0"/>
              <w:rPr>
                <w:sz w:val="20"/>
                <w:szCs w:val="20"/>
                <w:color w:val="auto"/>
              </w:rPr>
            </w:pPr>
            <w:r>
              <w:rPr>
                <w:rFonts w:ascii="Arial" w:cs="Arial" w:eastAsia="Arial" w:hAnsi="Arial"/>
                <w:sz w:val="14"/>
                <w:szCs w:val="14"/>
                <w:b w:val="1"/>
                <w:bCs w:val="1"/>
                <w:color w:val="00529B"/>
              </w:rPr>
              <w:t>Position</w:t>
            </w:r>
          </w:p>
        </w:tc>
      </w:tr>
      <w:tr>
        <w:trPr>
          <w:trHeight w:val="424"/>
        </w:trPr>
        <w:tc>
          <w:tcPr>
            <w:tcW w:w="2480" w:type="dxa"/>
            <w:vAlign w:val="bottom"/>
          </w:tcPr>
          <w:p>
            <w:pPr>
              <w:ind w:left="760"/>
              <w:spacing w:after="0"/>
              <w:rPr>
                <w:sz w:val="20"/>
                <w:szCs w:val="20"/>
                <w:color w:val="auto"/>
              </w:rPr>
            </w:pPr>
            <w:r>
              <w:rPr>
                <w:rFonts w:ascii="Arial" w:cs="Arial" w:eastAsia="Arial" w:hAnsi="Arial"/>
                <w:sz w:val="14"/>
                <w:szCs w:val="14"/>
                <w:b w:val="1"/>
                <w:bCs w:val="1"/>
                <w:color w:val="00529B"/>
              </w:rPr>
              <w:t>Vicki Hollub</w:t>
            </w:r>
          </w:p>
        </w:tc>
        <w:tc>
          <w:tcPr>
            <w:tcW w:w="8760" w:type="dxa"/>
            <w:vAlign w:val="bottom"/>
          </w:tcPr>
          <w:p>
            <w:pPr>
              <w:ind w:left="400"/>
              <w:spacing w:after="0"/>
              <w:rPr>
                <w:sz w:val="20"/>
                <w:szCs w:val="20"/>
                <w:color w:val="auto"/>
              </w:rPr>
            </w:pPr>
            <w:r>
              <w:rPr>
                <w:rFonts w:ascii="Arial" w:cs="Arial" w:eastAsia="Arial" w:hAnsi="Arial"/>
                <w:sz w:val="14"/>
                <w:szCs w:val="14"/>
                <w:color w:val="auto"/>
              </w:rPr>
              <w:t>President and Chief Executive Officer</w:t>
            </w:r>
          </w:p>
        </w:tc>
      </w:tr>
      <w:tr>
        <w:trPr>
          <w:trHeight w:val="218"/>
        </w:trPr>
        <w:tc>
          <w:tcPr>
            <w:tcW w:w="2480" w:type="dxa"/>
            <w:vAlign w:val="bottom"/>
            <w:tcBorders>
              <w:bottom w:val="single" w:sz="8" w:color="D1D2D4"/>
            </w:tcBorders>
          </w:tcPr>
          <w:p>
            <w:pPr>
              <w:spacing w:after="0"/>
              <w:rPr>
                <w:sz w:val="18"/>
                <w:szCs w:val="18"/>
                <w:color w:val="auto"/>
              </w:rPr>
            </w:pPr>
          </w:p>
        </w:tc>
        <w:tc>
          <w:tcPr>
            <w:tcW w:w="8760" w:type="dxa"/>
            <w:vAlign w:val="bottom"/>
            <w:tcBorders>
              <w:bottom w:val="single" w:sz="8" w:color="D1D2D4"/>
            </w:tcBorders>
          </w:tcPr>
          <w:p>
            <w:pPr>
              <w:spacing w:after="0"/>
              <w:rPr>
                <w:sz w:val="18"/>
                <w:szCs w:val="18"/>
                <w:color w:val="auto"/>
              </w:rPr>
            </w:pPr>
          </w:p>
        </w:tc>
      </w:tr>
      <w:tr>
        <w:trPr>
          <w:trHeight w:val="410"/>
        </w:trPr>
        <w:tc>
          <w:tcPr>
            <w:tcW w:w="2480" w:type="dxa"/>
            <w:vAlign w:val="bottom"/>
          </w:tcPr>
          <w:p>
            <w:pPr>
              <w:ind w:left="760"/>
              <w:spacing w:after="0"/>
              <w:rPr>
                <w:sz w:val="20"/>
                <w:szCs w:val="20"/>
                <w:color w:val="auto"/>
              </w:rPr>
            </w:pPr>
            <w:r>
              <w:rPr>
                <w:rFonts w:ascii="Arial" w:cs="Arial" w:eastAsia="Arial" w:hAnsi="Arial"/>
                <w:sz w:val="14"/>
                <w:szCs w:val="14"/>
                <w:b w:val="1"/>
                <w:bCs w:val="1"/>
                <w:color w:val="00529B"/>
              </w:rPr>
              <w:t>Robert L. Peterson</w:t>
            </w:r>
          </w:p>
        </w:tc>
        <w:tc>
          <w:tcPr>
            <w:tcW w:w="8760" w:type="dxa"/>
            <w:vAlign w:val="bottom"/>
          </w:tcPr>
          <w:p>
            <w:pPr>
              <w:ind w:left="400"/>
              <w:spacing w:after="0"/>
              <w:rPr>
                <w:sz w:val="20"/>
                <w:szCs w:val="20"/>
                <w:color w:val="auto"/>
              </w:rPr>
            </w:pPr>
            <w:r>
              <w:rPr>
                <w:rFonts w:ascii="Arial" w:cs="Arial" w:eastAsia="Arial" w:hAnsi="Arial"/>
                <w:sz w:val="14"/>
                <w:szCs w:val="14"/>
                <w:color w:val="auto"/>
              </w:rPr>
              <w:t>Senior Vice President and Chief Financial Officer</w:t>
            </w:r>
          </w:p>
        </w:tc>
      </w:tr>
      <w:tr>
        <w:trPr>
          <w:trHeight w:val="218"/>
        </w:trPr>
        <w:tc>
          <w:tcPr>
            <w:tcW w:w="2480" w:type="dxa"/>
            <w:vAlign w:val="bottom"/>
            <w:tcBorders>
              <w:bottom w:val="single" w:sz="8" w:color="D1D2D4"/>
            </w:tcBorders>
          </w:tcPr>
          <w:p>
            <w:pPr>
              <w:spacing w:after="0"/>
              <w:rPr>
                <w:sz w:val="18"/>
                <w:szCs w:val="18"/>
                <w:color w:val="auto"/>
              </w:rPr>
            </w:pPr>
          </w:p>
        </w:tc>
        <w:tc>
          <w:tcPr>
            <w:tcW w:w="8760" w:type="dxa"/>
            <w:vAlign w:val="bottom"/>
            <w:tcBorders>
              <w:bottom w:val="single" w:sz="8" w:color="D1D2D4"/>
            </w:tcBorders>
          </w:tcPr>
          <w:p>
            <w:pPr>
              <w:spacing w:after="0"/>
              <w:rPr>
                <w:sz w:val="18"/>
                <w:szCs w:val="18"/>
                <w:color w:val="auto"/>
              </w:rPr>
            </w:pPr>
          </w:p>
        </w:tc>
      </w:tr>
      <w:tr>
        <w:trPr>
          <w:trHeight w:val="423"/>
        </w:trPr>
        <w:tc>
          <w:tcPr>
            <w:tcW w:w="2480" w:type="dxa"/>
            <w:vAlign w:val="bottom"/>
          </w:tcPr>
          <w:p>
            <w:pPr>
              <w:ind w:left="760"/>
              <w:spacing w:after="0"/>
              <w:rPr>
                <w:sz w:val="20"/>
                <w:szCs w:val="20"/>
                <w:color w:val="auto"/>
              </w:rPr>
            </w:pPr>
            <w:r>
              <w:rPr>
                <w:rFonts w:ascii="Arial" w:cs="Arial" w:eastAsia="Arial" w:hAnsi="Arial"/>
                <w:sz w:val="14"/>
                <w:szCs w:val="14"/>
                <w:b w:val="1"/>
                <w:bCs w:val="1"/>
                <w:color w:val="00529B"/>
              </w:rPr>
              <w:t>Peter J. Bennett</w:t>
            </w:r>
          </w:p>
        </w:tc>
        <w:tc>
          <w:tcPr>
            <w:tcW w:w="8760" w:type="dxa"/>
            <w:vAlign w:val="bottom"/>
          </w:tcPr>
          <w:p>
            <w:pPr>
              <w:ind w:left="400"/>
              <w:spacing w:after="0"/>
              <w:rPr>
                <w:sz w:val="20"/>
                <w:szCs w:val="20"/>
                <w:color w:val="auto"/>
              </w:rPr>
            </w:pPr>
            <w:r>
              <w:rPr>
                <w:rFonts w:ascii="Arial" w:cs="Arial" w:eastAsia="Arial" w:hAnsi="Arial"/>
                <w:sz w:val="14"/>
                <w:szCs w:val="14"/>
                <w:color w:val="auto"/>
              </w:rPr>
              <w:t>Vice President and President, U.S. Onshore Resources and Carbon Management, Commercial Development</w:t>
            </w:r>
          </w:p>
        </w:tc>
      </w:tr>
      <w:tr>
        <w:trPr>
          <w:trHeight w:val="218"/>
        </w:trPr>
        <w:tc>
          <w:tcPr>
            <w:tcW w:w="2480" w:type="dxa"/>
            <w:vAlign w:val="bottom"/>
            <w:tcBorders>
              <w:bottom w:val="single" w:sz="8" w:color="D1D2D4"/>
            </w:tcBorders>
          </w:tcPr>
          <w:p>
            <w:pPr>
              <w:spacing w:after="0"/>
              <w:rPr>
                <w:sz w:val="18"/>
                <w:szCs w:val="18"/>
                <w:color w:val="auto"/>
              </w:rPr>
            </w:pPr>
          </w:p>
        </w:tc>
        <w:tc>
          <w:tcPr>
            <w:tcW w:w="8760" w:type="dxa"/>
            <w:vAlign w:val="bottom"/>
            <w:tcBorders>
              <w:bottom w:val="single" w:sz="8" w:color="D1D2D4"/>
            </w:tcBorders>
          </w:tcPr>
          <w:p>
            <w:pPr>
              <w:spacing w:after="0"/>
              <w:rPr>
                <w:sz w:val="18"/>
                <w:szCs w:val="18"/>
                <w:color w:val="auto"/>
              </w:rPr>
            </w:pPr>
          </w:p>
        </w:tc>
      </w:tr>
      <w:tr>
        <w:trPr>
          <w:trHeight w:val="423"/>
        </w:trPr>
        <w:tc>
          <w:tcPr>
            <w:tcW w:w="2480" w:type="dxa"/>
            <w:vAlign w:val="bottom"/>
          </w:tcPr>
          <w:p>
            <w:pPr>
              <w:ind w:left="760"/>
              <w:spacing w:after="0"/>
              <w:rPr>
                <w:sz w:val="20"/>
                <w:szCs w:val="20"/>
                <w:color w:val="auto"/>
              </w:rPr>
            </w:pPr>
            <w:r>
              <w:rPr>
                <w:rFonts w:ascii="Arial" w:cs="Arial" w:eastAsia="Arial" w:hAnsi="Arial"/>
                <w:sz w:val="14"/>
                <w:szCs w:val="14"/>
                <w:b w:val="1"/>
                <w:bCs w:val="1"/>
                <w:color w:val="00529B"/>
              </w:rPr>
              <w:t>Kenneth Dillon</w:t>
            </w:r>
          </w:p>
        </w:tc>
        <w:tc>
          <w:tcPr>
            <w:tcW w:w="8760" w:type="dxa"/>
            <w:vAlign w:val="bottom"/>
          </w:tcPr>
          <w:p>
            <w:pPr>
              <w:ind w:left="400"/>
              <w:spacing w:after="0"/>
              <w:rPr>
                <w:sz w:val="20"/>
                <w:szCs w:val="20"/>
                <w:color w:val="auto"/>
              </w:rPr>
            </w:pPr>
            <w:r>
              <w:rPr>
                <w:rFonts w:ascii="Arial" w:cs="Arial" w:eastAsia="Arial" w:hAnsi="Arial"/>
                <w:sz w:val="14"/>
                <w:szCs w:val="14"/>
                <w:color w:val="auto"/>
              </w:rPr>
              <w:t>Senior Vice President and President, International Oil and Gas Operations</w:t>
            </w:r>
          </w:p>
        </w:tc>
      </w:tr>
      <w:tr>
        <w:trPr>
          <w:trHeight w:val="218"/>
        </w:trPr>
        <w:tc>
          <w:tcPr>
            <w:tcW w:w="2480" w:type="dxa"/>
            <w:vAlign w:val="bottom"/>
            <w:tcBorders>
              <w:bottom w:val="single" w:sz="8" w:color="D1D2D4"/>
            </w:tcBorders>
          </w:tcPr>
          <w:p>
            <w:pPr>
              <w:spacing w:after="0"/>
              <w:rPr>
                <w:sz w:val="18"/>
                <w:szCs w:val="18"/>
                <w:color w:val="auto"/>
              </w:rPr>
            </w:pPr>
          </w:p>
        </w:tc>
        <w:tc>
          <w:tcPr>
            <w:tcW w:w="8760" w:type="dxa"/>
            <w:vAlign w:val="bottom"/>
            <w:tcBorders>
              <w:bottom w:val="single" w:sz="8" w:color="D1D2D4"/>
            </w:tcBorders>
          </w:tcPr>
          <w:p>
            <w:pPr>
              <w:spacing w:after="0"/>
              <w:rPr>
                <w:sz w:val="18"/>
                <w:szCs w:val="18"/>
                <w:color w:val="auto"/>
              </w:rPr>
            </w:pPr>
          </w:p>
        </w:tc>
      </w:tr>
      <w:tr>
        <w:trPr>
          <w:trHeight w:val="423"/>
        </w:trPr>
        <w:tc>
          <w:tcPr>
            <w:tcW w:w="2480" w:type="dxa"/>
            <w:vAlign w:val="bottom"/>
          </w:tcPr>
          <w:p>
            <w:pPr>
              <w:ind w:left="760"/>
              <w:spacing w:after="0"/>
              <w:rPr>
                <w:sz w:val="20"/>
                <w:szCs w:val="20"/>
                <w:color w:val="auto"/>
              </w:rPr>
            </w:pPr>
            <w:r>
              <w:rPr>
                <w:rFonts w:ascii="Arial" w:cs="Arial" w:eastAsia="Arial" w:hAnsi="Arial"/>
                <w:sz w:val="14"/>
                <w:szCs w:val="14"/>
                <w:b w:val="1"/>
                <w:bCs w:val="1"/>
                <w:color w:val="00529B"/>
              </w:rPr>
              <w:t>Richard A. Jackson</w:t>
            </w:r>
          </w:p>
        </w:tc>
        <w:tc>
          <w:tcPr>
            <w:tcW w:w="8760" w:type="dxa"/>
            <w:vAlign w:val="bottom"/>
          </w:tcPr>
          <w:p>
            <w:pPr>
              <w:ind w:left="400"/>
              <w:spacing w:after="0"/>
              <w:rPr>
                <w:sz w:val="20"/>
                <w:szCs w:val="20"/>
                <w:color w:val="auto"/>
              </w:rPr>
            </w:pPr>
            <w:r>
              <w:rPr>
                <w:rFonts w:ascii="Arial" w:cs="Arial" w:eastAsia="Arial" w:hAnsi="Arial"/>
                <w:sz w:val="14"/>
                <w:szCs w:val="14"/>
                <w:color w:val="auto"/>
              </w:rPr>
              <w:t>Senior Vice President and President, U.S. Onshore Resources and Carbon Management, Operations</w:t>
            </w:r>
          </w:p>
        </w:tc>
      </w:tr>
      <w:tr>
        <w:trPr>
          <w:trHeight w:val="218"/>
        </w:trPr>
        <w:tc>
          <w:tcPr>
            <w:tcW w:w="2480" w:type="dxa"/>
            <w:vAlign w:val="bottom"/>
            <w:tcBorders>
              <w:bottom w:val="single" w:sz="8" w:color="D1D2D4"/>
            </w:tcBorders>
          </w:tcPr>
          <w:p>
            <w:pPr>
              <w:spacing w:after="0"/>
              <w:rPr>
                <w:sz w:val="18"/>
                <w:szCs w:val="18"/>
                <w:color w:val="auto"/>
              </w:rPr>
            </w:pPr>
          </w:p>
        </w:tc>
        <w:tc>
          <w:tcPr>
            <w:tcW w:w="8760" w:type="dxa"/>
            <w:vAlign w:val="bottom"/>
            <w:tcBorders>
              <w:bottom w:val="single" w:sz="8" w:color="D1D2D4"/>
            </w:tcBorders>
          </w:tcPr>
          <w:p>
            <w:pPr>
              <w:spacing w:after="0"/>
              <w:rPr>
                <w:sz w:val="18"/>
                <w:szCs w:val="18"/>
                <w:color w:val="auto"/>
              </w:rPr>
            </w:pPr>
          </w:p>
        </w:tc>
      </w:tr>
      <w:tr>
        <w:trPr>
          <w:trHeight w:val="538"/>
        </w:trPr>
        <w:tc>
          <w:tcPr>
            <w:tcW w:w="2480" w:type="dxa"/>
            <w:vAlign w:val="bottom"/>
          </w:tcPr>
          <w:p>
            <w:pPr>
              <w:ind w:left="760"/>
              <w:spacing w:after="0"/>
              <w:rPr>
                <w:sz w:val="20"/>
                <w:szCs w:val="20"/>
                <w:color w:val="auto"/>
              </w:rPr>
            </w:pPr>
            <w:r>
              <w:rPr>
                <w:rFonts w:ascii="Arial" w:cs="Arial" w:eastAsia="Arial" w:hAnsi="Arial"/>
                <w:sz w:val="14"/>
                <w:szCs w:val="14"/>
                <w:b w:val="1"/>
                <w:bCs w:val="1"/>
                <w:color w:val="00529B"/>
              </w:rPr>
              <w:t>Marcia E. Backus</w:t>
            </w:r>
            <w:r>
              <w:rPr>
                <w:rFonts w:ascii="Arial" w:cs="Arial" w:eastAsia="Arial" w:hAnsi="Arial"/>
                <w:sz w:val="23"/>
                <w:szCs w:val="23"/>
                <w:b w:val="1"/>
                <w:bCs w:val="1"/>
                <w:color w:val="00529B"/>
                <w:vertAlign w:val="superscript"/>
              </w:rPr>
              <w:t>(1)</w:t>
            </w:r>
          </w:p>
        </w:tc>
        <w:tc>
          <w:tcPr>
            <w:tcW w:w="8760" w:type="dxa"/>
            <w:vAlign w:val="bottom"/>
          </w:tcPr>
          <w:p>
            <w:pPr>
              <w:ind w:left="400"/>
              <w:spacing w:after="0"/>
              <w:rPr>
                <w:sz w:val="20"/>
                <w:szCs w:val="20"/>
                <w:color w:val="auto"/>
              </w:rPr>
            </w:pPr>
            <w:r>
              <w:rPr>
                <w:rFonts w:ascii="Arial" w:cs="Arial" w:eastAsia="Arial" w:hAnsi="Arial"/>
                <w:sz w:val="14"/>
                <w:szCs w:val="14"/>
                <w:color w:val="auto"/>
              </w:rPr>
              <w:t>Former Senior Vice President, General Counsel and 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-2419350</wp:posOffset>
            </wp:positionV>
            <wp:extent cx="7132320" cy="249491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32320" cy="2494915"/>
                    </a:xfrm>
                    <a:prstGeom prst="rect">
                      <a:avLst/>
                    </a:prstGeom>
                    <a:noFill/>
                  </pic:spPr>
                </pic:pic>
              </a:graphicData>
            </a:graphic>
          </wp:anchor>
        </w:drawing>
      </w:r>
    </w:p>
    <w:p>
      <w:pPr>
        <w:spacing w:after="0" w:line="322" w:lineRule="exact"/>
        <w:rPr>
          <w:sz w:val="20"/>
          <w:szCs w:val="20"/>
          <w:color w:val="auto"/>
        </w:rPr>
      </w:pPr>
    </w:p>
    <w:p>
      <w:pPr>
        <w:ind w:left="300" w:hanging="292"/>
        <w:spacing w:after="0" w:line="283" w:lineRule="auto"/>
        <w:tabs>
          <w:tab w:leader="none" w:pos="300" w:val="left"/>
        </w:tabs>
        <w:numPr>
          <w:ilvl w:val="0"/>
          <w:numId w:val="46"/>
        </w:numPr>
        <w:rPr>
          <w:rFonts w:ascii="Arial" w:cs="Arial" w:eastAsia="Arial" w:hAnsi="Arial"/>
          <w:sz w:val="10"/>
          <w:szCs w:val="10"/>
          <w:color w:val="auto"/>
        </w:rPr>
      </w:pPr>
      <w:r>
        <w:rPr>
          <w:rFonts w:ascii="Arial" w:cs="Arial" w:eastAsia="Arial" w:hAnsi="Arial"/>
          <w:sz w:val="12"/>
          <w:szCs w:val="12"/>
          <w:color w:val="auto"/>
        </w:rPr>
        <w:t>Ms. Backus ceased being an executive officer as of October 3, 2022, stepped down from her role as Senior Vice President, General Counsel and Chief Compliance Officer of Occidental effective as of December 31, 2022 and terminated employment effective as of March 1, 2023. Ms. Backus has agreed to provide transition services to Occidental on a consulting basis through June 30, 2024.</w:t>
      </w:r>
    </w:p>
    <w:p>
      <w:pPr>
        <w:spacing w:after="0" w:line="14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20"/>
                <w:szCs w:val="20"/>
                <w:color w:val="auto"/>
              </w:rPr>
            </w:pPr>
            <w:r>
              <w:rPr>
                <w:rFonts w:ascii="Arial" w:cs="Arial" w:eastAsia="Arial" w:hAnsi="Arial"/>
                <w:sz w:val="16"/>
                <w:szCs w:val="16"/>
                <w:b w:val="1"/>
                <w:bCs w:val="1"/>
                <w:color w:val="00529B"/>
              </w:rPr>
              <w:t>Executive Summary</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38</w:t>
            </w:r>
          </w:p>
        </w:tc>
        <w:tc>
          <w:tcPr>
            <w:tcW w:w="5100" w:type="dxa"/>
            <w:vAlign w:val="bottom"/>
          </w:tcPr>
          <w:p>
            <w:pPr>
              <w:ind w:left="500"/>
              <w:spacing w:after="0"/>
              <w:rPr>
                <w:sz w:val="20"/>
                <w:szCs w:val="20"/>
                <w:color w:val="auto"/>
              </w:rPr>
            </w:pPr>
            <w:r>
              <w:rPr>
                <w:rFonts w:ascii="Arial" w:cs="Arial" w:eastAsia="Arial" w:hAnsi="Arial"/>
                <w:sz w:val="16"/>
                <w:szCs w:val="16"/>
                <w:color w:val="auto"/>
              </w:rPr>
              <w:t>2022 Long-Term Incentive Award Mix at Grant Date</w:t>
            </w:r>
          </w:p>
        </w:tc>
        <w:tc>
          <w:tcPr>
            <w:tcW w:w="5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Objectives of the Executive Compensation Program</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40</w:t>
            </w:r>
          </w:p>
        </w:tc>
        <w:tc>
          <w:tcPr>
            <w:tcW w:w="5100" w:type="dxa"/>
            <w:vAlign w:val="bottom"/>
          </w:tcPr>
          <w:p>
            <w:pPr>
              <w:ind w:left="220"/>
              <w:spacing w:after="0"/>
              <w:rPr>
                <w:sz w:val="20"/>
                <w:szCs w:val="20"/>
                <w:color w:val="auto"/>
              </w:rPr>
            </w:pPr>
            <w:r>
              <w:rPr>
                <w:rFonts w:ascii="Arial" w:cs="Arial" w:eastAsia="Arial" w:hAnsi="Arial"/>
                <w:sz w:val="16"/>
                <w:szCs w:val="16"/>
                <w:b w:val="1"/>
                <w:bCs w:val="1"/>
                <w:color w:val="00529B"/>
              </w:rPr>
              <w:t>Other Compensation and Benefits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00529B"/>
              </w:rPr>
              <w:t>50</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Governance Features of the Executive Compensation Program</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41</w:t>
            </w:r>
          </w:p>
        </w:tc>
        <w:tc>
          <w:tcPr>
            <w:tcW w:w="5100" w:type="dxa"/>
            <w:vAlign w:val="bottom"/>
          </w:tcPr>
          <w:p>
            <w:pPr>
              <w:ind w:left="500"/>
              <w:spacing w:after="0"/>
              <w:rPr>
                <w:sz w:val="20"/>
                <w:szCs w:val="20"/>
                <w:color w:val="auto"/>
              </w:rPr>
            </w:pPr>
            <w:r>
              <w:rPr>
                <w:rFonts w:ascii="Arial" w:cs="Arial" w:eastAsia="Arial" w:hAnsi="Arial"/>
                <w:sz w:val="16"/>
                <w:szCs w:val="16"/>
                <w:color w:val="auto"/>
              </w:rPr>
              <w:t>Qualified Defined Contribution Plans</w:t>
            </w: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Overview of the 2022 Executive Compensation Program</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42</w:t>
            </w:r>
          </w:p>
        </w:tc>
        <w:tc>
          <w:tcPr>
            <w:tcW w:w="5100" w:type="dxa"/>
            <w:vAlign w:val="bottom"/>
          </w:tcPr>
          <w:p>
            <w:pPr>
              <w:ind w:left="500"/>
              <w:spacing w:after="0"/>
              <w:rPr>
                <w:sz w:val="20"/>
                <w:szCs w:val="20"/>
                <w:color w:val="auto"/>
              </w:rPr>
            </w:pPr>
            <w:r>
              <w:rPr>
                <w:rFonts w:ascii="Arial" w:cs="Arial" w:eastAsia="Arial" w:hAnsi="Arial"/>
                <w:sz w:val="16"/>
                <w:szCs w:val="16"/>
                <w:color w:val="auto"/>
              </w:rPr>
              <w:t>Nonqualified Deferred Compensation Plans</w:t>
            </w: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Compensation Program Emphasizes Performance</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43</w:t>
            </w:r>
          </w:p>
        </w:tc>
        <w:tc>
          <w:tcPr>
            <w:tcW w:w="5100" w:type="dxa"/>
            <w:vAlign w:val="bottom"/>
          </w:tcPr>
          <w:p>
            <w:pPr>
              <w:ind w:left="500"/>
              <w:spacing w:after="0"/>
              <w:rPr>
                <w:sz w:val="20"/>
                <w:szCs w:val="20"/>
                <w:color w:val="auto"/>
              </w:rPr>
            </w:pPr>
            <w:r>
              <w:rPr>
                <w:rFonts w:ascii="Arial" w:cs="Arial" w:eastAsia="Arial" w:hAnsi="Arial"/>
                <w:sz w:val="16"/>
                <w:szCs w:val="16"/>
                <w:color w:val="auto"/>
              </w:rPr>
              <w:t>Other Personal Benefits</w:t>
            </w: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Say-on-Pay Vote</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43</w:t>
            </w:r>
          </w:p>
        </w:tc>
        <w:tc>
          <w:tcPr>
            <w:tcW w:w="5100" w:type="dxa"/>
            <w:vAlign w:val="bottom"/>
          </w:tcPr>
          <w:p>
            <w:pPr>
              <w:ind w:left="220"/>
              <w:spacing w:after="0"/>
              <w:rPr>
                <w:sz w:val="20"/>
                <w:szCs w:val="20"/>
                <w:color w:val="auto"/>
              </w:rPr>
            </w:pPr>
            <w:r>
              <w:rPr>
                <w:rFonts w:ascii="Arial" w:cs="Arial" w:eastAsia="Arial" w:hAnsi="Arial"/>
                <w:sz w:val="16"/>
                <w:szCs w:val="16"/>
                <w:b w:val="1"/>
                <w:bCs w:val="1"/>
                <w:color w:val="00529B"/>
              </w:rPr>
              <w:t>Individual Compensation Considerations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00529B"/>
              </w:rPr>
              <w:t>52</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6"/>
                <w:szCs w:val="16"/>
                <w:b w:val="1"/>
                <w:bCs w:val="1"/>
                <w:color w:val="00529B"/>
              </w:rPr>
              <w:t>Participants in the Executive Compensation Decision-Making</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44</w:t>
            </w:r>
          </w:p>
        </w:tc>
        <w:tc>
          <w:tcPr>
            <w:tcW w:w="5100" w:type="dxa"/>
            <w:vAlign w:val="bottom"/>
          </w:tcPr>
          <w:p>
            <w:pPr>
              <w:ind w:left="220"/>
              <w:spacing w:after="0"/>
              <w:rPr>
                <w:sz w:val="20"/>
                <w:szCs w:val="20"/>
                <w:color w:val="auto"/>
              </w:rPr>
            </w:pPr>
            <w:r>
              <w:rPr>
                <w:rFonts w:ascii="Arial" w:cs="Arial" w:eastAsia="Arial" w:hAnsi="Arial"/>
                <w:sz w:val="16"/>
                <w:szCs w:val="16"/>
                <w:b w:val="1"/>
                <w:bCs w:val="1"/>
                <w:color w:val="00529B"/>
              </w:rPr>
              <w:t>Additional Compensation Policies and Practices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00529B"/>
              </w:rPr>
              <w:t>59</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Process</w:t>
            </w:r>
          </w:p>
        </w:tc>
        <w:tc>
          <w:tcPr>
            <w:tcW w:w="600" w:type="dxa"/>
            <w:vAlign w:val="bottom"/>
          </w:tcPr>
          <w:p>
            <w:pPr>
              <w:spacing w:after="0"/>
              <w:rPr>
                <w:sz w:val="21"/>
                <w:szCs w:val="21"/>
                <w:color w:val="auto"/>
              </w:rPr>
            </w:pPr>
          </w:p>
        </w:tc>
        <w:tc>
          <w:tcPr>
            <w:tcW w:w="5100" w:type="dxa"/>
            <w:vAlign w:val="bottom"/>
          </w:tcPr>
          <w:p>
            <w:pPr>
              <w:ind w:left="500"/>
              <w:spacing w:after="0"/>
              <w:rPr>
                <w:sz w:val="20"/>
                <w:szCs w:val="20"/>
                <w:color w:val="auto"/>
              </w:rPr>
            </w:pPr>
            <w:r>
              <w:rPr>
                <w:rFonts w:ascii="Arial" w:cs="Arial" w:eastAsia="Arial" w:hAnsi="Arial"/>
                <w:sz w:val="16"/>
                <w:szCs w:val="16"/>
                <w:color w:val="auto"/>
              </w:rPr>
              <w:t>Stock Ownership Guidelines</w:t>
            </w: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6"/>
                <w:szCs w:val="16"/>
                <w:b w:val="1"/>
                <w:bCs w:val="1"/>
                <w:color w:val="00529B"/>
              </w:rPr>
              <w:t>Elements of the 2022 Compensation Program</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00529B"/>
              </w:rPr>
              <w:t>46</w:t>
            </w:r>
          </w:p>
        </w:tc>
        <w:tc>
          <w:tcPr>
            <w:tcW w:w="5100" w:type="dxa"/>
            <w:vAlign w:val="bottom"/>
          </w:tcPr>
          <w:p>
            <w:pPr>
              <w:ind w:left="500"/>
              <w:spacing w:after="0"/>
              <w:rPr>
                <w:sz w:val="20"/>
                <w:szCs w:val="20"/>
                <w:color w:val="auto"/>
              </w:rPr>
            </w:pPr>
            <w:r>
              <w:rPr>
                <w:rFonts w:ascii="Arial" w:cs="Arial" w:eastAsia="Arial" w:hAnsi="Arial"/>
                <w:sz w:val="16"/>
                <w:szCs w:val="16"/>
                <w:color w:val="auto"/>
              </w:rPr>
              <w:t>Equity Grant Practices</w:t>
            </w: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5020" w:type="dxa"/>
            <w:vAlign w:val="bottom"/>
          </w:tcPr>
          <w:p>
            <w:pPr>
              <w:ind w:left="280"/>
              <w:spacing w:after="0"/>
              <w:rPr>
                <w:sz w:val="20"/>
                <w:szCs w:val="20"/>
                <w:color w:val="auto"/>
              </w:rPr>
            </w:pPr>
            <w:r>
              <w:rPr>
                <w:rFonts w:ascii="Arial" w:cs="Arial" w:eastAsia="Arial" w:hAnsi="Arial"/>
                <w:sz w:val="16"/>
                <w:szCs w:val="16"/>
                <w:color w:val="auto"/>
              </w:rPr>
              <w:t>Salary</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5100" w:type="dxa"/>
            <w:vAlign w:val="bottom"/>
            <w:vMerge w:val="restart"/>
          </w:tcPr>
          <w:p>
            <w:pPr>
              <w:ind w:left="500"/>
              <w:spacing w:after="0"/>
              <w:rPr>
                <w:sz w:val="20"/>
                <w:szCs w:val="20"/>
                <w:color w:val="auto"/>
              </w:rPr>
            </w:pPr>
            <w:r>
              <w:rPr>
                <w:rFonts w:ascii="Arial" w:cs="Arial" w:eastAsia="Arial" w:hAnsi="Arial"/>
                <w:sz w:val="16"/>
                <w:szCs w:val="16"/>
                <w:color w:val="auto"/>
              </w:rPr>
              <w:t>Potential Recoupment of Compensation Due to Misconduct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54"/>
        </w:trPr>
        <w:tc>
          <w:tcPr>
            <w:tcW w:w="5020" w:type="dxa"/>
            <w:vAlign w:val="bottom"/>
            <w:vMerge w:val="restart"/>
          </w:tcPr>
          <w:p>
            <w:pPr>
              <w:ind w:left="280"/>
              <w:spacing w:after="0"/>
              <w:rPr>
                <w:sz w:val="20"/>
                <w:szCs w:val="20"/>
                <w:color w:val="auto"/>
              </w:rPr>
            </w:pPr>
            <w:r>
              <w:rPr>
                <w:rFonts w:ascii="Arial" w:cs="Arial" w:eastAsia="Arial" w:hAnsi="Arial"/>
                <w:sz w:val="16"/>
                <w:szCs w:val="16"/>
                <w:color w:val="auto"/>
              </w:rPr>
              <w:t>Annual Cash Incentive</w:t>
            </w:r>
          </w:p>
        </w:tc>
        <w:tc>
          <w:tcPr>
            <w:tcW w:w="600" w:type="dxa"/>
            <w:vAlign w:val="bottom"/>
            <w:vMerge w:val="restart"/>
          </w:tcPr>
          <w:p>
            <w:pPr>
              <w:jc w:val="right"/>
              <w:ind w:right="139"/>
              <w:spacing w:after="0"/>
              <w:rPr>
                <w:sz w:val="20"/>
                <w:szCs w:val="20"/>
                <w:color w:val="auto"/>
              </w:rPr>
            </w:pPr>
            <w:r>
              <w:rPr>
                <w:rFonts w:ascii="Arial" w:cs="Arial" w:eastAsia="Arial" w:hAnsi="Arial"/>
                <w:sz w:val="16"/>
                <w:szCs w:val="16"/>
                <w:color w:val="auto"/>
              </w:rPr>
              <w:t>46</w:t>
            </w:r>
          </w:p>
        </w:tc>
        <w:tc>
          <w:tcPr>
            <w:tcW w:w="5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100" w:type="dxa"/>
            <w:vAlign w:val="bottom"/>
            <w:vMerge w:val="restart"/>
          </w:tcPr>
          <w:p>
            <w:pPr>
              <w:ind w:left="220"/>
              <w:spacing w:after="0"/>
              <w:rPr>
                <w:sz w:val="20"/>
                <w:szCs w:val="20"/>
                <w:color w:val="auto"/>
              </w:rPr>
            </w:pPr>
            <w:r>
              <w:rPr>
                <w:rFonts w:ascii="Arial" w:cs="Arial" w:eastAsia="Arial" w:hAnsi="Arial"/>
                <w:sz w:val="16"/>
                <w:szCs w:val="16"/>
                <w:b w:val="1"/>
                <w:bCs w:val="1"/>
                <w:color w:val="00529B"/>
              </w:rPr>
              <w:t>Risk Assessment of Compensation Policies and Practices</w:t>
            </w: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60</w:t>
            </w:r>
          </w:p>
        </w:tc>
        <w:tc>
          <w:tcPr>
            <w:tcW w:w="0" w:type="dxa"/>
            <w:vAlign w:val="bottom"/>
          </w:tcPr>
          <w:p>
            <w:pPr>
              <w:spacing w:after="0"/>
              <w:rPr>
                <w:sz w:val="1"/>
                <w:szCs w:val="1"/>
                <w:color w:val="auto"/>
              </w:rPr>
            </w:pPr>
          </w:p>
        </w:tc>
      </w:tr>
      <w:tr>
        <w:trPr>
          <w:trHeight w:val="62"/>
        </w:trPr>
        <w:tc>
          <w:tcPr>
            <w:tcW w:w="5020" w:type="dxa"/>
            <w:vAlign w:val="bottom"/>
            <w:vMerge w:val="restart"/>
          </w:tcPr>
          <w:p>
            <w:pPr>
              <w:ind w:left="280"/>
              <w:spacing w:after="0"/>
              <w:rPr>
                <w:sz w:val="20"/>
                <w:szCs w:val="20"/>
                <w:color w:val="auto"/>
              </w:rPr>
            </w:pPr>
            <w:r>
              <w:rPr>
                <w:rFonts w:ascii="Arial" w:cs="Arial" w:eastAsia="Arial" w:hAnsi="Arial"/>
                <w:sz w:val="16"/>
                <w:szCs w:val="16"/>
                <w:color w:val="auto"/>
              </w:rPr>
              <w:t>Long-Term Incentive Award Program</w:t>
            </w:r>
          </w:p>
        </w:tc>
        <w:tc>
          <w:tcPr>
            <w:tcW w:w="600" w:type="dxa"/>
            <w:vAlign w:val="bottom"/>
            <w:vMerge w:val="restart"/>
          </w:tcPr>
          <w:p>
            <w:pPr>
              <w:jc w:val="right"/>
              <w:ind w:right="139"/>
              <w:spacing w:after="0"/>
              <w:rPr>
                <w:sz w:val="20"/>
                <w:szCs w:val="20"/>
                <w:color w:val="auto"/>
              </w:rPr>
            </w:pPr>
            <w:r>
              <w:rPr>
                <w:rFonts w:ascii="Arial" w:cs="Arial" w:eastAsia="Arial" w:hAnsi="Arial"/>
                <w:sz w:val="16"/>
                <w:szCs w:val="16"/>
                <w:color w:val="auto"/>
              </w:rPr>
              <w:t>48</w:t>
            </w:r>
          </w:p>
        </w:tc>
        <w:tc>
          <w:tcPr>
            <w:tcW w:w="51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0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5100" w:type="dxa"/>
            <w:vAlign w:val="bottom"/>
            <w:vMerge w:val="restart"/>
          </w:tcPr>
          <w:p>
            <w:pPr>
              <w:ind w:left="220"/>
              <w:spacing w:after="0"/>
              <w:rPr>
                <w:sz w:val="20"/>
                <w:szCs w:val="20"/>
                <w:color w:val="auto"/>
              </w:rPr>
            </w:pPr>
            <w:r>
              <w:rPr>
                <w:rFonts w:ascii="Arial" w:cs="Arial" w:eastAsia="Arial" w:hAnsi="Arial"/>
                <w:sz w:val="16"/>
                <w:szCs w:val="16"/>
                <w:b w:val="1"/>
                <w:bCs w:val="1"/>
                <w:color w:val="00529B"/>
              </w:rPr>
              <w:t>Compensation Committee Report</w:t>
            </w: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29B"/>
              </w:rPr>
              <w:t>60</w:t>
            </w:r>
          </w:p>
        </w:tc>
        <w:tc>
          <w:tcPr>
            <w:tcW w:w="0" w:type="dxa"/>
            <w:vAlign w:val="bottom"/>
          </w:tcPr>
          <w:p>
            <w:pPr>
              <w:spacing w:after="0"/>
              <w:rPr>
                <w:sz w:val="1"/>
                <w:szCs w:val="1"/>
                <w:color w:val="auto"/>
              </w:rPr>
            </w:pPr>
          </w:p>
        </w:tc>
      </w:tr>
      <w:tr>
        <w:trPr>
          <w:trHeight w:val="62"/>
        </w:trPr>
        <w:tc>
          <w:tcPr>
            <w:tcW w:w="5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1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Summary</w:t>
      </w:r>
    </w:p>
    <w:p>
      <w:pPr>
        <w:spacing w:after="0" w:line="241"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In 2022, Occidental’s operations returned to increased activity levels, which required a renewed focus on safety and the environment as well as strong leadership from the company’s senior executives. Occidental’s employees demonstrated flexibility and persistence as the company successfully navigated the lingering impacts of the COVID-19 pandemic, market volatility, inflationary pressures and supply chain issues, among other things.</w:t>
      </w:r>
    </w:p>
    <w:p>
      <w:pPr>
        <w:spacing w:after="0" w:line="176" w:lineRule="exact"/>
        <w:rPr>
          <w:sz w:val="20"/>
          <w:szCs w:val="20"/>
          <w:color w:val="auto"/>
        </w:rPr>
      </w:pPr>
    </w:p>
    <w:p>
      <w:pPr>
        <w:ind w:right="220"/>
        <w:spacing w:after="0" w:line="236" w:lineRule="auto"/>
        <w:rPr>
          <w:sz w:val="20"/>
          <w:szCs w:val="20"/>
          <w:color w:val="auto"/>
        </w:rPr>
      </w:pPr>
      <w:r>
        <w:rPr>
          <w:rFonts w:ascii="Arial" w:cs="Arial" w:eastAsia="Arial" w:hAnsi="Arial"/>
          <w:sz w:val="15"/>
          <w:szCs w:val="15"/>
          <w:color w:val="auto"/>
        </w:rPr>
        <w:t>The company’s Permian, Rockies, Gulf of Mexico and International oil and gas teams set new operational and productivity records, and OxyChem delivered record earnings. This strong operational performance in part drove the company’s financial success, including delivering approximately 119% in total shareholder return. During this same period, Occidental’s performance peer group delivered approximately 54% in total shareholder return and the S&amp;P 500 index delivered an approximate -18% in total shareholder return. These operational and financial achievements helped to enable Occidental to repay over $10.5 billion of debt in 2022 and to complete our previous $3 billion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123825</wp:posOffset>
            </wp:positionV>
            <wp:extent cx="2957195" cy="163703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95719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Pay-for-Performance Driven</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Occidental remains committed to the pay-for-performance philosophy that underpins our compensation program, incentivizing our executive team to focus on strategic business objectives that, when met, will continue to create shareholder value. To achieve this, a substantial portion of NEO compensation is performance-based, and as a result, Occidental’s performance significantly impacts the realizable values of the NEOs’ compensation awards.</w:t>
      </w:r>
    </w:p>
    <w:p>
      <w:pPr>
        <w:spacing w:after="0" w:line="176" w:lineRule="exact"/>
        <w:rPr>
          <w:sz w:val="20"/>
          <w:szCs w:val="20"/>
          <w:color w:val="auto"/>
        </w:rPr>
      </w:pPr>
    </w:p>
    <w:p>
      <w:pPr>
        <w:jc w:val="both"/>
        <w:ind w:right="40"/>
        <w:spacing w:after="0" w:line="238" w:lineRule="auto"/>
        <w:rPr>
          <w:sz w:val="20"/>
          <w:szCs w:val="20"/>
          <w:color w:val="auto"/>
        </w:rPr>
      </w:pPr>
      <w:r>
        <w:rPr>
          <w:rFonts w:ascii="Arial" w:cs="Arial" w:eastAsia="Arial" w:hAnsi="Arial"/>
          <w:sz w:val="15"/>
          <w:szCs w:val="15"/>
          <w:color w:val="auto"/>
        </w:rPr>
        <w:t>For 2022, the Compensation Committee established an appropriate mix of short-term and long-term incentive compensation, resulting in significant at-risk pay for Ms. Hollub at 90% and the other NEOs at an average of 84%. The company also retained the same award vehicles and allocation proportions, which track our stock price and business performance. The Compensation Committee will continue to thoughtfully oversee the effectiveness of Occidental’s executive compensation structure to ensure CEO and executive compensation is strongly aligned with company performance and shareholder experience.</w:t>
      </w:r>
    </w:p>
    <w:p>
      <w:pPr>
        <w:spacing w:after="0" w:line="205" w:lineRule="exact"/>
        <w:rPr>
          <w:sz w:val="20"/>
          <w:szCs w:val="20"/>
          <w:color w:val="auto"/>
        </w:rPr>
      </w:pPr>
    </w:p>
    <w:p>
      <w:pPr>
        <w:ind w:left="1480"/>
        <w:spacing w:after="0"/>
        <w:tabs>
          <w:tab w:leader="none" w:pos="6280" w:val="left"/>
        </w:tabs>
        <w:rPr>
          <w:sz w:val="20"/>
          <w:szCs w:val="20"/>
          <w:color w:val="auto"/>
        </w:rPr>
      </w:pPr>
      <w:r>
        <w:rPr>
          <w:rFonts w:ascii="Arial" w:cs="Arial" w:eastAsia="Arial" w:hAnsi="Arial"/>
          <w:sz w:val="18"/>
          <w:szCs w:val="18"/>
          <w:b w:val="1"/>
          <w:bCs w:val="1"/>
          <w:color w:val="00529B"/>
        </w:rPr>
        <w:t>CEO TARGET COMPENSATION</w:t>
      </w:r>
      <w:r>
        <w:rPr>
          <w:sz w:val="20"/>
          <w:szCs w:val="20"/>
          <w:color w:val="auto"/>
        </w:rPr>
        <w:tab/>
      </w:r>
      <w:r>
        <w:rPr>
          <w:rFonts w:ascii="Arial" w:cs="Arial" w:eastAsia="Arial" w:hAnsi="Arial"/>
          <w:sz w:val="17"/>
          <w:szCs w:val="17"/>
          <w:b w:val="1"/>
          <w:bCs w:val="1"/>
          <w:color w:val="00529B"/>
        </w:rPr>
        <w:t>AVERAGE OTHER NEO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3716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Responsiveness to Shareholder Feedback</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Our board and management are committed to continually engaging our shareholders and soliciting their perspectives and input on compensation, governance and other matters of interest (e.g., operational, energy transition and human capital). Throughout 2022 and the beginning of 2023, consistent with prior years, a broad array of Occidental management participated in these discussions, with active independent director participation either directly or through oversight of the shareholder engagement program.</w:t>
      </w:r>
    </w:p>
    <w:p>
      <w:pPr>
        <w:spacing w:after="0" w:line="180"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Based on our conversations with shareholders and the support of approximately 97% of the total votes cast in our 2021 and 2022 advisory votes to approve NEO compensation (each, a Say-on-Pay vote), we believe that shareholders generally endorse the current executive compensation program, including the use of sustainability metrics in the annual cash incentive (ACI) award program, and recognize that it is functioning as intended. While recognizing that competitive pay is necessary to attract and retain top executive talent, in response to shareholder feedback, the Compensation Committee maintained (i) a high level of at-risk pay, coupled with the continued use of returns-focused metrics, to support the compensation program’s strong pay-for-performance philosophy as discussed above and (ii) the weighting of sustainability metrics for the company performance portion of the ACI award at 30% to remain closely aligned with the company’s net-zero strategy. The Compensation Committee will continue to engage with shareholders on the design of the executive compensation program and work to promote alignment of executive officer pay with shareholder interests.</w:t>
      </w:r>
    </w:p>
    <w:p>
      <w:pPr>
        <w:spacing w:after="0" w:line="178" w:lineRule="exact"/>
        <w:rPr>
          <w:sz w:val="20"/>
          <w:szCs w:val="20"/>
          <w:color w:val="auto"/>
        </w:rPr>
      </w:pPr>
    </w:p>
    <w:p>
      <w:pPr>
        <w:ind w:right="320"/>
        <w:spacing w:after="0" w:line="236" w:lineRule="auto"/>
        <w:rPr>
          <w:sz w:val="20"/>
          <w:szCs w:val="20"/>
          <w:color w:val="auto"/>
        </w:rPr>
      </w:pPr>
      <w:r>
        <w:rPr>
          <w:rFonts w:ascii="Arial" w:cs="Arial" w:eastAsia="Arial" w:hAnsi="Arial"/>
          <w:sz w:val="15"/>
          <w:szCs w:val="15"/>
          <w:color w:val="auto"/>
        </w:rPr>
        <w:t>Looking ahead to 2023, given Occidental’s commitment to be a part of the climate solution and the importance of the energy transition to shareholders, the Compensation Committee decided to continue to maintain the weighting of sustainability metrics at 30% for the ACI award. The Compensation Committee also determined to remove non-qualified stock options (NQSOs) as part of the long-term incentive (LTI) award program because they were intended to be a temporary component of the program design, and the Compensation Committee believes they have served their purpose. With that change, the Compensation Committee determined to increase the performance-based portion of the LTI award program to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123825</wp:posOffset>
            </wp:positionV>
            <wp:extent cx="6858000" cy="233997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85800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27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000750" cy="12827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141605</wp:posOffset>
            </wp:positionV>
            <wp:extent cx="6858000" cy="257175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8580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Objectives of the Executive Compensation Program</w:t>
      </w:r>
    </w:p>
    <w:p>
      <w:pPr>
        <w:spacing w:after="0" w:line="241"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The Compensation Committee strives to maintain a compensation program that will attract, retain and motivate outstanding executives by providing incentives to reward them for strong performance that supports Occidental’s long-term strategic objectives and is competitive with industry practices. The executive compensation program is intended to:</w:t>
      </w:r>
    </w:p>
    <w:p>
      <w:pPr>
        <w:spacing w:after="0" w:line="176"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Align with shareholder interests;</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Preserve performance accountability across the commodity price cycle;</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Build and encourage long-term share ownership;</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Provide a consistent retention incentive;</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Be straightforward and transparent for the benefit of executives and shareholders;</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Match or exceed prevailing governance standards for performance-based compensation;</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Use relative and absolute performance measures for equity awards; and</w:t>
      </w:r>
    </w:p>
    <w:p>
      <w:pPr>
        <w:spacing w:after="0" w:line="124" w:lineRule="exact"/>
        <w:rPr>
          <w:rFonts w:ascii="Arial" w:cs="Arial" w:eastAsia="Arial" w:hAnsi="Arial"/>
          <w:sz w:val="15"/>
          <w:szCs w:val="15"/>
          <w:color w:val="00529B"/>
        </w:rPr>
      </w:pPr>
    </w:p>
    <w:p>
      <w:pPr>
        <w:ind w:left="300" w:hanging="292"/>
        <w:spacing w:after="0"/>
        <w:tabs>
          <w:tab w:leader="none" w:pos="300" w:val="left"/>
        </w:tabs>
        <w:numPr>
          <w:ilvl w:val="0"/>
          <w:numId w:val="47"/>
        </w:numPr>
        <w:rPr>
          <w:rFonts w:ascii="Arial" w:cs="Arial" w:eastAsia="Arial" w:hAnsi="Arial"/>
          <w:sz w:val="15"/>
          <w:szCs w:val="15"/>
          <w:color w:val="00529B"/>
        </w:rPr>
      </w:pPr>
      <w:r>
        <w:rPr>
          <w:rFonts w:ascii="Arial" w:cs="Arial" w:eastAsia="Arial" w:hAnsi="Arial"/>
          <w:sz w:val="15"/>
          <w:szCs w:val="15"/>
          <w:color w:val="auto"/>
        </w:rPr>
        <w:t>Respond to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743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6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8560"/>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Governance Features of the Executive Compensation Program</w:t>
      </w: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The 2022 executive compensation program for the NEOs includes many best-practice features that are intended to enhance the alignment of compensation with the interests of Occidental’s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31629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32320" cy="3162935"/>
                    </a:xfrm>
                    <a:prstGeom prst="rect">
                      <a:avLst/>
                    </a:prstGeom>
                    <a:noFill/>
                  </pic:spPr>
                </pic:pic>
              </a:graphicData>
            </a:graphic>
          </wp:anchor>
        </w:drawing>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529B"/>
        </w:rPr>
        <w:t>WHAT WE DO</w:t>
      </w:r>
    </w:p>
    <w:p>
      <w:pPr>
        <w:spacing w:after="0" w:line="148" w:lineRule="exact"/>
        <w:rPr>
          <w:sz w:val="20"/>
          <w:szCs w:val="20"/>
          <w:color w:val="auto"/>
        </w:rPr>
      </w:pPr>
    </w:p>
    <w:p>
      <w:pPr>
        <w:ind w:left="480" w:right="400" w:hanging="156"/>
        <w:spacing w:after="0"/>
        <w:rPr>
          <w:sz w:val="20"/>
          <w:szCs w:val="20"/>
          <w:color w:val="auto"/>
        </w:rPr>
      </w:pPr>
      <w:r>
        <w:rPr>
          <w:sz w:val="1"/>
          <w:szCs w:val="1"/>
          <w:color w:val="auto"/>
        </w:rPr>
        <w:drawing>
          <wp:inline distT="0" distB="0" distL="0" distR="0">
            <wp:extent cx="76835" cy="77470"/>
            <wp:effectExtent l="0" t="0" r="0" b="0"/>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5"/>
          <w:szCs w:val="15"/>
          <w:b w:val="1"/>
          <w:bCs w:val="1"/>
          <w:color w:val="00529B"/>
        </w:rPr>
        <w:t xml:space="preserve"> Pay for Performance. </w:t>
      </w:r>
      <w:r>
        <w:rPr>
          <w:rFonts w:ascii="Arial" w:cs="Arial" w:eastAsia="Arial" w:hAnsi="Arial"/>
          <w:sz w:val="15"/>
          <w:szCs w:val="15"/>
          <w:color w:val="000000"/>
        </w:rPr>
        <w:t>A substantial majority of NEO compensation is performance-based. The Compensation Committee reviews the metrics underlying</w:t>
      </w:r>
      <w:r>
        <w:rPr>
          <w:rFonts w:ascii="Arial" w:cs="Arial" w:eastAsia="Arial" w:hAnsi="Arial"/>
          <w:sz w:val="15"/>
          <w:szCs w:val="15"/>
          <w:b w:val="1"/>
          <w:bCs w:val="1"/>
          <w:color w:val="00529B"/>
        </w:rPr>
        <w:t xml:space="preserve"> </w:t>
      </w:r>
      <w:r>
        <w:rPr>
          <w:rFonts w:ascii="Arial" w:cs="Arial" w:eastAsia="Arial" w:hAnsi="Arial"/>
          <w:sz w:val="15"/>
          <w:szCs w:val="15"/>
          <w:color w:val="000000"/>
        </w:rPr>
        <w:t>the long-term incentive award program and ACI awards annually to evaluate their continued alignment with Occidental’s business priorities.</w:t>
      </w:r>
    </w:p>
    <w:p>
      <w:pPr>
        <w:spacing w:after="0" w:line="122" w:lineRule="exact"/>
        <w:rPr>
          <w:sz w:val="20"/>
          <w:szCs w:val="20"/>
          <w:color w:val="auto"/>
        </w:rPr>
      </w:pPr>
    </w:p>
    <w:p>
      <w:pPr>
        <w:ind w:left="480" w:right="320" w:hanging="156"/>
        <w:spacing w:after="0"/>
        <w:rPr>
          <w:sz w:val="20"/>
          <w:szCs w:val="20"/>
          <w:color w:val="auto"/>
        </w:rPr>
      </w:pPr>
      <w:r>
        <w:rPr>
          <w:sz w:val="1"/>
          <w:szCs w:val="1"/>
          <w:color w:val="auto"/>
        </w:rPr>
        <w:drawing>
          <wp:inline distT="0" distB="0" distL="0" distR="0">
            <wp:extent cx="76835" cy="77470"/>
            <wp:effectExtent l="0" t="0" r="0" b="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5"/>
          <w:szCs w:val="15"/>
          <w:b w:val="1"/>
          <w:bCs w:val="1"/>
          <w:color w:val="00529B"/>
        </w:rPr>
        <w:t xml:space="preserve"> Act on Shareholder Feedback. </w:t>
      </w:r>
      <w:r>
        <w:rPr>
          <w:rFonts w:ascii="Arial" w:cs="Arial" w:eastAsia="Arial" w:hAnsi="Arial"/>
          <w:sz w:val="15"/>
          <w:szCs w:val="15"/>
          <w:color w:val="000000"/>
        </w:rPr>
        <w:t>Shareholder feedback influences the executive compensation program and contributed to the Compensation</w:t>
      </w:r>
      <w:r>
        <w:rPr>
          <w:rFonts w:ascii="Arial" w:cs="Arial" w:eastAsia="Arial" w:hAnsi="Arial"/>
          <w:sz w:val="15"/>
          <w:szCs w:val="15"/>
          <w:b w:val="1"/>
          <w:bCs w:val="1"/>
          <w:color w:val="00529B"/>
        </w:rPr>
        <w:t xml:space="preserve"> </w:t>
      </w:r>
      <w:r>
        <w:rPr>
          <w:rFonts w:ascii="Arial" w:cs="Arial" w:eastAsia="Arial" w:hAnsi="Arial"/>
          <w:sz w:val="15"/>
          <w:szCs w:val="15"/>
          <w:color w:val="000000"/>
        </w:rPr>
        <w:t>Committee’s decisions to maintain the weighting of sustainability metrics at 30% for the company performance portion of the ACI award opportunity. The favorable response from shareholders informed the Compensation Committee’s decision to maintain the sustainability metric’s weighting for the 2023 ACI award. Shareholder feedback also prompted us to enhance our disclosure to provide more information about the company’s performance against the 2022 ACI award metrics.</w:t>
      </w:r>
    </w:p>
    <w:p>
      <w:pPr>
        <w:spacing w:after="0" w:line="108" w:lineRule="exact"/>
        <w:rPr>
          <w:sz w:val="20"/>
          <w:szCs w:val="20"/>
          <w:color w:val="auto"/>
        </w:rPr>
      </w:pPr>
    </w:p>
    <w:p>
      <w:pPr>
        <w:ind w:left="480" w:right="620" w:hanging="156"/>
        <w:spacing w:after="0"/>
        <w:rPr>
          <w:sz w:val="20"/>
          <w:szCs w:val="20"/>
          <w:color w:val="auto"/>
        </w:rPr>
      </w:pPr>
      <w:r>
        <w:rPr>
          <w:sz w:val="1"/>
          <w:szCs w:val="1"/>
          <w:color w:val="auto"/>
        </w:rPr>
        <w:drawing>
          <wp:inline distT="0" distB="0" distL="0" distR="0">
            <wp:extent cx="76835" cy="76835"/>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Arial" w:cs="Arial" w:eastAsia="Arial" w:hAnsi="Arial"/>
          <w:sz w:val="15"/>
          <w:szCs w:val="15"/>
          <w:b w:val="1"/>
          <w:bCs w:val="1"/>
          <w:color w:val="00529B"/>
        </w:rPr>
        <w:t xml:space="preserve"> Clawback in the Event of Misconduct. </w:t>
      </w:r>
      <w:r>
        <w:rPr>
          <w:rFonts w:ascii="Arial" w:cs="Arial" w:eastAsia="Arial" w:hAnsi="Arial"/>
          <w:sz w:val="15"/>
          <w:szCs w:val="15"/>
          <w:color w:val="000000"/>
        </w:rPr>
        <w:t>The Compensation Committee has the authority to claw back ACI awards and long-term incentive awards for</w:t>
      </w:r>
      <w:r>
        <w:rPr>
          <w:rFonts w:ascii="Arial" w:cs="Arial" w:eastAsia="Arial" w:hAnsi="Arial"/>
          <w:sz w:val="15"/>
          <w:szCs w:val="15"/>
          <w:b w:val="1"/>
          <w:bCs w:val="1"/>
          <w:color w:val="00529B"/>
        </w:rPr>
        <w:t xml:space="preserve"> </w:t>
      </w:r>
      <w:r>
        <w:rPr>
          <w:rFonts w:ascii="Arial" w:cs="Arial" w:eastAsia="Arial" w:hAnsi="Arial"/>
          <w:sz w:val="15"/>
          <w:szCs w:val="15"/>
          <w:color w:val="000000"/>
        </w:rPr>
        <w:t>violations of Occidental’s Code of Business Conduct and related policies. The Compensation Committee also intends to adopt a clawback policy consistent with the requirements of new Exchange Act Rule 10D-1 upon or prior to the effectiveness of applicable NYSE listing standards.</w:t>
      </w:r>
    </w:p>
    <w:p>
      <w:pPr>
        <w:spacing w:after="0" w:line="108" w:lineRule="exact"/>
        <w:rPr>
          <w:sz w:val="20"/>
          <w:szCs w:val="20"/>
          <w:color w:val="auto"/>
        </w:rPr>
      </w:pPr>
    </w:p>
    <w:p>
      <w:pPr>
        <w:jc w:val="both"/>
        <w:ind w:left="480" w:right="680" w:hanging="156"/>
        <w:spacing w:after="0"/>
        <w:rPr>
          <w:sz w:val="20"/>
          <w:szCs w:val="20"/>
          <w:color w:val="auto"/>
        </w:rPr>
      </w:pPr>
      <w:r>
        <w:rPr>
          <w:sz w:val="1"/>
          <w:szCs w:val="1"/>
          <w:color w:val="auto"/>
        </w:rPr>
        <w:drawing>
          <wp:inline distT="0" distB="0" distL="0" distR="0">
            <wp:extent cx="76835" cy="77470"/>
            <wp:effectExtent l="0" t="0" r="0" b="0"/>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5"/>
          <w:szCs w:val="15"/>
          <w:b w:val="1"/>
          <w:bCs w:val="1"/>
          <w:color w:val="00529B"/>
        </w:rPr>
        <w:t xml:space="preserve"> Emphasize Stock Ownership. </w:t>
      </w:r>
      <w:r>
        <w:rPr>
          <w:rFonts w:ascii="Arial" w:cs="Arial" w:eastAsia="Arial" w:hAnsi="Arial"/>
          <w:sz w:val="15"/>
          <w:szCs w:val="15"/>
          <w:color w:val="000000"/>
        </w:rPr>
        <w:t>CROCE and TSR awards are payable in shares of common stock, and the net shares received for each vested RSU</w:t>
      </w:r>
      <w:r>
        <w:rPr>
          <w:rFonts w:ascii="Arial" w:cs="Arial" w:eastAsia="Arial" w:hAnsi="Arial"/>
          <w:sz w:val="15"/>
          <w:szCs w:val="15"/>
          <w:b w:val="1"/>
          <w:bCs w:val="1"/>
          <w:color w:val="00529B"/>
        </w:rPr>
        <w:t xml:space="preserve"> </w:t>
      </w:r>
      <w:r>
        <w:rPr>
          <w:rFonts w:ascii="Arial" w:cs="Arial" w:eastAsia="Arial" w:hAnsi="Arial"/>
          <w:sz w:val="15"/>
          <w:szCs w:val="15"/>
          <w:color w:val="000000"/>
        </w:rPr>
        <w:t>award are subject to a two-year holding period. In addition, the NEOs (as well as other officers) are subject to meaningful stock ownership guidelines, ranging from two to six times the officer’s annual base salary, and a holding requirement until such guidelines are met.</w:t>
      </w:r>
    </w:p>
    <w:p>
      <w:pPr>
        <w:spacing w:after="0" w:line="122" w:lineRule="exact"/>
        <w:rPr>
          <w:sz w:val="20"/>
          <w:szCs w:val="20"/>
          <w:color w:val="auto"/>
        </w:rPr>
      </w:pPr>
    </w:p>
    <w:p>
      <w:pPr>
        <w:ind w:left="480" w:right="340" w:hanging="156"/>
        <w:spacing w:after="0"/>
        <w:rPr>
          <w:sz w:val="20"/>
          <w:szCs w:val="20"/>
          <w:color w:val="auto"/>
        </w:rPr>
      </w:pPr>
      <w:r>
        <w:rPr>
          <w:sz w:val="1"/>
          <w:szCs w:val="1"/>
          <w:color w:val="auto"/>
        </w:rPr>
        <w:drawing>
          <wp:inline distT="0" distB="0" distL="0" distR="0">
            <wp:extent cx="76835" cy="76835"/>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Arial" w:cs="Arial" w:eastAsia="Arial" w:hAnsi="Arial"/>
          <w:sz w:val="15"/>
          <w:szCs w:val="15"/>
          <w:b w:val="1"/>
          <w:bCs w:val="1"/>
          <w:color w:val="00529B"/>
        </w:rPr>
        <w:t xml:space="preserve"> Monitor Compensation Program for Risk. </w:t>
      </w:r>
      <w:r>
        <w:rPr>
          <w:rFonts w:ascii="Arial" w:cs="Arial" w:eastAsia="Arial" w:hAnsi="Arial"/>
          <w:sz w:val="15"/>
          <w:szCs w:val="15"/>
          <w:color w:val="000000"/>
        </w:rPr>
        <w:t>The executive compensation program includes multiple features that are intended to appropriately mitigate</w:t>
      </w:r>
      <w:r>
        <w:rPr>
          <w:rFonts w:ascii="Arial" w:cs="Arial" w:eastAsia="Arial" w:hAnsi="Arial"/>
          <w:sz w:val="15"/>
          <w:szCs w:val="15"/>
          <w:b w:val="1"/>
          <w:bCs w:val="1"/>
          <w:color w:val="00529B"/>
        </w:rPr>
        <w:t xml:space="preserve"> </w:t>
      </w:r>
      <w:r>
        <w:rPr>
          <w:rFonts w:ascii="Arial" w:cs="Arial" w:eastAsia="Arial" w:hAnsi="Arial"/>
          <w:sz w:val="15"/>
          <w:szCs w:val="15"/>
          <w:color w:val="000000"/>
        </w:rPr>
        <w:t>excessive risk-taking. The Compensation Committee conducts an annual assessment of our executive compensation program to identify and minimize, as appropriate, any compensation arrangements that may encourage excessive risk-taking.</w:t>
      </w:r>
    </w:p>
    <w:p>
      <w:pPr>
        <w:spacing w:after="0" w:line="108" w:lineRule="exact"/>
        <w:rPr>
          <w:sz w:val="20"/>
          <w:szCs w:val="20"/>
          <w:color w:val="auto"/>
        </w:rPr>
      </w:pPr>
    </w:p>
    <w:p>
      <w:pPr>
        <w:ind w:left="480" w:right="640" w:hanging="156"/>
        <w:spacing w:after="0"/>
        <w:rPr>
          <w:sz w:val="20"/>
          <w:szCs w:val="20"/>
          <w:color w:val="auto"/>
        </w:rPr>
      </w:pPr>
      <w:r>
        <w:rPr>
          <w:sz w:val="1"/>
          <w:szCs w:val="1"/>
          <w:color w:val="auto"/>
        </w:rPr>
        <w:drawing>
          <wp:inline distT="0" distB="0" distL="0" distR="0">
            <wp:extent cx="76835" cy="77470"/>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5"/>
          <w:szCs w:val="15"/>
          <w:b w:val="1"/>
          <w:bCs w:val="1"/>
          <w:color w:val="00529B"/>
        </w:rPr>
        <w:t xml:space="preserve"> Use Double-Trigger Equity Vesting for Equity Awards. </w:t>
      </w:r>
      <w:r>
        <w:rPr>
          <w:rFonts w:ascii="Arial" w:cs="Arial" w:eastAsia="Arial" w:hAnsi="Arial"/>
          <w:sz w:val="15"/>
          <w:szCs w:val="15"/>
          <w:color w:val="000000"/>
        </w:rPr>
        <w:t>Pursuant to the Amended and Restated 2015 Long-Term Incentive Plan (2015 LTIP), equity</w:t>
      </w:r>
      <w:r>
        <w:rPr>
          <w:rFonts w:ascii="Arial" w:cs="Arial" w:eastAsia="Arial" w:hAnsi="Arial"/>
          <w:sz w:val="15"/>
          <w:szCs w:val="15"/>
          <w:b w:val="1"/>
          <w:bCs w:val="1"/>
          <w:color w:val="00529B"/>
        </w:rPr>
        <w:t xml:space="preserve"> </w:t>
      </w:r>
      <w:r>
        <w:rPr>
          <w:rFonts w:ascii="Arial" w:cs="Arial" w:eastAsia="Arial" w:hAnsi="Arial"/>
          <w:sz w:val="15"/>
          <w:szCs w:val="15"/>
          <w:color w:val="000000"/>
        </w:rPr>
        <w:t>awards vest in the event of a change in control only if there is also a qualifying termination of employment.</w:t>
      </w:r>
    </w:p>
    <w:p>
      <w:pPr>
        <w:spacing w:after="0" w:line="108" w:lineRule="exact"/>
        <w:rPr>
          <w:sz w:val="20"/>
          <w:szCs w:val="20"/>
          <w:color w:val="auto"/>
        </w:rPr>
      </w:pPr>
    </w:p>
    <w:p>
      <w:pPr>
        <w:ind w:left="480" w:right="460" w:hanging="156"/>
        <w:spacing w:after="0"/>
        <w:rPr>
          <w:sz w:val="20"/>
          <w:szCs w:val="20"/>
          <w:color w:val="auto"/>
        </w:rPr>
      </w:pPr>
      <w:r>
        <w:rPr>
          <w:sz w:val="1"/>
          <w:szCs w:val="1"/>
          <w:color w:val="auto"/>
        </w:rPr>
        <w:drawing>
          <wp:inline distT="0" distB="0" distL="0" distR="0">
            <wp:extent cx="76835" cy="76835"/>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Arial" w:cs="Arial" w:eastAsia="Arial" w:hAnsi="Arial"/>
          <w:sz w:val="15"/>
          <w:szCs w:val="15"/>
          <w:b w:val="1"/>
          <w:bCs w:val="1"/>
          <w:color w:val="00529B"/>
        </w:rPr>
        <w:t xml:space="preserve"> Use Relative and Absolute Performance Measures for Equity Awards. </w:t>
      </w:r>
      <w:r>
        <w:rPr>
          <w:rFonts w:ascii="Arial" w:cs="Arial" w:eastAsia="Arial" w:hAnsi="Arial"/>
          <w:sz w:val="15"/>
          <w:szCs w:val="15"/>
          <w:color w:val="000000"/>
        </w:rPr>
        <w:t>Performance equity is earned based on both relative shareholder returns and</w:t>
      </w:r>
      <w:r>
        <w:rPr>
          <w:rFonts w:ascii="Arial" w:cs="Arial" w:eastAsia="Arial" w:hAnsi="Arial"/>
          <w:sz w:val="15"/>
          <w:szCs w:val="15"/>
          <w:b w:val="1"/>
          <w:bCs w:val="1"/>
          <w:color w:val="00529B"/>
        </w:rPr>
        <w:t xml:space="preserve"> </w:t>
      </w:r>
      <w:r>
        <w:rPr>
          <w:rFonts w:ascii="Arial" w:cs="Arial" w:eastAsia="Arial" w:hAnsi="Arial"/>
          <w:sz w:val="15"/>
          <w:szCs w:val="15"/>
          <w:color w:val="000000"/>
        </w:rPr>
        <w:t>absolute financial returns, with TSR awards capped if Occidental’s absolute TSR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63703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3232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6E7070"/>
        </w:rPr>
        <w:t>WHAT WE DON’T DO</w:t>
      </w:r>
    </w:p>
    <w:p>
      <w:pPr>
        <w:spacing w:after="0" w:line="148" w:lineRule="exact"/>
        <w:rPr>
          <w:sz w:val="20"/>
          <w:szCs w:val="20"/>
          <w:color w:val="auto"/>
        </w:rPr>
      </w:pPr>
    </w:p>
    <w:p>
      <w:pPr>
        <w:jc w:val="right"/>
        <w:ind w:left="340" w:right="460"/>
        <w:spacing w:after="0" w:line="267" w:lineRule="auto"/>
        <w:rPr>
          <w:sz w:val="20"/>
          <w:szCs w:val="20"/>
          <w:color w:val="auto"/>
        </w:rPr>
      </w:pPr>
      <w:r>
        <w:rPr>
          <w:sz w:val="1"/>
          <w:szCs w:val="1"/>
          <w:color w:val="auto"/>
        </w:rPr>
        <w:drawing>
          <wp:inline distT="0" distB="0" distL="0" distR="0">
            <wp:extent cx="51435" cy="60325"/>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r>
      <w:r>
        <w:rPr>
          <w:rFonts w:ascii="Arial" w:cs="Arial" w:eastAsia="Arial" w:hAnsi="Arial"/>
          <w:sz w:val="15"/>
          <w:szCs w:val="15"/>
          <w:b w:val="1"/>
          <w:bCs w:val="1"/>
          <w:color w:val="6E7070"/>
        </w:rPr>
        <w:t xml:space="preserve"> No Dividend Equivalents on Unvested Performance Awards. </w:t>
      </w:r>
      <w:r>
        <w:rPr>
          <w:rFonts w:ascii="Arial" w:cs="Arial" w:eastAsia="Arial" w:hAnsi="Arial"/>
          <w:sz w:val="15"/>
          <w:szCs w:val="15"/>
          <w:color w:val="000000"/>
        </w:rPr>
        <w:t>Dividends and dividend equivalent rights are subject to the same performance goals as</w:t>
      </w:r>
      <w:r>
        <w:rPr>
          <w:rFonts w:ascii="Arial" w:cs="Arial" w:eastAsia="Arial" w:hAnsi="Arial"/>
          <w:sz w:val="15"/>
          <w:szCs w:val="15"/>
          <w:b w:val="1"/>
          <w:bCs w:val="1"/>
          <w:color w:val="6E7070"/>
        </w:rPr>
        <w:t xml:space="preserve"> </w:t>
      </w:r>
      <w:r>
        <w:rPr>
          <w:rFonts w:ascii="Arial" w:cs="Arial" w:eastAsia="Arial" w:hAnsi="Arial"/>
          <w:sz w:val="15"/>
          <w:szCs w:val="15"/>
          <w:color w:val="000000"/>
        </w:rPr>
        <w:t>the underlying award and will not be paid until the performance award has vested and becomes earned (except in the case of certain retention awards).</w:t>
      </w:r>
    </w:p>
    <w:p>
      <w:pPr>
        <w:spacing w:after="0" w:line="102" w:lineRule="exact"/>
        <w:rPr>
          <w:sz w:val="20"/>
          <w:szCs w:val="20"/>
          <w:color w:val="auto"/>
        </w:rPr>
      </w:pPr>
    </w:p>
    <w:p>
      <w:pPr>
        <w:ind w:left="480" w:right="500" w:hanging="156"/>
        <w:spacing w:after="0"/>
        <w:rPr>
          <w:sz w:val="20"/>
          <w:szCs w:val="20"/>
          <w:color w:val="auto"/>
        </w:rPr>
      </w:pPr>
      <w:r>
        <w:rPr>
          <w:sz w:val="1"/>
          <w:szCs w:val="1"/>
          <w:color w:val="auto"/>
        </w:rPr>
        <w:drawing>
          <wp:inline distT="0" distB="0" distL="0" distR="0">
            <wp:extent cx="51435" cy="60325"/>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r>
      <w:r>
        <w:rPr>
          <w:rFonts w:ascii="Arial" w:cs="Arial" w:eastAsia="Arial" w:hAnsi="Arial"/>
          <w:sz w:val="15"/>
          <w:szCs w:val="15"/>
          <w:b w:val="1"/>
          <w:bCs w:val="1"/>
          <w:color w:val="6E7070"/>
        </w:rPr>
        <w:t xml:space="preserve"> No Hedging or Derivative Transactions. </w:t>
      </w:r>
      <w:r>
        <w:rPr>
          <w:rFonts w:ascii="Arial" w:cs="Arial" w:eastAsia="Arial" w:hAnsi="Arial"/>
          <w:sz w:val="15"/>
          <w:szCs w:val="15"/>
          <w:color w:val="000000"/>
        </w:rPr>
        <w:t>Occidental’s directors, executive officers and all other employees are not permitted to engage in transactions</w:t>
      </w:r>
      <w:r>
        <w:rPr>
          <w:rFonts w:ascii="Arial" w:cs="Arial" w:eastAsia="Arial" w:hAnsi="Arial"/>
          <w:sz w:val="15"/>
          <w:szCs w:val="15"/>
          <w:b w:val="1"/>
          <w:bCs w:val="1"/>
          <w:color w:val="6E7070"/>
        </w:rPr>
        <w:t xml:space="preserve"> </w:t>
      </w:r>
      <w:r>
        <w:rPr>
          <w:rFonts w:ascii="Arial" w:cs="Arial" w:eastAsia="Arial" w:hAnsi="Arial"/>
          <w:sz w:val="15"/>
          <w:szCs w:val="15"/>
          <w:color w:val="000000"/>
        </w:rPr>
        <w:t>designed to hedge or offset the market value of Occidental’s equity securities.</w:t>
      </w:r>
    </w:p>
    <w:p>
      <w:pPr>
        <w:spacing w:after="0" w:line="108" w:lineRule="exact"/>
        <w:rPr>
          <w:sz w:val="20"/>
          <w:szCs w:val="20"/>
          <w:color w:val="auto"/>
        </w:rPr>
      </w:pPr>
    </w:p>
    <w:p>
      <w:pPr>
        <w:ind w:left="480" w:right="560" w:hanging="156"/>
        <w:spacing w:after="0"/>
        <w:rPr>
          <w:sz w:val="20"/>
          <w:szCs w:val="20"/>
          <w:color w:val="auto"/>
        </w:rPr>
      </w:pPr>
      <w:r>
        <w:rPr>
          <w:sz w:val="1"/>
          <w:szCs w:val="1"/>
          <w:color w:val="auto"/>
        </w:rPr>
        <w:drawing>
          <wp:inline distT="0" distB="0" distL="0" distR="0">
            <wp:extent cx="51435" cy="60325"/>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r>
      <w:r>
        <w:rPr>
          <w:rFonts w:ascii="Arial" w:cs="Arial" w:eastAsia="Arial" w:hAnsi="Arial"/>
          <w:sz w:val="15"/>
          <w:szCs w:val="15"/>
          <w:b w:val="1"/>
          <w:bCs w:val="1"/>
          <w:color w:val="6E7070"/>
        </w:rPr>
        <w:t xml:space="preserve"> No Golden Parachute Payments. </w:t>
      </w:r>
      <w:r>
        <w:rPr>
          <w:rFonts w:ascii="Arial" w:cs="Arial" w:eastAsia="Arial" w:hAnsi="Arial"/>
          <w:sz w:val="15"/>
          <w:szCs w:val="15"/>
          <w:color w:val="000000"/>
        </w:rPr>
        <w:t>Our golden parachute policy provides that, subject to certain exceptions, Occidental will not grant golden parachute</w:t>
      </w:r>
      <w:r>
        <w:rPr>
          <w:rFonts w:ascii="Arial" w:cs="Arial" w:eastAsia="Arial" w:hAnsi="Arial"/>
          <w:sz w:val="15"/>
          <w:szCs w:val="15"/>
          <w:b w:val="1"/>
          <w:bCs w:val="1"/>
          <w:color w:val="6E7070"/>
        </w:rPr>
        <w:t xml:space="preserve"> </w:t>
      </w:r>
      <w:r>
        <w:rPr>
          <w:rFonts w:ascii="Arial" w:cs="Arial" w:eastAsia="Arial" w:hAnsi="Arial"/>
          <w:sz w:val="15"/>
          <w:szCs w:val="15"/>
          <w:color w:val="000000"/>
        </w:rPr>
        <w:t>benefits (as defined in the policy) to any executive officer which exceed 2.99 times his or her salary plus ACI award without shareholder approval.</w:t>
      </w:r>
    </w:p>
    <w:p>
      <w:pPr>
        <w:spacing w:after="0" w:line="108" w:lineRule="exact"/>
        <w:rPr>
          <w:sz w:val="20"/>
          <w:szCs w:val="20"/>
          <w:color w:val="auto"/>
        </w:rPr>
      </w:pPr>
    </w:p>
    <w:p>
      <w:pPr>
        <w:ind w:left="480" w:right="500" w:hanging="156"/>
        <w:spacing w:after="0"/>
        <w:rPr>
          <w:sz w:val="20"/>
          <w:szCs w:val="20"/>
          <w:color w:val="auto"/>
        </w:rPr>
      </w:pPr>
      <w:r>
        <w:rPr>
          <w:sz w:val="1"/>
          <w:szCs w:val="1"/>
          <w:color w:val="auto"/>
        </w:rPr>
        <w:drawing>
          <wp:inline distT="0" distB="0" distL="0" distR="0">
            <wp:extent cx="51435" cy="60325"/>
            <wp:effectExtent l="0" t="0" r="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r>
      <w:r>
        <w:rPr>
          <w:rFonts w:ascii="Arial" w:cs="Arial" w:eastAsia="Arial" w:hAnsi="Arial"/>
          <w:sz w:val="15"/>
          <w:szCs w:val="15"/>
          <w:b w:val="1"/>
          <w:bCs w:val="1"/>
          <w:color w:val="6E7070"/>
        </w:rPr>
        <w:t xml:space="preserve"> No Repricing of Stock Options. </w:t>
      </w:r>
      <w:r>
        <w:rPr>
          <w:rFonts w:ascii="Arial" w:cs="Arial" w:eastAsia="Arial" w:hAnsi="Arial"/>
          <w:sz w:val="15"/>
          <w:szCs w:val="15"/>
          <w:color w:val="000000"/>
        </w:rPr>
        <w:t>Other than in connection with a corporate transaction involving Occidental, Occidental does not permit the repricing of</w:t>
      </w:r>
      <w:r>
        <w:rPr>
          <w:rFonts w:ascii="Arial" w:cs="Arial" w:eastAsia="Arial" w:hAnsi="Arial"/>
          <w:sz w:val="15"/>
          <w:szCs w:val="15"/>
          <w:b w:val="1"/>
          <w:bCs w:val="1"/>
          <w:color w:val="6E7070"/>
        </w:rPr>
        <w:t xml:space="preserve"> </w:t>
      </w:r>
      <w:r>
        <w:rPr>
          <w:rFonts w:ascii="Arial" w:cs="Arial" w:eastAsia="Arial" w:hAnsi="Arial"/>
          <w:sz w:val="15"/>
          <w:szCs w:val="15"/>
          <w:color w:val="000000"/>
        </w:rPr>
        <w:t>stock options or stock appreciation rights without shareholder approval.</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Overview of the 2022 Executive Compensation Program</w:t>
      </w: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Arial" w:cs="Arial" w:eastAsia="Arial" w:hAnsi="Arial"/>
                <w:sz w:val="14"/>
                <w:szCs w:val="14"/>
                <w:b w:val="1"/>
                <w:bCs w:val="1"/>
                <w:color w:val="00529B"/>
              </w:rPr>
              <w:t>Form of</w:t>
            </w:r>
          </w:p>
        </w:tc>
        <w:tc>
          <w:tcPr>
            <w:tcW w:w="2500" w:type="dxa"/>
            <w:vAlign w:val="bottom"/>
          </w:tcPr>
          <w:p>
            <w:pPr>
              <w:ind w:left="460"/>
              <w:spacing w:after="0"/>
              <w:rPr>
                <w:sz w:val="20"/>
                <w:szCs w:val="20"/>
                <w:color w:val="auto"/>
              </w:rPr>
            </w:pPr>
            <w:r>
              <w:rPr>
                <w:rFonts w:ascii="Arial" w:cs="Arial" w:eastAsia="Arial" w:hAnsi="Arial"/>
                <w:sz w:val="14"/>
                <w:szCs w:val="14"/>
                <w:b w:val="1"/>
                <w:bCs w:val="1"/>
                <w:color w:val="00529B"/>
              </w:rPr>
              <w:t>How Target Values</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20" w:type="dxa"/>
            <w:vAlign w:val="bottom"/>
            <w:tcBorders>
              <w:bottom w:val="single" w:sz="8" w:color="00529B"/>
            </w:tcBorders>
          </w:tcPr>
          <w:p>
            <w:pPr>
              <w:spacing w:after="0"/>
              <w:rPr>
                <w:sz w:val="20"/>
                <w:szCs w:val="20"/>
                <w:color w:val="auto"/>
              </w:rPr>
            </w:pPr>
            <w:r>
              <w:rPr>
                <w:rFonts w:ascii="Arial" w:cs="Arial" w:eastAsia="Arial" w:hAnsi="Arial"/>
                <w:sz w:val="14"/>
                <w:szCs w:val="14"/>
                <w:b w:val="1"/>
                <w:bCs w:val="1"/>
                <w:color w:val="00529B"/>
              </w:rPr>
              <w:t>Element</w:t>
            </w:r>
          </w:p>
        </w:tc>
        <w:tc>
          <w:tcPr>
            <w:tcW w:w="2400" w:type="dxa"/>
            <w:vAlign w:val="bottom"/>
            <w:tcBorders>
              <w:bottom w:val="single" w:sz="8" w:color="00529B"/>
            </w:tcBorders>
          </w:tcPr>
          <w:p>
            <w:pPr>
              <w:ind w:left="880"/>
              <w:spacing w:after="0"/>
              <w:rPr>
                <w:sz w:val="20"/>
                <w:szCs w:val="20"/>
                <w:color w:val="auto"/>
              </w:rPr>
            </w:pPr>
            <w:r>
              <w:rPr>
                <w:rFonts w:ascii="Arial" w:cs="Arial" w:eastAsia="Arial" w:hAnsi="Arial"/>
                <w:sz w:val="14"/>
                <w:szCs w:val="14"/>
                <w:b w:val="1"/>
                <w:bCs w:val="1"/>
                <w:color w:val="00529B"/>
              </w:rPr>
              <w:t>Purpose</w:t>
            </w:r>
          </w:p>
        </w:tc>
        <w:tc>
          <w:tcPr>
            <w:tcW w:w="1240" w:type="dxa"/>
            <w:vAlign w:val="bottom"/>
            <w:tcBorders>
              <w:bottom w:val="single" w:sz="8" w:color="00529B"/>
            </w:tcBorders>
          </w:tcPr>
          <w:p>
            <w:pPr>
              <w:ind w:left="220"/>
              <w:spacing w:after="0"/>
              <w:rPr>
                <w:sz w:val="20"/>
                <w:szCs w:val="20"/>
                <w:color w:val="auto"/>
              </w:rPr>
            </w:pPr>
            <w:r>
              <w:rPr>
                <w:rFonts w:ascii="Arial" w:cs="Arial" w:eastAsia="Arial" w:hAnsi="Arial"/>
                <w:sz w:val="14"/>
                <w:szCs w:val="14"/>
                <w:b w:val="1"/>
                <w:bCs w:val="1"/>
                <w:color w:val="00529B"/>
              </w:rPr>
              <w:t>Payout</w:t>
            </w:r>
          </w:p>
        </w:tc>
        <w:tc>
          <w:tcPr>
            <w:tcW w:w="2500" w:type="dxa"/>
            <w:vAlign w:val="bottom"/>
            <w:tcBorders>
              <w:bottom w:val="single" w:sz="8" w:color="00529B"/>
            </w:tcBorders>
          </w:tcPr>
          <w:p>
            <w:pPr>
              <w:ind w:left="460"/>
              <w:spacing w:after="0"/>
              <w:rPr>
                <w:sz w:val="20"/>
                <w:szCs w:val="20"/>
                <w:color w:val="auto"/>
              </w:rPr>
            </w:pPr>
            <w:r>
              <w:rPr>
                <w:rFonts w:ascii="Arial" w:cs="Arial" w:eastAsia="Arial" w:hAnsi="Arial"/>
                <w:sz w:val="14"/>
                <w:szCs w:val="14"/>
                <w:b w:val="1"/>
                <w:bCs w:val="1"/>
                <w:color w:val="00529B"/>
              </w:rPr>
              <w:t>are Determined</w:t>
            </w:r>
          </w:p>
        </w:tc>
        <w:tc>
          <w:tcPr>
            <w:tcW w:w="3260" w:type="dxa"/>
            <w:vAlign w:val="bottom"/>
            <w:tcBorders>
              <w:bottom w:val="single" w:sz="8" w:color="00529B"/>
            </w:tcBorders>
          </w:tcPr>
          <w:p>
            <w:pPr>
              <w:ind w:left="120"/>
              <w:spacing w:after="0"/>
              <w:rPr>
                <w:sz w:val="20"/>
                <w:szCs w:val="20"/>
                <w:color w:val="auto"/>
              </w:rPr>
            </w:pPr>
            <w:r>
              <w:rPr>
                <w:rFonts w:ascii="Arial" w:cs="Arial" w:eastAsia="Arial" w:hAnsi="Arial"/>
                <w:sz w:val="14"/>
                <w:szCs w:val="14"/>
                <w:b w:val="1"/>
                <w:bCs w:val="1"/>
                <w:color w:val="00529B"/>
              </w:rPr>
              <w:t>2022 Determinations</w:t>
            </w:r>
          </w:p>
        </w:tc>
        <w:tc>
          <w:tcPr>
            <w:tcW w:w="0" w:type="dxa"/>
            <w:vAlign w:val="bottom"/>
          </w:tcPr>
          <w:p>
            <w:pPr>
              <w:spacing w:after="0"/>
              <w:rPr>
                <w:sz w:val="1"/>
                <w:szCs w:val="1"/>
                <w:color w:val="auto"/>
              </w:rPr>
            </w:pPr>
          </w:p>
        </w:tc>
      </w:tr>
      <w:tr>
        <w:trPr>
          <w:trHeight w:val="217"/>
        </w:trPr>
        <w:tc>
          <w:tcPr>
            <w:tcW w:w="1420" w:type="dxa"/>
            <w:vAlign w:val="bottom"/>
          </w:tcPr>
          <w:p>
            <w:pPr>
              <w:spacing w:after="0"/>
              <w:rPr>
                <w:sz w:val="20"/>
                <w:szCs w:val="20"/>
                <w:color w:val="auto"/>
              </w:rPr>
            </w:pPr>
            <w:r>
              <w:rPr>
                <w:rFonts w:ascii="Arial" w:cs="Arial" w:eastAsia="Arial" w:hAnsi="Arial"/>
                <w:sz w:val="14"/>
                <w:szCs w:val="14"/>
                <w:b w:val="1"/>
                <w:bCs w:val="1"/>
                <w:color w:val="939598"/>
              </w:rPr>
              <w:t>Base</w:t>
            </w:r>
          </w:p>
        </w:tc>
        <w:tc>
          <w:tcPr>
            <w:tcW w:w="2400" w:type="dxa"/>
            <w:vAlign w:val="bottom"/>
          </w:tcPr>
          <w:p>
            <w:pPr>
              <w:ind w:left="880"/>
              <w:spacing w:after="0"/>
              <w:rPr>
                <w:sz w:val="20"/>
                <w:szCs w:val="20"/>
                <w:color w:val="auto"/>
              </w:rPr>
            </w:pPr>
            <w:r>
              <w:rPr>
                <w:rFonts w:ascii="Arial" w:cs="Arial" w:eastAsia="Arial" w:hAnsi="Arial"/>
                <w:sz w:val="13"/>
                <w:szCs w:val="13"/>
                <w:color w:val="auto"/>
              </w:rPr>
              <w:t>Provide a competitive</w:t>
            </w:r>
          </w:p>
        </w:tc>
        <w:tc>
          <w:tcPr>
            <w:tcW w:w="1240" w:type="dxa"/>
            <w:vAlign w:val="bottom"/>
          </w:tcPr>
          <w:p>
            <w:pPr>
              <w:ind w:left="220"/>
              <w:spacing w:after="0"/>
              <w:rPr>
                <w:sz w:val="20"/>
                <w:szCs w:val="20"/>
                <w:color w:val="auto"/>
              </w:rPr>
            </w:pPr>
            <w:r>
              <w:rPr>
                <w:rFonts w:ascii="Arial" w:cs="Arial" w:eastAsia="Arial" w:hAnsi="Arial"/>
                <w:sz w:val="13"/>
                <w:szCs w:val="13"/>
                <w:color w:val="auto"/>
              </w:rPr>
              <w:t>Cash</w:t>
            </w:r>
          </w:p>
        </w:tc>
        <w:tc>
          <w:tcPr>
            <w:tcW w:w="2500" w:type="dxa"/>
            <w:vAlign w:val="bottom"/>
          </w:tcPr>
          <w:p>
            <w:pPr>
              <w:ind w:left="460"/>
              <w:spacing w:after="0"/>
              <w:rPr>
                <w:sz w:val="20"/>
                <w:szCs w:val="20"/>
                <w:color w:val="auto"/>
              </w:rPr>
            </w:pPr>
            <w:r>
              <w:rPr>
                <w:rFonts w:ascii="Arial" w:cs="Arial" w:eastAsia="Arial" w:hAnsi="Arial"/>
                <w:sz w:val="13"/>
                <w:szCs w:val="13"/>
                <w:color w:val="auto"/>
              </w:rPr>
              <w:t>The Compensation Committee</w:t>
            </w:r>
          </w:p>
        </w:tc>
        <w:tc>
          <w:tcPr>
            <w:tcW w:w="3260" w:type="dxa"/>
            <w:vAlign w:val="bottom"/>
          </w:tcPr>
          <w:p>
            <w:pPr>
              <w:ind w:left="120"/>
              <w:spacing w:after="0"/>
              <w:rPr>
                <w:sz w:val="20"/>
                <w:szCs w:val="20"/>
                <w:color w:val="auto"/>
              </w:rPr>
            </w:pPr>
            <w:r>
              <w:rPr>
                <w:rFonts w:ascii="Arial" w:cs="Arial" w:eastAsia="Arial" w:hAnsi="Arial"/>
                <w:sz w:val="13"/>
                <w:szCs w:val="13"/>
                <w:color w:val="auto"/>
              </w:rPr>
              <w:t>In 2022, Ms. Hollub’s base salary was increased by</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b w:val="1"/>
                <w:bCs w:val="1"/>
                <w:color w:val="939598"/>
              </w:rPr>
              <w:t>Salary</w:t>
            </w:r>
          </w:p>
        </w:tc>
        <w:tc>
          <w:tcPr>
            <w:tcW w:w="2400" w:type="dxa"/>
            <w:vAlign w:val="bottom"/>
          </w:tcPr>
          <w:p>
            <w:pPr>
              <w:ind w:left="880"/>
              <w:spacing w:after="0"/>
              <w:rPr>
                <w:sz w:val="20"/>
                <w:szCs w:val="20"/>
                <w:color w:val="auto"/>
              </w:rPr>
            </w:pPr>
            <w:r>
              <w:rPr>
                <w:rFonts w:ascii="Arial" w:cs="Arial" w:eastAsia="Arial" w:hAnsi="Arial"/>
                <w:sz w:val="13"/>
                <w:szCs w:val="13"/>
                <w:color w:val="auto"/>
              </w:rPr>
              <w:t>level of fixed</w:t>
            </w:r>
          </w:p>
        </w:tc>
        <w:tc>
          <w:tcPr>
            <w:tcW w:w="1240" w:type="dxa"/>
            <w:vAlign w:val="bottom"/>
          </w:tcPr>
          <w:p>
            <w:pPr>
              <w:spacing w:after="0"/>
              <w:rPr>
                <w:sz w:val="14"/>
                <w:szCs w:val="14"/>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reviews base salaries annually</w:t>
            </w:r>
          </w:p>
        </w:tc>
        <w:tc>
          <w:tcPr>
            <w:tcW w:w="3260" w:type="dxa"/>
            <w:vAlign w:val="bottom"/>
          </w:tcPr>
          <w:p>
            <w:pPr>
              <w:ind w:left="120"/>
              <w:spacing w:after="0"/>
              <w:rPr>
                <w:sz w:val="20"/>
                <w:szCs w:val="20"/>
                <w:color w:val="auto"/>
              </w:rPr>
            </w:pPr>
            <w:r>
              <w:rPr>
                <w:rFonts w:ascii="Arial" w:cs="Arial" w:eastAsia="Arial" w:hAnsi="Arial"/>
                <w:sz w:val="13"/>
                <w:szCs w:val="13"/>
                <w:color w:val="auto"/>
              </w:rPr>
              <w:t>$300,000 to $1,300,000 to continue the salary</w:t>
            </w: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2400" w:type="dxa"/>
            <w:vAlign w:val="bottom"/>
          </w:tcPr>
          <w:p>
            <w:pPr>
              <w:ind w:left="880"/>
              <w:spacing w:after="0" w:line="136" w:lineRule="exact"/>
              <w:rPr>
                <w:sz w:val="20"/>
                <w:szCs w:val="20"/>
                <w:color w:val="auto"/>
              </w:rPr>
            </w:pPr>
            <w:r>
              <w:rPr>
                <w:rFonts w:ascii="Arial" w:cs="Arial" w:eastAsia="Arial" w:hAnsi="Arial"/>
                <w:sz w:val="13"/>
                <w:szCs w:val="13"/>
                <w:color w:val="auto"/>
              </w:rPr>
              <w:t>compensation.</w:t>
            </w:r>
          </w:p>
        </w:tc>
        <w:tc>
          <w:tcPr>
            <w:tcW w:w="1240" w:type="dxa"/>
            <w:vAlign w:val="bottom"/>
          </w:tcPr>
          <w:p>
            <w:pPr>
              <w:spacing w:after="0"/>
              <w:rPr>
                <w:sz w:val="11"/>
                <w:szCs w:val="11"/>
                <w:color w:val="auto"/>
              </w:rPr>
            </w:pPr>
          </w:p>
        </w:tc>
        <w:tc>
          <w:tcPr>
            <w:tcW w:w="2500" w:type="dxa"/>
            <w:vAlign w:val="bottom"/>
          </w:tcPr>
          <w:p>
            <w:pPr>
              <w:ind w:left="460"/>
              <w:spacing w:after="0" w:line="136" w:lineRule="exact"/>
              <w:rPr>
                <w:sz w:val="20"/>
                <w:szCs w:val="20"/>
                <w:color w:val="auto"/>
              </w:rPr>
            </w:pPr>
            <w:r>
              <w:rPr>
                <w:rFonts w:ascii="Arial" w:cs="Arial" w:eastAsia="Arial" w:hAnsi="Arial"/>
                <w:sz w:val="13"/>
                <w:szCs w:val="13"/>
                <w:color w:val="auto"/>
              </w:rPr>
              <w:t>and as circumstances warrant.</w:t>
            </w:r>
          </w:p>
        </w:tc>
        <w:tc>
          <w:tcPr>
            <w:tcW w:w="3260" w:type="dxa"/>
            <w:vAlign w:val="bottom"/>
          </w:tcPr>
          <w:p>
            <w:pPr>
              <w:ind w:left="120"/>
              <w:spacing w:after="0" w:line="136" w:lineRule="exact"/>
              <w:rPr>
                <w:sz w:val="20"/>
                <w:szCs w:val="20"/>
                <w:color w:val="auto"/>
              </w:rPr>
            </w:pPr>
            <w:r>
              <w:rPr>
                <w:rFonts w:ascii="Arial" w:cs="Arial" w:eastAsia="Arial" w:hAnsi="Arial"/>
                <w:sz w:val="13"/>
                <w:szCs w:val="13"/>
                <w:color w:val="auto"/>
              </w:rPr>
              <w:t>restoration process to pre-COVID levels; each of Mr.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The Compensation Committee</w:t>
            </w:r>
          </w:p>
        </w:tc>
        <w:tc>
          <w:tcPr>
            <w:tcW w:w="3260" w:type="dxa"/>
            <w:vAlign w:val="bottom"/>
          </w:tcPr>
          <w:p>
            <w:pPr>
              <w:ind w:left="120"/>
              <w:spacing w:after="0"/>
              <w:rPr>
                <w:sz w:val="20"/>
                <w:szCs w:val="20"/>
                <w:color w:val="auto"/>
              </w:rPr>
            </w:pPr>
            <w:r>
              <w:rPr>
                <w:rFonts w:ascii="Arial" w:cs="Arial" w:eastAsia="Arial" w:hAnsi="Arial"/>
                <w:sz w:val="13"/>
                <w:szCs w:val="13"/>
                <w:color w:val="auto"/>
              </w:rPr>
              <w:t>Peterson’s and Mr. Jackson’s base salaries were</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reviews compensation surveys,</w:t>
            </w:r>
          </w:p>
        </w:tc>
        <w:tc>
          <w:tcPr>
            <w:tcW w:w="3260" w:type="dxa"/>
            <w:vAlign w:val="bottom"/>
          </w:tcPr>
          <w:p>
            <w:pPr>
              <w:ind w:left="120"/>
              <w:spacing w:after="0"/>
              <w:rPr>
                <w:sz w:val="20"/>
                <w:szCs w:val="20"/>
                <w:color w:val="auto"/>
              </w:rPr>
            </w:pPr>
            <w:r>
              <w:rPr>
                <w:rFonts w:ascii="Arial" w:cs="Arial" w:eastAsia="Arial" w:hAnsi="Arial"/>
                <w:sz w:val="13"/>
                <w:szCs w:val="13"/>
                <w:color w:val="auto"/>
              </w:rPr>
              <w:t>increased by $60,000 to $710,000; Mr. Bennett’s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publicly available peer company</w:t>
            </w:r>
          </w:p>
        </w:tc>
        <w:tc>
          <w:tcPr>
            <w:tcW w:w="3260" w:type="dxa"/>
            <w:vAlign w:val="bottom"/>
          </w:tcPr>
          <w:p>
            <w:pPr>
              <w:ind w:left="120"/>
              <w:spacing w:after="0"/>
              <w:rPr>
                <w:sz w:val="20"/>
                <w:szCs w:val="20"/>
                <w:color w:val="auto"/>
              </w:rPr>
            </w:pPr>
            <w:r>
              <w:rPr>
                <w:rFonts w:ascii="Arial" w:cs="Arial" w:eastAsia="Arial" w:hAnsi="Arial"/>
                <w:sz w:val="13"/>
                <w:szCs w:val="13"/>
                <w:color w:val="auto"/>
              </w:rPr>
              <w:t>and Mr. Dillon’s base salaries were increased by</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data, internal pay equity,</w:t>
            </w:r>
          </w:p>
        </w:tc>
        <w:tc>
          <w:tcPr>
            <w:tcW w:w="3260" w:type="dxa"/>
            <w:vAlign w:val="bottom"/>
          </w:tcPr>
          <w:p>
            <w:pPr>
              <w:ind w:left="120"/>
              <w:spacing w:after="0"/>
              <w:rPr>
                <w:sz w:val="20"/>
                <w:szCs w:val="20"/>
                <w:color w:val="auto"/>
              </w:rPr>
            </w:pPr>
            <w:r>
              <w:rPr>
                <w:rFonts w:ascii="Arial" w:cs="Arial" w:eastAsia="Arial" w:hAnsi="Arial"/>
                <w:sz w:val="13"/>
                <w:szCs w:val="13"/>
                <w:color w:val="auto"/>
              </w:rPr>
              <w:t>$35,000 to $610,000 and $710,000, respectively;</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individual responsibilities and</w:t>
            </w:r>
          </w:p>
        </w:tc>
        <w:tc>
          <w:tcPr>
            <w:tcW w:w="3260" w:type="dxa"/>
            <w:vAlign w:val="bottom"/>
          </w:tcPr>
          <w:p>
            <w:pPr>
              <w:ind w:left="120"/>
              <w:spacing w:after="0"/>
              <w:rPr>
                <w:sz w:val="20"/>
                <w:szCs w:val="20"/>
                <w:color w:val="auto"/>
              </w:rPr>
            </w:pPr>
            <w:r>
              <w:rPr>
                <w:rFonts w:ascii="Arial" w:cs="Arial" w:eastAsia="Arial" w:hAnsi="Arial"/>
                <w:sz w:val="13"/>
                <w:szCs w:val="13"/>
                <w:color w:val="auto"/>
              </w:rPr>
              <w:t>and Ms. Backus’ base salary was increased by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performance assessments with</w:t>
            </w:r>
          </w:p>
        </w:tc>
        <w:tc>
          <w:tcPr>
            <w:tcW w:w="3260" w:type="dxa"/>
            <w:vAlign w:val="bottom"/>
          </w:tcPr>
          <w:p>
            <w:pPr>
              <w:ind w:left="120"/>
              <w:spacing w:after="0"/>
              <w:rPr>
                <w:sz w:val="20"/>
                <w:szCs w:val="20"/>
                <w:color w:val="auto"/>
              </w:rPr>
            </w:pPr>
            <w:r>
              <w:rPr>
                <w:rFonts w:ascii="Arial" w:cs="Arial" w:eastAsia="Arial" w:hAnsi="Arial"/>
                <w:sz w:val="13"/>
                <w:szCs w:val="13"/>
                <w:color w:val="auto"/>
              </w:rPr>
              <w:t>$20,000 to $750,000.</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ind w:left="460"/>
              <w:spacing w:after="0"/>
              <w:rPr>
                <w:sz w:val="20"/>
                <w:szCs w:val="20"/>
                <w:color w:val="auto"/>
              </w:rPr>
            </w:pPr>
            <w:r>
              <w:rPr>
                <w:rFonts w:ascii="Arial" w:cs="Arial" w:eastAsia="Arial" w:hAnsi="Arial"/>
                <w:sz w:val="13"/>
                <w:szCs w:val="13"/>
                <w:color w:val="auto"/>
              </w:rPr>
              <w:t>the intent to attract and retain</w:t>
            </w:r>
          </w:p>
        </w:tc>
        <w:tc>
          <w:tcPr>
            <w:tcW w:w="3260" w:type="dxa"/>
            <w:vAlign w:val="bottom"/>
            <w:vMerge w:val="restart"/>
          </w:tcPr>
          <w:p>
            <w:pPr>
              <w:ind w:left="120"/>
              <w:spacing w:after="0"/>
              <w:rPr>
                <w:sz w:val="20"/>
                <w:szCs w:val="20"/>
                <w:color w:val="auto"/>
              </w:rPr>
            </w:pPr>
            <w:r>
              <w:rPr>
                <w:rFonts w:ascii="Arial" w:cs="Arial" w:eastAsia="Arial" w:hAnsi="Arial"/>
                <w:sz w:val="13"/>
                <w:szCs w:val="13"/>
                <w:color w:val="auto"/>
              </w:rPr>
              <w:t>Salary decisions are described in more detail under</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500" w:type="dxa"/>
            <w:vAlign w:val="bottom"/>
          </w:tcPr>
          <w:p>
            <w:pPr>
              <w:ind w:left="460"/>
              <w:spacing w:after="0" w:line="135" w:lineRule="exact"/>
              <w:rPr>
                <w:sz w:val="20"/>
                <w:szCs w:val="20"/>
                <w:color w:val="auto"/>
              </w:rPr>
            </w:pPr>
            <w:r>
              <w:rPr>
                <w:rFonts w:ascii="Arial" w:cs="Arial" w:eastAsia="Arial" w:hAnsi="Arial"/>
                <w:sz w:val="13"/>
                <w:szCs w:val="13"/>
                <w:color w:val="auto"/>
              </w:rPr>
              <w:t>highly talented executives.</w:t>
            </w: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“Individual Compensation Considerations” beginning</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on page 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-1286510</wp:posOffset>
            </wp:positionV>
            <wp:extent cx="7132320" cy="55289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93D8EE"/>
        </w:rPr>
        <w:t>Annual Cash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93D8EE"/>
        </w:rPr>
        <w:t>Incentive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tabs>
          <w:tab w:leader="none" w:pos="1720" w:val="left"/>
        </w:tabs>
        <w:rPr>
          <w:sz w:val="20"/>
          <w:szCs w:val="20"/>
          <w:color w:val="auto"/>
        </w:rPr>
      </w:pPr>
      <w:r>
        <w:rPr>
          <w:rFonts w:ascii="Arial" w:cs="Arial" w:eastAsia="Arial" w:hAnsi="Arial"/>
          <w:sz w:val="13"/>
          <w:szCs w:val="13"/>
          <w:color w:val="auto"/>
        </w:rPr>
        <w:t>Motivate executives to</w:t>
      </w:r>
      <w:r>
        <w:rPr>
          <w:sz w:val="20"/>
          <w:szCs w:val="20"/>
          <w:color w:val="auto"/>
        </w:rPr>
        <w:tab/>
      </w:r>
      <w:r>
        <w:rPr>
          <w:rFonts w:ascii="Arial" w:cs="Arial" w:eastAsia="Arial" w:hAnsi="Arial"/>
          <w:sz w:val="13"/>
          <w:szCs w:val="13"/>
          <w:color w:val="auto"/>
        </w:rPr>
        <w:t>Cash</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achieve superior</w:t>
      </w:r>
    </w:p>
    <w:p>
      <w:pPr>
        <w:spacing w:after="0"/>
        <w:rPr>
          <w:sz w:val="20"/>
          <w:szCs w:val="20"/>
          <w:color w:val="auto"/>
        </w:rPr>
      </w:pPr>
      <w:r>
        <w:rPr>
          <w:rFonts w:ascii="Arial" w:cs="Arial" w:eastAsia="Arial" w:hAnsi="Arial"/>
          <w:sz w:val="13"/>
          <w:szCs w:val="13"/>
          <w:color w:val="auto"/>
        </w:rPr>
        <w:t>performance over a one-</w:t>
      </w:r>
    </w:p>
    <w:p>
      <w:pPr>
        <w:spacing w:after="0"/>
        <w:rPr>
          <w:sz w:val="20"/>
          <w:szCs w:val="20"/>
          <w:color w:val="auto"/>
        </w:rPr>
      </w:pPr>
      <w:r>
        <w:rPr>
          <w:rFonts w:ascii="Arial" w:cs="Arial" w:eastAsia="Arial" w:hAnsi="Arial"/>
          <w:sz w:val="13"/>
          <w:szCs w:val="13"/>
          <w:color w:val="auto"/>
        </w:rPr>
        <w:t>year period.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Compensation Committee annually reviews the objectives, metrics and targets underlying the ACI award, and their relative weightings, with an aim to incentivize the NEOs to excel in areas that are aligned with Occidental’s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833755</wp:posOffset>
            </wp:positionV>
            <wp:extent cx="6875145" cy="251142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875145" cy="251142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833755</wp:posOffset>
            </wp:positionV>
            <wp:extent cx="6875145" cy="251142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875145" cy="2511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The 2022 ACI award is based 80% on corporate performance and 20% on individual performance and contribution for Ms. Hollub and 60% on corporate performance and 40% on individual performance and contribution for all other NEOs. The corporate performance portion is based on Occidental’s total spend per barrel and sustainability performance.</w:t>
      </w:r>
    </w:p>
    <w:p>
      <w:pPr>
        <w:spacing w:after="0" w:line="259"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ACI is described in more detail under “Elements of the 2022 Executive Compensation Program – Annual Cash Incentive” beginning on page 46. The amount ultimately earned under the ACI award for each NEO is discussed under “Individual Compensation Considerations” beginning on page 52.</w:t>
      </w:r>
    </w:p>
    <w:p>
      <w:pPr>
        <w:spacing w:after="0" w:line="200" w:lineRule="exact"/>
        <w:rPr>
          <w:sz w:val="20"/>
          <w:szCs w:val="20"/>
          <w:color w:val="auto"/>
        </w:rPr>
      </w:pPr>
    </w:p>
    <w:p>
      <w:pPr>
        <w:sectPr>
          <w:pgSz w:w="11900" w:h="16838" w:orient="portrait"/>
          <w:cols w:equalWidth="0" w:num="4">
            <w:col w:w="2000" w:space="720"/>
            <w:col w:w="2500" w:space="720"/>
            <w:col w:w="1920" w:space="240"/>
            <w:col w:w="3140"/>
          </w:cols>
          <w:pgMar w:left="320" w:top="130" w:right="339" w:bottom="1440" w:gutter="0" w:footer="0" w:header="0"/>
          <w:type w:val="continuous"/>
        </w:sectPr>
      </w:pP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80" w:type="dxa"/>
            <w:vAlign w:val="bottom"/>
          </w:tcPr>
          <w:p>
            <w:pPr>
              <w:ind w:left="40"/>
              <w:spacing w:after="0"/>
              <w:rPr>
                <w:sz w:val="20"/>
                <w:szCs w:val="20"/>
                <w:color w:val="auto"/>
              </w:rPr>
            </w:pPr>
            <w:r>
              <w:rPr>
                <w:rFonts w:ascii="Arial" w:cs="Arial" w:eastAsia="Arial" w:hAnsi="Arial"/>
                <w:sz w:val="14"/>
                <w:szCs w:val="14"/>
                <w:b w:val="1"/>
                <w:bCs w:val="1"/>
                <w:color w:val="00529B"/>
              </w:rPr>
              <w:t>PSU</w:t>
            </w: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Incentivize executives to</w:t>
            </w:r>
          </w:p>
        </w:tc>
        <w:tc>
          <w:tcPr>
            <w:tcW w:w="1260" w:type="dxa"/>
            <w:vAlign w:val="bottom"/>
          </w:tcPr>
          <w:p>
            <w:pPr>
              <w:spacing w:after="0"/>
              <w:rPr>
                <w:sz w:val="20"/>
                <w:szCs w:val="20"/>
                <w:color w:val="auto"/>
              </w:rPr>
            </w:pPr>
            <w:r>
              <w:rPr>
                <w:rFonts w:ascii="Arial" w:cs="Arial" w:eastAsia="Arial" w:hAnsi="Arial"/>
                <w:sz w:val="13"/>
                <w:szCs w:val="13"/>
                <w:color w:val="auto"/>
              </w:rPr>
              <w:t>Stock</w:t>
            </w:r>
          </w:p>
        </w:tc>
      </w:tr>
      <w:tr>
        <w:trPr>
          <w:trHeight w:val="161"/>
        </w:trPr>
        <w:tc>
          <w:tcPr>
            <w:tcW w:w="1480" w:type="dxa"/>
            <w:vAlign w:val="bottom"/>
          </w:tcPr>
          <w:p>
            <w:pPr>
              <w:ind w:left="40"/>
              <w:spacing w:after="0"/>
              <w:rPr>
                <w:sz w:val="20"/>
                <w:szCs w:val="20"/>
                <w:color w:val="auto"/>
              </w:rPr>
            </w:pPr>
            <w:r>
              <w:rPr>
                <w:rFonts w:ascii="Arial" w:cs="Arial" w:eastAsia="Arial" w:hAnsi="Arial"/>
                <w:sz w:val="14"/>
                <w:szCs w:val="14"/>
                <w:b w:val="1"/>
                <w:bCs w:val="1"/>
                <w:color w:val="00529B"/>
              </w:rPr>
              <w:t>Awards</w:t>
            </w: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sustain long-term</w:t>
            </w:r>
          </w:p>
        </w:tc>
        <w:tc>
          <w:tcPr>
            <w:tcW w:w="1260" w:type="dxa"/>
            <w:vAlign w:val="bottom"/>
          </w:tcPr>
          <w:p>
            <w:pPr>
              <w:spacing w:after="0"/>
              <w:rPr>
                <w:sz w:val="14"/>
                <w:szCs w:val="14"/>
                <w:color w:val="auto"/>
              </w:rPr>
            </w:pPr>
          </w:p>
        </w:tc>
      </w:tr>
      <w:tr>
        <w:trPr>
          <w:trHeight w:val="176"/>
        </w:trPr>
        <w:tc>
          <w:tcPr>
            <w:tcW w:w="1480" w:type="dxa"/>
            <w:vAlign w:val="bottom"/>
          </w:tcPr>
          <w:p>
            <w:pPr>
              <w:spacing w:after="0"/>
              <w:rPr>
                <w:sz w:val="15"/>
                <w:szCs w:val="15"/>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performance.</w:t>
            </w:r>
          </w:p>
        </w:tc>
        <w:tc>
          <w:tcPr>
            <w:tcW w:w="1260" w:type="dxa"/>
            <w:vAlign w:val="bottom"/>
          </w:tcPr>
          <w:p>
            <w:pPr>
              <w:spacing w:after="0"/>
              <w:rPr>
                <w:sz w:val="15"/>
                <w:szCs w:val="15"/>
                <w:color w:val="auto"/>
              </w:rPr>
            </w:pPr>
          </w:p>
        </w:tc>
      </w:tr>
      <w:tr>
        <w:trPr>
          <w:trHeight w:val="499"/>
        </w:trPr>
        <w:tc>
          <w:tcPr>
            <w:tcW w:w="1480" w:type="dxa"/>
            <w:vAlign w:val="bottom"/>
            <w:tcBorders>
              <w:bottom w:val="single" w:sz="8" w:color="D2D3D4"/>
            </w:tcBorders>
          </w:tcPr>
          <w:p>
            <w:pPr>
              <w:spacing w:after="0"/>
              <w:rPr>
                <w:sz w:val="24"/>
                <w:szCs w:val="24"/>
                <w:color w:val="auto"/>
              </w:rPr>
            </w:pPr>
          </w:p>
        </w:tc>
        <w:tc>
          <w:tcPr>
            <w:tcW w:w="2320" w:type="dxa"/>
            <w:vAlign w:val="bottom"/>
            <w:tcBorders>
              <w:bottom w:val="single" w:sz="8" w:color="D2D3D4"/>
            </w:tcBorders>
            <w:gridSpan w:val="2"/>
          </w:tcPr>
          <w:p>
            <w:pPr>
              <w:spacing w:after="0"/>
              <w:rPr>
                <w:sz w:val="24"/>
                <w:szCs w:val="24"/>
                <w:color w:val="auto"/>
              </w:rPr>
            </w:pPr>
          </w:p>
        </w:tc>
        <w:tc>
          <w:tcPr>
            <w:tcW w:w="1260" w:type="dxa"/>
            <w:vAlign w:val="bottom"/>
            <w:tcBorders>
              <w:bottom w:val="single" w:sz="8" w:color="D2D3D4"/>
            </w:tcBorders>
          </w:tcPr>
          <w:p>
            <w:pPr>
              <w:spacing w:after="0"/>
              <w:rPr>
                <w:sz w:val="24"/>
                <w:szCs w:val="24"/>
                <w:color w:val="auto"/>
              </w:rPr>
            </w:pPr>
          </w:p>
        </w:tc>
      </w:tr>
      <w:tr>
        <w:trPr>
          <w:trHeight w:val="251"/>
        </w:trPr>
        <w:tc>
          <w:tcPr>
            <w:tcW w:w="1480" w:type="dxa"/>
            <w:vAlign w:val="bottom"/>
          </w:tcPr>
          <w:p>
            <w:pPr>
              <w:ind w:left="40"/>
              <w:spacing w:after="0"/>
              <w:rPr>
                <w:sz w:val="20"/>
                <w:szCs w:val="20"/>
                <w:color w:val="auto"/>
              </w:rPr>
            </w:pPr>
            <w:r>
              <w:rPr>
                <w:rFonts w:ascii="Arial" w:cs="Arial" w:eastAsia="Arial" w:hAnsi="Arial"/>
                <w:sz w:val="14"/>
                <w:szCs w:val="14"/>
                <w:b w:val="1"/>
                <w:bCs w:val="1"/>
                <w:color w:val="00529B"/>
              </w:rPr>
              <w:t>RSU Awards</w:t>
            </w: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Provide a retention</w:t>
            </w:r>
          </w:p>
        </w:tc>
        <w:tc>
          <w:tcPr>
            <w:tcW w:w="1260" w:type="dxa"/>
            <w:vAlign w:val="bottom"/>
          </w:tcPr>
          <w:p>
            <w:pPr>
              <w:spacing w:after="0"/>
              <w:rPr>
                <w:sz w:val="20"/>
                <w:szCs w:val="20"/>
                <w:color w:val="auto"/>
              </w:rPr>
            </w:pPr>
            <w:r>
              <w:rPr>
                <w:rFonts w:ascii="Arial" w:cs="Arial" w:eastAsia="Arial" w:hAnsi="Arial"/>
                <w:sz w:val="13"/>
                <w:szCs w:val="13"/>
                <w:color w:val="auto"/>
              </w:rPr>
              <w:t>Stock</w:t>
            </w:r>
          </w:p>
        </w:tc>
      </w:tr>
      <w:tr>
        <w:trPr>
          <w:trHeight w:val="148"/>
        </w:trPr>
        <w:tc>
          <w:tcPr>
            <w:tcW w:w="1480" w:type="dxa"/>
            <w:vAlign w:val="bottom"/>
          </w:tcPr>
          <w:p>
            <w:pPr>
              <w:spacing w:after="0"/>
              <w:rPr>
                <w:sz w:val="12"/>
                <w:szCs w:val="12"/>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incentive that promotes</w:t>
            </w:r>
          </w:p>
        </w:tc>
        <w:tc>
          <w:tcPr>
            <w:tcW w:w="1260" w:type="dxa"/>
            <w:vAlign w:val="bottom"/>
          </w:tcPr>
          <w:p>
            <w:pPr>
              <w:spacing w:after="0"/>
              <w:rPr>
                <w:sz w:val="12"/>
                <w:szCs w:val="12"/>
                <w:color w:val="auto"/>
              </w:rPr>
            </w:pPr>
          </w:p>
        </w:tc>
      </w:tr>
      <w:tr>
        <w:trPr>
          <w:trHeight w:val="149"/>
        </w:trPr>
        <w:tc>
          <w:tcPr>
            <w:tcW w:w="1480" w:type="dxa"/>
            <w:vAlign w:val="bottom"/>
          </w:tcPr>
          <w:p>
            <w:pPr>
              <w:spacing w:after="0"/>
              <w:rPr>
                <w:sz w:val="12"/>
                <w:szCs w:val="12"/>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sustained stock</w:t>
            </w:r>
          </w:p>
        </w:tc>
        <w:tc>
          <w:tcPr>
            <w:tcW w:w="1260" w:type="dxa"/>
            <w:vAlign w:val="bottom"/>
          </w:tcPr>
          <w:p>
            <w:pPr>
              <w:spacing w:after="0"/>
              <w:rPr>
                <w:sz w:val="12"/>
                <w:szCs w:val="12"/>
                <w:color w:val="auto"/>
              </w:rPr>
            </w:pPr>
          </w:p>
        </w:tc>
      </w:tr>
      <w:tr>
        <w:trPr>
          <w:trHeight w:val="148"/>
        </w:trPr>
        <w:tc>
          <w:tcPr>
            <w:tcW w:w="1480" w:type="dxa"/>
            <w:vAlign w:val="bottom"/>
          </w:tcPr>
          <w:p>
            <w:pPr>
              <w:spacing w:after="0"/>
              <w:rPr>
                <w:sz w:val="12"/>
                <w:szCs w:val="12"/>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ownership and alignment</w:t>
            </w:r>
          </w:p>
        </w:tc>
        <w:tc>
          <w:tcPr>
            <w:tcW w:w="1260" w:type="dxa"/>
            <w:vAlign w:val="bottom"/>
          </w:tcPr>
          <w:p>
            <w:pPr>
              <w:spacing w:after="0"/>
              <w:rPr>
                <w:sz w:val="12"/>
                <w:szCs w:val="12"/>
                <w:color w:val="auto"/>
              </w:rPr>
            </w:pPr>
          </w:p>
        </w:tc>
      </w:tr>
      <w:tr>
        <w:trPr>
          <w:trHeight w:val="148"/>
        </w:trPr>
        <w:tc>
          <w:tcPr>
            <w:tcW w:w="1480" w:type="dxa"/>
            <w:vAlign w:val="bottom"/>
          </w:tcPr>
          <w:p>
            <w:pPr>
              <w:spacing w:after="0"/>
              <w:rPr>
                <w:sz w:val="12"/>
                <w:szCs w:val="12"/>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with stock price</w:t>
            </w:r>
          </w:p>
        </w:tc>
        <w:tc>
          <w:tcPr>
            <w:tcW w:w="1260" w:type="dxa"/>
            <w:vAlign w:val="bottom"/>
          </w:tcPr>
          <w:p>
            <w:pPr>
              <w:spacing w:after="0"/>
              <w:rPr>
                <w:sz w:val="12"/>
                <w:szCs w:val="12"/>
                <w:color w:val="auto"/>
              </w:rPr>
            </w:pPr>
          </w:p>
        </w:tc>
      </w:tr>
      <w:tr>
        <w:trPr>
          <w:trHeight w:val="176"/>
        </w:trPr>
        <w:tc>
          <w:tcPr>
            <w:tcW w:w="1480" w:type="dxa"/>
            <w:vAlign w:val="bottom"/>
          </w:tcPr>
          <w:p>
            <w:pPr>
              <w:spacing w:after="0"/>
              <w:rPr>
                <w:sz w:val="15"/>
                <w:szCs w:val="15"/>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performance.</w:t>
            </w:r>
          </w:p>
        </w:tc>
        <w:tc>
          <w:tcPr>
            <w:tcW w:w="1260" w:type="dxa"/>
            <w:vAlign w:val="bottom"/>
          </w:tcPr>
          <w:p>
            <w:pPr>
              <w:spacing w:after="0"/>
              <w:rPr>
                <w:sz w:val="15"/>
                <w:szCs w:val="15"/>
                <w:color w:val="auto"/>
              </w:rPr>
            </w:pPr>
          </w:p>
        </w:tc>
      </w:tr>
      <w:tr>
        <w:trPr>
          <w:trHeight w:val="728"/>
        </w:trPr>
        <w:tc>
          <w:tcPr>
            <w:tcW w:w="1480" w:type="dxa"/>
            <w:vAlign w:val="bottom"/>
            <w:tcBorders>
              <w:bottom w:val="single" w:sz="8" w:color="D2D3D4"/>
            </w:tcBorders>
          </w:tcPr>
          <w:p>
            <w:pPr>
              <w:spacing w:after="0"/>
              <w:rPr>
                <w:sz w:val="24"/>
                <w:szCs w:val="24"/>
                <w:color w:val="auto"/>
              </w:rPr>
            </w:pPr>
          </w:p>
        </w:tc>
        <w:tc>
          <w:tcPr>
            <w:tcW w:w="2100" w:type="dxa"/>
            <w:vAlign w:val="bottom"/>
            <w:tcBorders>
              <w:bottom w:val="single" w:sz="8" w:color="D2D3D4"/>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D2D3D4"/>
            </w:tcBorders>
          </w:tcPr>
          <w:p>
            <w:pPr>
              <w:spacing w:after="0"/>
              <w:rPr>
                <w:sz w:val="24"/>
                <w:szCs w:val="24"/>
                <w:color w:val="auto"/>
              </w:rPr>
            </w:pPr>
          </w:p>
        </w:tc>
      </w:tr>
      <w:tr>
        <w:trPr>
          <w:trHeight w:val="210"/>
        </w:trPr>
        <w:tc>
          <w:tcPr>
            <w:tcW w:w="1480" w:type="dxa"/>
            <w:vAlign w:val="bottom"/>
          </w:tcPr>
          <w:p>
            <w:pPr>
              <w:ind w:left="40"/>
              <w:spacing w:after="0"/>
              <w:rPr>
                <w:sz w:val="20"/>
                <w:szCs w:val="20"/>
                <w:color w:val="auto"/>
              </w:rPr>
            </w:pPr>
            <w:r>
              <w:rPr>
                <w:rFonts w:ascii="Arial" w:cs="Arial" w:eastAsia="Arial" w:hAnsi="Arial"/>
                <w:sz w:val="14"/>
                <w:szCs w:val="14"/>
                <w:b w:val="1"/>
                <w:bCs w:val="1"/>
                <w:color w:val="368FFF"/>
              </w:rPr>
              <w:t>NQSOs</w:t>
            </w: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Reinforce the importance</w:t>
            </w:r>
          </w:p>
        </w:tc>
        <w:tc>
          <w:tcPr>
            <w:tcW w:w="1260" w:type="dxa"/>
            <w:vAlign w:val="bottom"/>
          </w:tcPr>
          <w:p>
            <w:pPr>
              <w:spacing w:after="0"/>
              <w:rPr>
                <w:sz w:val="20"/>
                <w:szCs w:val="20"/>
                <w:color w:val="auto"/>
              </w:rPr>
            </w:pPr>
            <w:r>
              <w:rPr>
                <w:rFonts w:ascii="Arial" w:cs="Arial" w:eastAsia="Arial" w:hAnsi="Arial"/>
                <w:sz w:val="13"/>
                <w:szCs w:val="13"/>
                <w:color w:val="auto"/>
              </w:rPr>
              <w:t>Stock</w:t>
            </w:r>
          </w:p>
        </w:tc>
      </w:tr>
      <w:tr>
        <w:trPr>
          <w:trHeight w:val="148"/>
        </w:trPr>
        <w:tc>
          <w:tcPr>
            <w:tcW w:w="1480" w:type="dxa"/>
            <w:vAlign w:val="bottom"/>
          </w:tcPr>
          <w:p>
            <w:pPr>
              <w:spacing w:after="0"/>
              <w:rPr>
                <w:sz w:val="12"/>
                <w:szCs w:val="12"/>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of stock price</w:t>
            </w:r>
          </w:p>
        </w:tc>
        <w:tc>
          <w:tcPr>
            <w:tcW w:w="1260" w:type="dxa"/>
            <w:vAlign w:val="bottom"/>
          </w:tcPr>
          <w:p>
            <w:pPr>
              <w:spacing w:after="0"/>
              <w:rPr>
                <w:sz w:val="12"/>
                <w:szCs w:val="12"/>
                <w:color w:val="auto"/>
              </w:rPr>
            </w:pPr>
          </w:p>
        </w:tc>
      </w:tr>
      <w:tr>
        <w:trPr>
          <w:trHeight w:val="176"/>
        </w:trPr>
        <w:tc>
          <w:tcPr>
            <w:tcW w:w="1480" w:type="dxa"/>
            <w:vAlign w:val="bottom"/>
          </w:tcPr>
          <w:p>
            <w:pPr>
              <w:spacing w:after="0"/>
              <w:rPr>
                <w:sz w:val="15"/>
                <w:szCs w:val="15"/>
                <w:color w:val="auto"/>
              </w:rPr>
            </w:pP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appreciation.</w:t>
            </w:r>
          </w:p>
        </w:tc>
        <w:tc>
          <w:tcPr>
            <w:tcW w:w="12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633095</wp:posOffset>
            </wp:positionV>
            <wp:extent cx="6720840" cy="15430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The Compensation Committee annually reviews and determines a target long-term incentive award package for each NEO based on a review of compensation surveys, publicly available peer company data, the executive’s prior-year award value (as applicable), retention considerations, the balance of short-and long-term pay and internal pay equity.</w:t>
      </w:r>
    </w:p>
    <w:p>
      <w:pPr>
        <w:spacing w:after="0" w:line="108"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majority of the long-term incentive award package for each NEO is performance-based. The Compensation Committee annually considers the performance criteria for PSU awards in light</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3"/>
          <w:szCs w:val="13"/>
          <w:color w:val="auto"/>
        </w:rPr>
        <w:t>of Occidental’s ongoing business objectives.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Similar to 2021, the Compensation Committee continued using TSR and CROCE as the performance criteria for the PSU awards. The TSR award is an objective, external measure of Occidental’s effectiveness in translating our results into shareholder returns. The CROCE award incentivizes a high level of executive focus on capital efficiency and prudent capital allocation. The RSU award, which is subject to a two-year post-vesting holding period, aligns with Occidental’s absolute stock price performance and provides retention value. Lastly, the NQSOs generate high-level alignment with shareholders and reinforce the importance of price appreciation. Long-term incentive awards are weighted: 50% PSU (25% TSR and 25% CROCE); 25% RSU and 25% NQSOs.</w:t>
      </w:r>
    </w:p>
    <w:p>
      <w:pPr>
        <w:spacing w:after="0" w:line="109"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long-term incentive award program is described in more detail under “Elements of the 2022 Executive Compensation Program – Long-Term Incentive Award Program” beginning on page 48. The target value of the long-term incentive award package of each NEO is described under “Individual Compensation Considerations” beginning on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247650</wp:posOffset>
            </wp:positionV>
            <wp:extent cx="257175" cy="2743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720" w:space="220"/>
            <w:col w:w="1920" w:space="240"/>
            <w:col w:w="3140"/>
          </w:cols>
          <w:pgMar w:left="320" w:top="130"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8560"/>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Program Emphasizes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A substantial majority of NEO compensation is dependent on performance.</w:t>
      </w:r>
    </w:p>
    <w:p>
      <w:pPr>
        <w:spacing w:after="0" w:line="206" w:lineRule="exact"/>
        <w:rPr>
          <w:sz w:val="20"/>
          <w:szCs w:val="20"/>
          <w:color w:val="auto"/>
        </w:rPr>
      </w:pPr>
    </w:p>
    <w:p>
      <w:pPr>
        <w:jc w:val="both"/>
        <w:ind w:right="440"/>
        <w:spacing w:after="0" w:line="244" w:lineRule="auto"/>
        <w:rPr>
          <w:sz w:val="20"/>
          <w:szCs w:val="20"/>
          <w:color w:val="auto"/>
        </w:rPr>
      </w:pPr>
      <w:r>
        <w:rPr>
          <w:rFonts w:ascii="Arial" w:cs="Arial" w:eastAsia="Arial" w:hAnsi="Arial"/>
          <w:sz w:val="15"/>
          <w:szCs w:val="15"/>
          <w:color w:val="auto"/>
        </w:rPr>
        <w:t>90% of Ms. Hollub’s (and an average of 84% of the other NEOs’) 2022 target direct compensation opportunity is variable, or at risk. The ultimate value of at-risk compensation is dependent on company performance outcomes, the result of the Compensation Committee’s assessment of each individual’s performance and Occidental’s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63144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529B"/>
        </w:rPr>
        <w:t>CEO TARGET DIRECT COMPENSATION MIX</w:t>
      </w:r>
      <w:r>
        <w:rPr>
          <w:rFonts w:ascii="Arial" w:cs="Arial" w:eastAsia="Arial" w:hAnsi="Arial"/>
          <w:sz w:val="23"/>
          <w:szCs w:val="23"/>
          <w:b w:val="1"/>
          <w:bCs w:val="1"/>
          <w:color w:val="00529B"/>
          <w:vertAlign w:val="superscript"/>
        </w:rPr>
        <w:t>(1)</w:t>
      </w:r>
      <w:r>
        <w:rPr>
          <w:rFonts w:ascii="Arial" w:cs="Arial" w:eastAsia="Arial" w:hAnsi="Arial"/>
          <w:sz w:val="14"/>
          <w:szCs w:val="14"/>
          <w:b w:val="1"/>
          <w:bCs w:val="1"/>
          <w:color w:val="00529B"/>
        </w:rPr>
        <w:t xml:space="preserve"> - 90% VARIABLE/AT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Target direct compensation is composed of base salary, target ACI award opportunity, and the target value of long-term incentive awards.</w:t>
      </w:r>
    </w:p>
    <w:p>
      <w:pPr>
        <w:sectPr>
          <w:pgSz w:w="11900" w:h="16838" w:orient="portrait"/>
          <w:cols w:equalWidth="0" w:num="1">
            <w:col w:w="11240"/>
          </w:cols>
          <w:pgMar w:left="320" w:top="130" w:right="3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Say-on-Pay Vote</w:t>
      </w:r>
    </w:p>
    <w:p>
      <w:pPr>
        <w:spacing w:after="0" w:line="241"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At the 2021 and 2022 Annual Meetings, Occidental’s Say-on-Pay vote received support from approximately 97% of the total votes cast. The Compensation Committee views these results as an endorsement by shareholders of the design of the company’s current executive compensation program. Through shareholder engagement, we received positive feedback from stakeholders on increasing the weighting of sustainability metrics for the company performance portion of the 2021 ACI award, maintaining that weighting for the company performance portion of the 2022 ACI award, and setting associated short-term targets aligned with the Paris Agreement to address emissions reduction efforts (Scope 1 and 2 emissions) and carbon ventures and reduction projects (Scope 3 emissions). Management has also received support from shareholders and other stakeholders for having a significant portion of CEO and other NEO compensation be variable, or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153275"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line="250" w:lineRule="auto"/>
        <w:rPr>
          <w:sz w:val="20"/>
          <w:szCs w:val="20"/>
          <w:color w:val="auto"/>
        </w:rPr>
      </w:pPr>
      <w:r>
        <w:rPr>
          <w:rFonts w:ascii="Arial" w:cs="Arial" w:eastAsia="Arial" w:hAnsi="Arial"/>
          <w:sz w:val="18"/>
          <w:szCs w:val="18"/>
          <w:b w:val="1"/>
          <w:bCs w:val="1"/>
          <w:color w:val="00529B"/>
        </w:rPr>
        <w:t>At our 2021 and 2022 Annual Meetings, shareholders showed strong support for our executive compensation program with 97% of the votes cast at each meeting approving our advisory resolution</w:t>
      </w:r>
      <w:r>
        <w:rPr>
          <w:rFonts w:ascii="Arial" w:cs="Arial" w:eastAsia="Arial" w:hAnsi="Arial"/>
          <w:sz w:val="15"/>
          <w:szCs w:val="15"/>
          <w:b w:val="1"/>
          <w:bCs w:val="1"/>
          <w:color w:val="00529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287020</wp:posOffset>
            </wp:positionV>
            <wp:extent cx="6000750" cy="12890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-1778000</wp:posOffset>
            </wp:positionV>
            <wp:extent cx="3454400" cy="180848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454400" cy="180848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2">
            <w:col w:w="5500" w:space="400"/>
            <w:col w:w="5340"/>
          </w:cols>
          <w:pgMar w:left="320" w:top="13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ind w:right="780"/>
        <w:spacing w:after="0" w:line="290" w:lineRule="auto"/>
        <w:rPr>
          <w:sz w:val="20"/>
          <w:szCs w:val="20"/>
          <w:color w:val="auto"/>
        </w:rPr>
      </w:pPr>
      <w:r>
        <w:rPr>
          <w:rFonts w:ascii="Arial" w:cs="Arial" w:eastAsia="Arial" w:hAnsi="Arial"/>
          <w:sz w:val="36"/>
          <w:szCs w:val="36"/>
          <w:b w:val="1"/>
          <w:bCs w:val="1"/>
          <w:color w:val="auto"/>
        </w:rPr>
        <w:t>Participants in the Executive Compensation Decision-Making Process</w:t>
      </w:r>
    </w:p>
    <w:p>
      <w:pPr>
        <w:spacing w:after="0" w:line="71" w:lineRule="exact"/>
        <w:rPr>
          <w:sz w:val="20"/>
          <w:szCs w:val="20"/>
          <w:color w:val="auto"/>
        </w:rPr>
      </w:pPr>
    </w:p>
    <w:p>
      <w:pPr>
        <w:spacing w:after="0" w:line="233" w:lineRule="auto"/>
        <w:rPr>
          <w:sz w:val="20"/>
          <w:szCs w:val="20"/>
          <w:color w:val="auto"/>
        </w:rPr>
      </w:pPr>
      <w:r>
        <w:rPr>
          <w:rFonts w:ascii="Arial" w:cs="Arial" w:eastAsia="Arial" w:hAnsi="Arial"/>
          <w:sz w:val="15"/>
          <w:szCs w:val="15"/>
          <w:b w:val="1"/>
          <w:bCs w:val="1"/>
          <w:color w:val="auto"/>
        </w:rPr>
        <w:t xml:space="preserve">Role of the Independent Compensation Committee. </w:t>
      </w:r>
      <w:r>
        <w:rPr>
          <w:rFonts w:ascii="Arial" w:cs="Arial" w:eastAsia="Arial" w:hAnsi="Arial"/>
          <w:sz w:val="15"/>
          <w:szCs w:val="15"/>
          <w:color w:val="auto"/>
        </w:rPr>
        <w:t>The Compensation Committee, composed of independent members of the Board, is responsible for annually</w:t>
      </w:r>
      <w:r>
        <w:rPr>
          <w:rFonts w:ascii="Arial" w:cs="Arial" w:eastAsia="Arial" w:hAnsi="Arial"/>
          <w:sz w:val="15"/>
          <w:szCs w:val="15"/>
          <w:b w:val="1"/>
          <w:bCs w:val="1"/>
          <w:color w:val="auto"/>
        </w:rPr>
        <w:t xml:space="preserve"> </w:t>
      </w:r>
      <w:r>
        <w:rPr>
          <w:rFonts w:ascii="Arial" w:cs="Arial" w:eastAsia="Arial" w:hAnsi="Arial"/>
          <w:sz w:val="15"/>
          <w:szCs w:val="15"/>
          <w:color w:val="auto"/>
        </w:rPr>
        <w:t>reviewing and approving all aspects of the Chief Executive Officer’s compensation, as well as annually reviewing and approving the compensation of all other NEOs. In performing these duties, the Compensation Committee obtains input, advice and information from senior management, members of Occidental’s Human Resources team and an independent compensation consultant, as further described below, throughout the year. The Compensation Committee also considers the views expressed by Occidental’s investors and shareholder advisory groups in making executive compensation decisions. The Compensation Committee uses publicly available data regarding the executive compensation practices of its compensation peer group (as defined below) as an additional tool but does not benchmark executive compensation to a specific percentile within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125095</wp:posOffset>
            </wp:positionV>
            <wp:extent cx="874395" cy="83185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74395" cy="83185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125095</wp:posOffset>
            </wp:positionV>
            <wp:extent cx="874395" cy="83185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74395" cy="8318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125095</wp:posOffset>
            </wp:positionV>
            <wp:extent cx="874395" cy="82296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7439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2640" w:type="dxa"/>
            <w:vAlign w:val="bottom"/>
          </w:tcPr>
          <w:p>
            <w:pPr>
              <w:jc w:val="center"/>
              <w:ind w:right="1326"/>
              <w:spacing w:after="0"/>
              <w:rPr>
                <w:sz w:val="20"/>
                <w:szCs w:val="20"/>
                <w:color w:val="auto"/>
              </w:rPr>
            </w:pPr>
            <w:r>
              <w:rPr>
                <w:rFonts w:ascii="Arial" w:cs="Arial" w:eastAsia="Arial" w:hAnsi="Arial"/>
                <w:sz w:val="15"/>
                <w:szCs w:val="15"/>
                <w:b w:val="1"/>
                <w:bCs w:val="1"/>
                <w:color w:val="00529B"/>
              </w:rPr>
              <w:t>JACK B. MOORE</w:t>
            </w:r>
          </w:p>
        </w:tc>
        <w:tc>
          <w:tcPr>
            <w:tcW w:w="3640" w:type="dxa"/>
            <w:vAlign w:val="bottom"/>
            <w:vMerge w:val="restart"/>
          </w:tcPr>
          <w:p>
            <w:pPr>
              <w:jc w:val="center"/>
              <w:spacing w:after="0"/>
              <w:rPr>
                <w:sz w:val="20"/>
                <w:szCs w:val="20"/>
                <w:color w:val="auto"/>
              </w:rPr>
            </w:pPr>
            <w:r>
              <w:rPr>
                <w:rFonts w:ascii="Arial" w:cs="Arial" w:eastAsia="Arial" w:hAnsi="Arial"/>
                <w:sz w:val="15"/>
                <w:szCs w:val="15"/>
                <w:b w:val="1"/>
                <w:bCs w:val="1"/>
                <w:color w:val="00529B"/>
              </w:rPr>
              <w:t>WILLIAM</w:t>
            </w:r>
          </w:p>
        </w:tc>
        <w:tc>
          <w:tcPr>
            <w:tcW w:w="2440" w:type="dxa"/>
            <w:vAlign w:val="bottom"/>
            <w:vMerge w:val="restart"/>
          </w:tcPr>
          <w:p>
            <w:pPr>
              <w:jc w:val="center"/>
              <w:ind w:left="1324"/>
              <w:spacing w:after="0"/>
              <w:rPr>
                <w:sz w:val="20"/>
                <w:szCs w:val="20"/>
                <w:color w:val="auto"/>
              </w:rPr>
            </w:pPr>
            <w:r>
              <w:rPr>
                <w:rFonts w:ascii="Arial" w:cs="Arial" w:eastAsia="Arial" w:hAnsi="Arial"/>
                <w:sz w:val="15"/>
                <w:szCs w:val="15"/>
                <w:b w:val="1"/>
                <w:bCs w:val="1"/>
                <w:color w:val="00529B"/>
              </w:rPr>
              <w:t>AVEDICK</w:t>
            </w:r>
          </w:p>
        </w:tc>
        <w:tc>
          <w:tcPr>
            <w:tcW w:w="0" w:type="dxa"/>
            <w:vAlign w:val="bottom"/>
          </w:tcPr>
          <w:p>
            <w:pPr>
              <w:spacing w:after="0"/>
              <w:rPr>
                <w:sz w:val="1"/>
                <w:szCs w:val="1"/>
                <w:color w:val="auto"/>
              </w:rPr>
            </w:pPr>
          </w:p>
        </w:tc>
      </w:tr>
      <w:tr>
        <w:trPr>
          <w:trHeight w:val="46"/>
        </w:trPr>
        <w:tc>
          <w:tcPr>
            <w:tcW w:w="2640" w:type="dxa"/>
            <w:vAlign w:val="bottom"/>
          </w:tcPr>
          <w:p>
            <w:pPr>
              <w:spacing w:after="0"/>
              <w:rPr>
                <w:sz w:val="4"/>
                <w:szCs w:val="4"/>
                <w:color w:val="auto"/>
              </w:rPr>
            </w:pPr>
          </w:p>
        </w:tc>
        <w:tc>
          <w:tcPr>
            <w:tcW w:w="3640" w:type="dxa"/>
            <w:vAlign w:val="bottom"/>
            <w:vMerge w:val="continue"/>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640" w:type="dxa"/>
            <w:vAlign w:val="bottom"/>
          </w:tcPr>
          <w:p>
            <w:pPr>
              <w:jc w:val="center"/>
              <w:ind w:right="1266"/>
              <w:spacing w:after="0"/>
              <w:rPr>
                <w:sz w:val="20"/>
                <w:szCs w:val="20"/>
                <w:color w:val="auto"/>
              </w:rPr>
            </w:pPr>
            <w:r>
              <w:rPr>
                <w:rFonts w:ascii="Arial" w:cs="Arial" w:eastAsia="Arial" w:hAnsi="Arial"/>
                <w:sz w:val="14"/>
                <w:szCs w:val="14"/>
                <w:color w:val="auto"/>
              </w:rPr>
              <w:t>Chair</w:t>
            </w:r>
          </w:p>
        </w:tc>
        <w:tc>
          <w:tcPr>
            <w:tcW w:w="3640" w:type="dxa"/>
            <w:vAlign w:val="bottom"/>
          </w:tcPr>
          <w:p>
            <w:pPr>
              <w:jc w:val="center"/>
              <w:spacing w:after="0"/>
              <w:rPr>
                <w:sz w:val="20"/>
                <w:szCs w:val="20"/>
                <w:color w:val="auto"/>
              </w:rPr>
            </w:pPr>
            <w:r>
              <w:rPr>
                <w:rFonts w:ascii="Arial" w:cs="Arial" w:eastAsia="Arial" w:hAnsi="Arial"/>
                <w:sz w:val="15"/>
                <w:szCs w:val="15"/>
                <w:b w:val="1"/>
                <w:bCs w:val="1"/>
                <w:color w:val="00529B"/>
              </w:rPr>
              <w:t>R. KLESSE</w:t>
            </w:r>
          </w:p>
        </w:tc>
        <w:tc>
          <w:tcPr>
            <w:tcW w:w="2440" w:type="dxa"/>
            <w:vAlign w:val="bottom"/>
          </w:tcPr>
          <w:p>
            <w:pPr>
              <w:jc w:val="center"/>
              <w:ind w:left="1364"/>
              <w:spacing w:after="0"/>
              <w:rPr>
                <w:sz w:val="20"/>
                <w:szCs w:val="20"/>
                <w:color w:val="auto"/>
              </w:rPr>
            </w:pPr>
            <w:r>
              <w:rPr>
                <w:rFonts w:ascii="Arial" w:cs="Arial" w:eastAsia="Arial" w:hAnsi="Arial"/>
                <w:sz w:val="15"/>
                <w:szCs w:val="15"/>
                <w:b w:val="1"/>
                <w:bCs w:val="1"/>
                <w:color w:val="00529B"/>
              </w:rPr>
              <w:t>B. POLADIAN</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b w:val="1"/>
          <w:bCs w:val="1"/>
          <w:color w:val="auto"/>
        </w:rPr>
        <w:t xml:space="preserve">Role of Senior Management. </w:t>
      </w:r>
      <w:r>
        <w:rPr>
          <w:rFonts w:ascii="Arial" w:cs="Arial" w:eastAsia="Arial" w:hAnsi="Arial"/>
          <w:sz w:val="15"/>
          <w:szCs w:val="15"/>
          <w:color w:val="auto"/>
        </w:rPr>
        <w:t>Ms. Hollub, as Chief Executive Officer, makes recommendations to the Compensation Committee regarding the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package for each of the other NEOs. Ms. Hollub and the Vice President of Human Resources are present for a portion of each of the Compensation Committee meetings, but no senior executive is present when decisions regarding his or her compensation are discussed and determined. Only the Compensation Committee sets Ms. Hollub’s compensation package. Senior members of the Human Resources team and other members of senior management interact with the compensation consultant as necessary and prepare materials for each Compensation Committee meeting to assist the Compensation Committee in its consideration and administration of executive compensation programs, plans and policies.</w:t>
      </w:r>
    </w:p>
    <w:p>
      <w:pPr>
        <w:spacing w:after="0" w:line="179" w:lineRule="exact"/>
        <w:rPr>
          <w:sz w:val="20"/>
          <w:szCs w:val="20"/>
          <w:color w:val="auto"/>
        </w:rPr>
      </w:pPr>
    </w:p>
    <w:p>
      <w:pPr>
        <w:ind w:right="80"/>
        <w:spacing w:after="0" w:line="234" w:lineRule="auto"/>
        <w:rPr>
          <w:sz w:val="20"/>
          <w:szCs w:val="20"/>
          <w:color w:val="auto"/>
        </w:rPr>
      </w:pPr>
      <w:r>
        <w:rPr>
          <w:rFonts w:ascii="Arial" w:cs="Arial" w:eastAsia="Arial" w:hAnsi="Arial"/>
          <w:sz w:val="15"/>
          <w:szCs w:val="15"/>
          <w:b w:val="1"/>
          <w:bCs w:val="1"/>
          <w:color w:val="auto"/>
        </w:rPr>
        <w:t xml:space="preserve">Role of the Independent Compensation Consultant. </w:t>
      </w:r>
      <w:r>
        <w:rPr>
          <w:rFonts w:ascii="Arial" w:cs="Arial" w:eastAsia="Arial" w:hAnsi="Arial"/>
          <w:sz w:val="15"/>
          <w:szCs w:val="15"/>
          <w:color w:val="auto"/>
        </w:rPr>
        <w:t>In 2022, the Compensation Committee engaged Meridian Compensation Partners, LLC (Meridian) as its</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consultant to provide advice on various executive compensation matters. Meridian has served as the Compensation Committee’s compensation consultant since 2016. The Compensation Committee reviewed the independence of Meridian under SEC rules, the NYSE Listed Company Manual standards and Occidental’s Independent Compensation Consultant Policy and found Meridian to be independent and without conflicts of interest. Occidental also participates in and reviews compensation surveys conducted by compensation consultants, including Meridian, in order to better understand external compensation practices, including with respect to executive compensation.</w:t>
      </w:r>
    </w:p>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b w:val="1"/>
          <w:bCs w:val="1"/>
          <w:color w:val="auto"/>
        </w:rPr>
        <w:t xml:space="preserve">Role of Shareholders. </w:t>
      </w:r>
      <w:r>
        <w:rPr>
          <w:rFonts w:ascii="Arial" w:cs="Arial" w:eastAsia="Arial" w:hAnsi="Arial"/>
          <w:sz w:val="15"/>
          <w:szCs w:val="15"/>
          <w:color w:val="auto"/>
        </w:rPr>
        <w:t>Occidental maintains an ongoing dialogue with its shareholders. Members of Occidental’s senior management team and, on a case-by-case</w:t>
      </w:r>
      <w:r>
        <w:rPr>
          <w:rFonts w:ascii="Arial" w:cs="Arial" w:eastAsia="Arial" w:hAnsi="Arial"/>
          <w:sz w:val="15"/>
          <w:szCs w:val="15"/>
          <w:b w:val="1"/>
          <w:bCs w:val="1"/>
          <w:color w:val="auto"/>
        </w:rPr>
        <w:t xml:space="preserve"> </w:t>
      </w:r>
      <w:r>
        <w:rPr>
          <w:rFonts w:ascii="Arial" w:cs="Arial" w:eastAsia="Arial" w:hAnsi="Arial"/>
          <w:sz w:val="15"/>
          <w:szCs w:val="15"/>
          <w:color w:val="auto"/>
        </w:rPr>
        <w:t>basis, one or more of Occidental’s independent directors, engage with shareholders through virtual and in-person meetings and phone calls. Input from these meetings regarding Occidental’s executive compensation policies and practices is taken into account by the Compensation Committee in making future compensation decisions. In 2022, for example, shareholder support played an important role in the Compensation Committee’s decision to maintain the sustainability metric of the company performance portion of the ACI award at 30% and continue to set targets for the sustainability metric to incentivize executives to enhance emissions reduction efforts (Scope 1 and 2 emissions) and promote carbon ventures and reduction projects (Scope 3 emissions). The Compensation Committee believes that this structure provides for a stronger link between potential bonus payout and the advancement of the company’s net-zero strategy. Based on shareholder feedback, the Compensation Committee also determined to maintain the mix of long-term incentive awards in 2022, which continues to emphasize our pay-for-performance philosophy. The Compensation Committee also supported enhancing Occidental’s CD&amp;A disclosure to provide more information about the company’s performance against the 2022 ACI award metrics in response to feedback from shareholders during the company’s recent off-season engagement.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Role of Peer Company Information. </w:t>
      </w:r>
      <w:r>
        <w:rPr>
          <w:rFonts w:ascii="Arial" w:cs="Arial" w:eastAsia="Arial" w:hAnsi="Arial"/>
          <w:sz w:val="15"/>
          <w:szCs w:val="15"/>
          <w:color w:val="auto"/>
        </w:rPr>
        <w:t>In order to evaluate how Occidental’s executive compensation program compares within the oil and gas industry, particularly</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award types, compensation mix, performance metrics and reported levels of compensation, the Compensation Committee reviews the executive compensation practices, programs and policies of a “compensation peer group,” as identified below. The Compensation Committee also reviews and considers oil and gas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743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8560"/>
        <w:spacing w:after="0"/>
        <w:rPr>
          <w:sz w:val="20"/>
          <w:szCs w:val="20"/>
          <w:color w:val="auto"/>
        </w:rPr>
      </w:pPr>
      <w:r>
        <w:rPr>
          <w:rFonts w:ascii="Arial" w:cs="Arial" w:eastAsia="Arial" w:hAnsi="Arial"/>
          <w:sz w:val="15"/>
          <w:szCs w:val="15"/>
          <w:color w:val="auto"/>
        </w:rPr>
        <w:t>Compensation Discussion and Analysis</w:t>
      </w:r>
    </w:p>
    <w:p>
      <w:pPr>
        <w:spacing w:after="0" w:line="206"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compensation surveys and related materials. This information is used only as a reference and not to establish compensation benchmarks, as Occidental does not benchmark executive compensation to a specific percentile within the compensation peer group. The Compensation Committee also maintains a “performance peer group” within the oil and gas industry, and the value of the TSR awards is dependent on Occidental’s three-year TSR performance as compared to the three-year TSR performance of the companies within the applicable performance peer group. The Compensation Committee regularly reviews these peer groups to ensure that they have reasonably similar business strategies, represent a mix of integrated and independent oil and gas companies and generally compete against Occidental for investor dollars and/or executive talent. A review of this nature prompted the Compensation Committee, for 2021, to revise the compensation peer group and add the S&amp;P 500 Index as a performance peer. In updating the compensation peer group, the Compensation Committee faced the persistent challenge of finding current independent peers of comparable size in a shrinking pool of peer companies. It expanded its review to include companies representative of different oil industry sectors to include upstream, downstream and integrated companies and considered, among other things, enterprise value and companies with which Occidental competes for talent. As noted above, Occidental does not benchmark executive compensation to a specific percentile within the compensation peer group and did not seek direct alignment with pay levels or practices at peer companies when making the determination to update the compensation peer group. After careful review and deliberation, and in consultation with Meridian, the Compensation Committee determined to maintain the same compensation and performance peer groups for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00529B"/>
              </w:rPr>
              <w:t>Enterprise Value</w:t>
            </w:r>
          </w:p>
        </w:tc>
      </w:tr>
      <w:tr>
        <w:trPr>
          <w:trHeight w:val="171"/>
        </w:trPr>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0529B"/>
              </w:rPr>
              <w:t>Compensation Peers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529B"/>
              </w:rPr>
              <w:t>Performance Peers</w:t>
            </w:r>
          </w:p>
        </w:tc>
        <w:tc>
          <w:tcPr>
            <w:tcW w:w="1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00529B"/>
              </w:rPr>
              <w:t>at 12/31/22</w:t>
            </w:r>
          </w:p>
        </w:tc>
      </w:tr>
      <w:tr>
        <w:trPr>
          <w:trHeight w:val="223"/>
        </w:trPr>
        <w:tc>
          <w:tcPr>
            <w:tcW w:w="412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Company</w:t>
            </w:r>
          </w:p>
        </w:tc>
        <w:tc>
          <w:tcPr>
            <w:tcW w:w="262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b w:val="1"/>
                <w:bCs w:val="1"/>
                <w:color w:val="00529B"/>
              </w:rPr>
              <w:t>Stock Ticker</w:t>
            </w:r>
          </w:p>
        </w:tc>
        <w:tc>
          <w:tcPr>
            <w:tcW w:w="1660" w:type="dxa"/>
            <w:vAlign w:val="bottom"/>
            <w:tcBorders>
              <w:bottom w:val="single" w:sz="8" w:color="00529B"/>
            </w:tcBorders>
          </w:tcPr>
          <w:p>
            <w:pPr>
              <w:jc w:val="right"/>
              <w:ind w:right="48"/>
              <w:spacing w:after="0"/>
              <w:rPr>
                <w:sz w:val="20"/>
                <w:szCs w:val="20"/>
                <w:color w:val="auto"/>
              </w:rPr>
            </w:pPr>
            <w:r>
              <w:rPr>
                <w:rFonts w:ascii="Arial" w:cs="Arial" w:eastAsia="Arial" w:hAnsi="Arial"/>
                <w:sz w:val="14"/>
                <w:szCs w:val="14"/>
                <w:b w:val="1"/>
                <w:bCs w:val="1"/>
                <w:color w:val="00529B"/>
              </w:rPr>
              <w:t>(2022)</w:t>
            </w:r>
          </w:p>
        </w:tc>
        <w:tc>
          <w:tcPr>
            <w:tcW w:w="1520" w:type="dxa"/>
            <w:vAlign w:val="bottom"/>
            <w:tcBorders>
              <w:bottom w:val="single" w:sz="8" w:color="00529B"/>
            </w:tcBorders>
          </w:tcPr>
          <w:p>
            <w:pPr>
              <w:ind w:left="660"/>
              <w:spacing w:after="0"/>
              <w:rPr>
                <w:sz w:val="20"/>
                <w:szCs w:val="20"/>
                <w:color w:val="auto"/>
              </w:rPr>
            </w:pPr>
            <w:r>
              <w:rPr>
                <w:rFonts w:ascii="Arial" w:cs="Arial" w:eastAsia="Arial" w:hAnsi="Arial"/>
                <w:sz w:val="14"/>
                <w:szCs w:val="14"/>
                <w:b w:val="1"/>
                <w:bCs w:val="1"/>
                <w:color w:val="00529B"/>
              </w:rPr>
              <w:t>(2022 TSR)</w:t>
            </w:r>
          </w:p>
        </w:tc>
        <w:tc>
          <w:tcPr>
            <w:tcW w:w="1320" w:type="dxa"/>
            <w:vAlign w:val="bottom"/>
            <w:tcBorders>
              <w:bottom w:val="single" w:sz="8" w:color="00529B"/>
            </w:tcBorders>
            <w:gridSpan w:val="2"/>
          </w:tcPr>
          <w:p>
            <w:pPr>
              <w:jc w:val="right"/>
              <w:ind w:right="28"/>
              <w:spacing w:after="0" w:line="216" w:lineRule="exact"/>
              <w:rPr>
                <w:sz w:val="20"/>
                <w:szCs w:val="20"/>
                <w:color w:val="auto"/>
              </w:rPr>
            </w:pPr>
            <w:r>
              <w:rPr>
                <w:rFonts w:ascii="Arial" w:cs="Arial" w:eastAsia="Arial" w:hAnsi="Arial"/>
                <w:sz w:val="14"/>
                <w:szCs w:val="14"/>
                <w:b w:val="1"/>
                <w:bCs w:val="1"/>
                <w:color w:val="00529B"/>
              </w:rPr>
              <w:t>($ in billions)</w:t>
            </w:r>
            <w:r>
              <w:rPr>
                <w:rFonts w:ascii="Arial" w:cs="Arial" w:eastAsia="Arial" w:hAnsi="Arial"/>
                <w:sz w:val="23"/>
                <w:szCs w:val="23"/>
                <w:b w:val="1"/>
                <w:bCs w:val="1"/>
                <w:color w:val="00529B"/>
                <w:vertAlign w:val="superscript"/>
              </w:rPr>
              <w:t>(1)</w:t>
            </w:r>
          </w:p>
        </w:tc>
      </w:tr>
      <w:tr>
        <w:trPr>
          <w:trHeight w:val="212"/>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BP p.l.c.</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BP</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$122.1</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Chevron Corporation</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CVX</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$356.2</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ConocoPhillips</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COP</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$153.6</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EOG Resources, Inc.</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EOG</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$ 76.1</w:t>
            </w:r>
          </w:p>
        </w:tc>
      </w:tr>
      <w:tr>
        <w:trPr>
          <w:trHeight w:val="210"/>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ExxonMobil Corporation</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XOM</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$476.2</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Hess Corporation</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HES</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spacing w:after="0"/>
              <w:rPr>
                <w:sz w:val="18"/>
                <w:szCs w:val="18"/>
                <w:color w:val="auto"/>
              </w:rPr>
            </w:pPr>
          </w:p>
        </w:tc>
        <w:tc>
          <w:tcPr>
            <w:tcW w:w="900" w:type="dxa"/>
            <w:vAlign w:val="bottom"/>
            <w:tcBorders>
              <w:bottom w:val="single" w:sz="8" w:color="D2D3D4"/>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50.8</w:t>
            </w:r>
          </w:p>
        </w:tc>
      </w:tr>
      <w:tr>
        <w:trPr>
          <w:trHeight w:val="210"/>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Marathon Petroleum Corporation</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MPC</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spacing w:after="0"/>
              <w:rPr>
                <w:sz w:val="18"/>
                <w:szCs w:val="18"/>
                <w:color w:val="auto"/>
              </w:rPr>
            </w:pPr>
          </w:p>
        </w:tc>
        <w:tc>
          <w:tcPr>
            <w:tcW w:w="900" w:type="dxa"/>
            <w:vAlign w:val="bottom"/>
            <w:tcBorders>
              <w:bottom w:val="single" w:sz="8" w:color="D2D3D4"/>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78.8</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Occidental Petroleum Corporation</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OXY</w:t>
            </w:r>
          </w:p>
        </w:tc>
        <w:tc>
          <w:tcPr>
            <w:tcW w:w="1660" w:type="dxa"/>
            <w:vAlign w:val="bottom"/>
            <w:tcBorders>
              <w:bottom w:val="single" w:sz="8" w:color="D2D3D4"/>
            </w:tcBorders>
          </w:tcPr>
          <w:p>
            <w:pPr>
              <w:spacing w:after="0"/>
              <w:rPr>
                <w:sz w:val="18"/>
                <w:szCs w:val="18"/>
                <w:color w:val="auto"/>
              </w:rPr>
            </w:pPr>
          </w:p>
        </w:tc>
        <w:tc>
          <w:tcPr>
            <w:tcW w:w="1520" w:type="dxa"/>
            <w:vAlign w:val="bottom"/>
            <w:tcBorders>
              <w:bottom w:val="single" w:sz="8" w:color="D2D3D4"/>
            </w:tcBorders>
          </w:tcPr>
          <w:p>
            <w:pPr>
              <w:spacing w:after="0"/>
              <w:rPr>
                <w:sz w:val="18"/>
                <w:szCs w:val="18"/>
                <w:color w:val="auto"/>
              </w:rPr>
            </w:pPr>
          </w:p>
        </w:tc>
        <w:tc>
          <w:tcPr>
            <w:tcW w:w="900" w:type="dxa"/>
            <w:vAlign w:val="bottom"/>
            <w:tcBorders>
              <w:bottom w:val="single" w:sz="8" w:color="D2D3D4"/>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87.3</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Phillips 66</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PSX</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spacing w:after="0"/>
              <w:rPr>
                <w:sz w:val="18"/>
                <w:szCs w:val="18"/>
                <w:color w:val="auto"/>
              </w:rPr>
            </w:pPr>
          </w:p>
        </w:tc>
        <w:tc>
          <w:tcPr>
            <w:tcW w:w="900" w:type="dxa"/>
            <w:vAlign w:val="bottom"/>
            <w:tcBorders>
              <w:bottom w:val="single" w:sz="8" w:color="D2D3D4"/>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69.5</w:t>
            </w:r>
          </w:p>
        </w:tc>
      </w:tr>
      <w:tr>
        <w:trPr>
          <w:trHeight w:val="210"/>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Pioneer Natural Resources Company</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PXD</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spacing w:after="0"/>
              <w:rPr>
                <w:sz w:val="18"/>
                <w:szCs w:val="18"/>
                <w:color w:val="auto"/>
              </w:rPr>
            </w:pP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$ 58.0</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Shell plc</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SHEL</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$207.5</w:t>
            </w:r>
          </w:p>
        </w:tc>
      </w:tr>
      <w:tr>
        <w:trPr>
          <w:trHeight w:val="210"/>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TotalEnergies SE (formerly Total SE)</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TTE</w:t>
            </w:r>
          </w:p>
        </w:tc>
        <w:tc>
          <w:tcPr>
            <w:tcW w:w="1660" w:type="dxa"/>
            <w:vAlign w:val="bottom"/>
            <w:tcBorders>
              <w:bottom w:val="single" w:sz="8" w:color="D2D3D4"/>
            </w:tcBorders>
          </w:tcPr>
          <w:p>
            <w:pPr>
              <w:spacing w:after="0"/>
              <w:rPr>
                <w:sz w:val="18"/>
                <w:szCs w:val="18"/>
                <w:color w:val="auto"/>
              </w:rPr>
            </w:pPr>
          </w:p>
        </w:tc>
        <w:tc>
          <w:tcPr>
            <w:tcW w:w="152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rPr>
              <w:t>●</w:t>
            </w:r>
          </w:p>
        </w:tc>
        <w:tc>
          <w:tcPr>
            <w:tcW w:w="1320" w:type="dxa"/>
            <w:vAlign w:val="bottom"/>
            <w:tcBorders>
              <w:bottom w:val="single" w:sz="8" w:color="D2D3D4"/>
            </w:tcBorders>
            <w:gridSpan w:val="2"/>
          </w:tcPr>
          <w:p>
            <w:pPr>
              <w:jc w:val="right"/>
              <w:ind w:right="28"/>
              <w:spacing w:after="0"/>
              <w:rPr>
                <w:sz w:val="20"/>
                <w:szCs w:val="20"/>
                <w:color w:val="auto"/>
              </w:rPr>
            </w:pPr>
            <w:r>
              <w:rPr>
                <w:rFonts w:ascii="Arial" w:cs="Arial" w:eastAsia="Arial" w:hAnsi="Arial"/>
                <w:sz w:val="14"/>
                <w:szCs w:val="14"/>
                <w:color w:val="auto"/>
              </w:rPr>
              <w:t>$175.9</w:t>
            </w:r>
          </w:p>
        </w:tc>
      </w:tr>
      <w:tr>
        <w:trPr>
          <w:trHeight w:val="209"/>
        </w:trPr>
        <w:tc>
          <w:tcPr>
            <w:tcW w:w="412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Valero Energy Corporation</w:t>
            </w:r>
          </w:p>
        </w:tc>
        <w:tc>
          <w:tcPr>
            <w:tcW w:w="26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VLO</w:t>
            </w:r>
          </w:p>
        </w:tc>
        <w:tc>
          <w:tcPr>
            <w:tcW w:w="1660" w:type="dxa"/>
            <w:vAlign w:val="bottom"/>
            <w:tcBorders>
              <w:bottom w:val="single" w:sz="8" w:color="D2D3D4"/>
            </w:tcBorders>
          </w:tcPr>
          <w:p>
            <w:pPr>
              <w:jc w:val="center"/>
              <w:spacing w:after="0"/>
              <w:rPr>
                <w:sz w:val="20"/>
                <w:szCs w:val="20"/>
                <w:color w:val="auto"/>
              </w:rPr>
            </w:pPr>
            <w:r>
              <w:rPr>
                <w:rFonts w:ascii="Arial" w:cs="Arial" w:eastAsia="Arial" w:hAnsi="Arial"/>
                <w:sz w:val="14"/>
                <w:szCs w:val="14"/>
                <w:color w:val="00529B"/>
                <w:w w:val="94"/>
              </w:rPr>
              <w:t>●</w:t>
            </w:r>
          </w:p>
        </w:tc>
        <w:tc>
          <w:tcPr>
            <w:tcW w:w="1520" w:type="dxa"/>
            <w:vAlign w:val="bottom"/>
            <w:tcBorders>
              <w:bottom w:val="single" w:sz="8" w:color="D2D3D4"/>
            </w:tcBorders>
          </w:tcPr>
          <w:p>
            <w:pPr>
              <w:spacing w:after="0"/>
              <w:rPr>
                <w:sz w:val="18"/>
                <w:szCs w:val="18"/>
                <w:color w:val="auto"/>
              </w:rPr>
            </w:pPr>
          </w:p>
        </w:tc>
        <w:tc>
          <w:tcPr>
            <w:tcW w:w="900" w:type="dxa"/>
            <w:vAlign w:val="bottom"/>
            <w:tcBorders>
              <w:bottom w:val="single" w:sz="8" w:color="D2D3D4"/>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58.3</w:t>
            </w:r>
          </w:p>
        </w:tc>
      </w:tr>
      <w:tr>
        <w:trPr>
          <w:trHeight w:val="220"/>
        </w:trPr>
        <w:tc>
          <w:tcPr>
            <w:tcW w:w="4120" w:type="dxa"/>
            <w:vAlign w:val="bottom"/>
            <w:tcBorders>
              <w:bottom w:val="single" w:sz="8" w:color="00529B"/>
            </w:tcBorders>
          </w:tcPr>
          <w:p>
            <w:pPr>
              <w:ind w:left="60"/>
              <w:spacing w:after="0"/>
              <w:rPr>
                <w:sz w:val="20"/>
                <w:szCs w:val="20"/>
                <w:color w:val="auto"/>
              </w:rPr>
            </w:pPr>
            <w:r>
              <w:rPr>
                <w:rFonts w:ascii="Arial" w:cs="Arial" w:eastAsia="Arial" w:hAnsi="Arial"/>
                <w:sz w:val="14"/>
                <w:szCs w:val="14"/>
                <w:color w:val="auto"/>
              </w:rPr>
              <w:t>S&amp;P 500 Index</w:t>
            </w:r>
          </w:p>
        </w:tc>
        <w:tc>
          <w:tcPr>
            <w:tcW w:w="262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529B"/>
            </w:tcBorders>
          </w:tcPr>
          <w:p>
            <w:pPr>
              <w:spacing w:after="0"/>
              <w:rPr>
                <w:sz w:val="19"/>
                <w:szCs w:val="19"/>
                <w:color w:val="auto"/>
              </w:rPr>
            </w:pPr>
          </w:p>
        </w:tc>
        <w:tc>
          <w:tcPr>
            <w:tcW w:w="1520" w:type="dxa"/>
            <w:vAlign w:val="bottom"/>
            <w:tcBorders>
              <w:bottom w:val="single" w:sz="8" w:color="00529B"/>
            </w:tcBorders>
          </w:tcPr>
          <w:p>
            <w:pPr>
              <w:jc w:val="center"/>
              <w:spacing w:after="0"/>
              <w:rPr>
                <w:sz w:val="20"/>
                <w:szCs w:val="20"/>
                <w:color w:val="auto"/>
              </w:rPr>
            </w:pPr>
            <w:r>
              <w:rPr>
                <w:rFonts w:ascii="Arial" w:cs="Arial" w:eastAsia="Arial" w:hAnsi="Arial"/>
                <w:sz w:val="14"/>
                <w:szCs w:val="14"/>
                <w:color w:val="00529B"/>
              </w:rPr>
              <w:t>●</w:t>
            </w:r>
          </w:p>
        </w:tc>
        <w:tc>
          <w:tcPr>
            <w:tcW w:w="90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225"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0"/>
          <w:szCs w:val="10"/>
          <w:color w:val="auto"/>
        </w:rPr>
      </w:pPr>
      <w:r>
        <w:rPr>
          <w:rFonts w:ascii="Arial" w:cs="Arial" w:eastAsia="Arial" w:hAnsi="Arial"/>
          <w:sz w:val="13"/>
          <w:szCs w:val="13"/>
          <w:color w:val="auto"/>
        </w:rPr>
        <w:t>Source: S&amp;P Capital IQ.</w:t>
      </w:r>
    </w:p>
    <w:p>
      <w:pPr>
        <w:spacing w:after="0" w:line="216" w:lineRule="exact"/>
        <w:rPr>
          <w:sz w:val="20"/>
          <w:szCs w:val="20"/>
          <w:color w:val="auto"/>
        </w:rPr>
      </w:pPr>
    </w:p>
    <w:p>
      <w:pPr>
        <w:ind w:right="320"/>
        <w:spacing w:after="0" w:line="285" w:lineRule="auto"/>
        <w:rPr>
          <w:sz w:val="20"/>
          <w:szCs w:val="20"/>
          <w:color w:val="auto"/>
        </w:rPr>
      </w:pPr>
      <w:r>
        <w:rPr>
          <w:rFonts w:ascii="Arial" w:cs="Arial" w:eastAsia="Arial" w:hAnsi="Arial"/>
          <w:sz w:val="15"/>
          <w:szCs w:val="15"/>
          <w:color w:val="auto"/>
        </w:rPr>
        <w:t>The chart below shows Occidental’s percentile rank versus its 2022 compensation peers for enterprise value and assets as of December 31, 2022. Occidental fell within the middle of its compensation peers for enterprise value (55th percentile) and assets (36</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33020</wp:posOffset>
            </wp:positionV>
            <wp:extent cx="6557645" cy="222885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5576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27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6000750" cy="12827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Elements of the 2022 Compensation Program</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Salary</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The Compensation Committee believes that base salary should reward executives on a market-competitive basis for consistent performance of job requirements and the achievement of short-term goals. Salaries are reviewed by the Compensation Committee annually and as circumstances warrant. In determining base salary levels, the Compensation Committee reviews compensation surveys, publicly available peer company data, internal pay equity, individual responsibilities and performance assessments.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In connection with its annual review, base salaries for executive officers (other than the CEO) were modestly increased in 2022, ranging from 3-9%, for Occidental to remain competitive in attracting and retaining top executive talent. Mr. Peterson and Mr. Jackson each received a $60,000 increase to their respective base salaries. Mr. Dillon and Mr. Bennett each received a $35,000 increase to their respective base salaries and Ms. Backus’ base salary was increased by $20,000 (which increase was approved prior to her announcement of her intent to retire). The Compensation Committee determined that these changes were appropriate in light of each executives’ respective performance and scope of responsibilities.</w:t>
      </w:r>
    </w:p>
    <w:p>
      <w:pPr>
        <w:spacing w:after="0" w:line="178"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The Compensation Committee also decided to increase Ms. Hollub’s salary by $300,000 to $1,300,000, which the Compensation Committee believed was warranted in light of Ms. Hollub’s 2021 performance assessment and also because her salary had not been restored to pre-COVID levels. Even with this increase, Ms. Hollub’s 2022 base salary remained slightly below the salary approved by the Compensation Committee for Ms. Hollub as part of the company’s 2019 compensation program.</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 xml:space="preserve">Base salary represented, on average, approximately 12% of the 2022 compensation packages of the NEOs, based on compensation as reported in the Summary Compensation Table on page 61. For additional information regarding salary decisions for the NEOs in 2022, see </w:t>
      </w:r>
      <w:r>
        <w:rPr>
          <w:rFonts w:ascii="Arial" w:cs="Arial" w:eastAsia="Arial" w:hAnsi="Arial"/>
          <w:sz w:val="15"/>
          <w:szCs w:val="15"/>
          <w:i w:val="1"/>
          <w:iCs w:val="1"/>
          <w:color w:val="auto"/>
        </w:rPr>
        <w:t>“Individual Compensation Considerations”</w:t>
      </w:r>
      <w:r>
        <w:rPr>
          <w:rFonts w:ascii="Arial" w:cs="Arial" w:eastAsia="Arial" w:hAnsi="Arial"/>
          <w:sz w:val="15"/>
          <w:szCs w:val="15"/>
          <w:color w:val="auto"/>
        </w:rPr>
        <w:t xml:space="preserve"> beginning on page 52.</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Annual Cash Incentive</w:t>
      </w:r>
    </w:p>
    <w:p>
      <w:pPr>
        <w:spacing w:after="0" w:line="239" w:lineRule="exact"/>
        <w:rPr>
          <w:sz w:val="20"/>
          <w:szCs w:val="20"/>
          <w:color w:val="auto"/>
        </w:rPr>
      </w:pPr>
    </w:p>
    <w:p>
      <w:pPr>
        <w:ind w:right="240"/>
        <w:spacing w:after="0" w:line="234" w:lineRule="auto"/>
        <w:rPr>
          <w:sz w:val="20"/>
          <w:szCs w:val="20"/>
          <w:color w:val="auto"/>
        </w:rPr>
      </w:pPr>
      <w:r>
        <w:rPr>
          <w:rFonts w:ascii="Arial" w:cs="Arial" w:eastAsia="Arial" w:hAnsi="Arial"/>
          <w:sz w:val="15"/>
          <w:szCs w:val="15"/>
          <w:color w:val="auto"/>
        </w:rPr>
        <w:t>The ACI award is intended to motivate executives to achieve superior company and individual performance over a one-year period. In the first quarter of each plan year, the Compensation Committee approves individual target award amounts for each executive officer based on a review of compensation surveys, publicly available peer company data, the executive’s prior-year award value, retention considerations, the balance of short- and long-term pay and internal pay equity. Potential payouts under the ACI award range from 0% to 200% of the target award amount, based on actual company and individual performance. The amounts earned by each NEO under the ACI award for 2022, which were paid in the first quarter of 2023, are reflected in the “Non-Equity Incentive Plan Compensation” column of the Summary Compensation Table on page 61, as further described below.</w:t>
      </w:r>
    </w:p>
    <w:p>
      <w:pPr>
        <w:spacing w:after="0" w:line="177"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b w:val="1"/>
          <w:bCs w:val="1"/>
          <w:color w:val="auto"/>
        </w:rPr>
        <w:t xml:space="preserve">Setting the Annual Cash Incentive. </w:t>
      </w:r>
      <w:r>
        <w:rPr>
          <w:rFonts w:ascii="Arial" w:cs="Arial" w:eastAsia="Arial" w:hAnsi="Arial"/>
          <w:sz w:val="15"/>
          <w:szCs w:val="15"/>
          <w:color w:val="auto"/>
        </w:rPr>
        <w:t>The Compensation Committee annually reviews all facets of the ACI award, with an aim to incentivize the NEOs to excel in</w:t>
      </w:r>
      <w:r>
        <w:rPr>
          <w:rFonts w:ascii="Arial" w:cs="Arial" w:eastAsia="Arial" w:hAnsi="Arial"/>
          <w:sz w:val="15"/>
          <w:szCs w:val="15"/>
          <w:b w:val="1"/>
          <w:bCs w:val="1"/>
          <w:color w:val="auto"/>
        </w:rPr>
        <w:t xml:space="preserve"> </w:t>
      </w:r>
      <w:r>
        <w:rPr>
          <w:rFonts w:ascii="Arial" w:cs="Arial" w:eastAsia="Arial" w:hAnsi="Arial"/>
          <w:sz w:val="15"/>
          <w:szCs w:val="15"/>
          <w:color w:val="auto"/>
        </w:rPr>
        <w:t>areas that are aligned with Occidental’s business objectives. In February 2022, the Compensation Committee approved metrics related to the company’s total spend per barrel (which encompasses the company’s strategic, operational and financial performance) and sustainability goals. For the company performance portion of the ACI award, the Compensation Committee maintained the sustainability metric weighting at 30% to continue advancing the company’s net-zero strategy and incentivize executives to address Occidental’s Scope 1, 2 and 3 emissions in the short-term by including targets focused on emissions reduction efforts and carbon ventures and reduction projects. The Compensation Committee set target performance goals that it believed were rigorous based on Occidental’s detailed capital program and business plan, projections from the strategic planning team and business unit heads, prior-year results and third-party forecasts relating to future market conditions and other external market factors.</w:t>
      </w:r>
    </w:p>
    <w:p>
      <w:pPr>
        <w:spacing w:after="0" w:line="178"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b w:val="1"/>
          <w:bCs w:val="1"/>
          <w:color w:val="auto"/>
        </w:rPr>
        <w:t xml:space="preserve">Weighting the Metrics. </w:t>
      </w:r>
      <w:r>
        <w:rPr>
          <w:rFonts w:ascii="Arial" w:cs="Arial" w:eastAsia="Arial" w:hAnsi="Arial"/>
          <w:sz w:val="15"/>
          <w:szCs w:val="15"/>
          <w:color w:val="auto"/>
        </w:rPr>
        <w:t>The Compensation Committee determined that company performance metrics would comprise 80% of Ms. Hollub’s target ACI award, and</w:t>
      </w:r>
      <w:r>
        <w:rPr>
          <w:rFonts w:ascii="Arial" w:cs="Arial" w:eastAsia="Arial" w:hAnsi="Arial"/>
          <w:sz w:val="15"/>
          <w:szCs w:val="15"/>
          <w:b w:val="1"/>
          <w:bCs w:val="1"/>
          <w:color w:val="auto"/>
        </w:rPr>
        <w:t xml:space="preserve"> </w:t>
      </w:r>
      <w:r>
        <w:rPr>
          <w:rFonts w:ascii="Arial" w:cs="Arial" w:eastAsia="Arial" w:hAnsi="Arial"/>
          <w:sz w:val="15"/>
          <w:szCs w:val="15"/>
          <w:color w:val="auto"/>
        </w:rPr>
        <w:t>60% for the other NEOs, with the remainder of the ACI award opportunity linked to an assessment of the performance of the individual executive. The Compensation Committee determined to weight a larger portion of Ms. Hollub’s ACI award opportunity toward key company performance metrics because, as Chief Executive Officer, her leadership directly affects all aspects of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2743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00529B"/>
        </w:rPr>
        <w:t>2022 Annual Cash Incentive Award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gridSpan w:val="5"/>
          </w:tcPr>
          <w:p>
            <w:pPr>
              <w:spacing w:after="0"/>
              <w:rPr>
                <w:sz w:val="20"/>
                <w:szCs w:val="20"/>
                <w:color w:val="auto"/>
              </w:rPr>
            </w:pPr>
            <w:r>
              <w:rPr>
                <w:rFonts w:ascii="Arial" w:cs="Arial" w:eastAsia="Arial" w:hAnsi="Arial"/>
                <w:sz w:val="14"/>
                <w:szCs w:val="14"/>
                <w:b w:val="1"/>
                <w:bCs w:val="1"/>
                <w:color w:val="00529B"/>
              </w:rPr>
              <w:t>COMPANY PERFORMANCE PORTION</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00529B"/>
              </w:rPr>
              <w:t>Result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00529B"/>
              </w:rPr>
              <w:t>Potential</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00529B"/>
              </w:rPr>
              <w:t>as of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00529B"/>
              </w:rPr>
              <w:t>Payout</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00529B"/>
              </w:rPr>
              <w:t>Performance</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00529B"/>
              </w:rPr>
              <w:t>December</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00529B"/>
              </w:rPr>
              <w:t>Weighted</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00529B"/>
              </w:rPr>
              <w:t>Weight</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00529B"/>
              </w:rPr>
              <w:t>Range</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00529B"/>
              </w:rPr>
              <w:t>Metric</w:t>
            </w:r>
          </w:p>
        </w:tc>
        <w:tc>
          <w:tcPr>
            <w:tcW w:w="5400" w:type="dxa"/>
            <w:vAlign w:val="bottom"/>
            <w:gridSpan w:val="2"/>
          </w:tcPr>
          <w:p>
            <w:pPr>
              <w:ind w:left="40"/>
              <w:spacing w:after="0"/>
              <w:rPr>
                <w:sz w:val="20"/>
                <w:szCs w:val="20"/>
                <w:color w:val="auto"/>
              </w:rPr>
            </w:pPr>
            <w:r>
              <w:rPr>
                <w:rFonts w:ascii="Arial" w:cs="Arial" w:eastAsia="Arial" w:hAnsi="Arial"/>
                <w:sz w:val="14"/>
                <w:szCs w:val="14"/>
                <w:b w:val="1"/>
                <w:bCs w:val="1"/>
                <w:color w:val="00529B"/>
              </w:rPr>
              <w:t>Target Performance</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00529B"/>
              </w:rPr>
              <w:t>31, 2022</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00529B"/>
              </w:rPr>
              <w:t>Score</w:t>
            </w:r>
          </w:p>
        </w:tc>
        <w:tc>
          <w:tcPr>
            <w:tcW w:w="0" w:type="dxa"/>
            <w:vAlign w:val="bottom"/>
          </w:tcPr>
          <w:p>
            <w:pPr>
              <w:spacing w:after="0"/>
              <w:rPr>
                <w:sz w:val="1"/>
                <w:szCs w:val="1"/>
                <w:color w:val="auto"/>
              </w:rPr>
            </w:pPr>
          </w:p>
        </w:tc>
      </w:tr>
      <w:tr>
        <w:trPr>
          <w:trHeight w:val="27"/>
        </w:trPr>
        <w:tc>
          <w:tcPr>
            <w:tcW w:w="340" w:type="dxa"/>
            <w:vAlign w:val="bottom"/>
            <w:shd w:val="clear" w:color="auto" w:fill="00529B"/>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gridSpan w:val="3"/>
            <w:shd w:val="clear" w:color="auto" w:fill="00529B"/>
          </w:tcPr>
          <w:p>
            <w:pPr>
              <w:spacing w:after="0"/>
              <w:rPr>
                <w:sz w:val="2"/>
                <w:szCs w:val="2"/>
                <w:color w:val="auto"/>
              </w:rPr>
            </w:pPr>
          </w:p>
        </w:tc>
        <w:tc>
          <w:tcPr>
            <w:tcW w:w="60" w:type="dxa"/>
            <w:vAlign w:val="bottom"/>
            <w:shd w:val="clear" w:color="auto" w:fill="00529B"/>
          </w:tcPr>
          <w:p>
            <w:pPr>
              <w:spacing w:after="0"/>
              <w:rPr>
                <w:sz w:val="2"/>
                <w:szCs w:val="2"/>
                <w:color w:val="auto"/>
              </w:rPr>
            </w:pPr>
          </w:p>
        </w:tc>
        <w:tc>
          <w:tcPr>
            <w:tcW w:w="1060" w:type="dxa"/>
            <w:vAlign w:val="bottom"/>
            <w:shd w:val="clear" w:color="auto" w:fill="00529B"/>
          </w:tcPr>
          <w:p>
            <w:pPr>
              <w:spacing w:after="0"/>
              <w:rPr>
                <w:sz w:val="2"/>
                <w:szCs w:val="2"/>
                <w:color w:val="auto"/>
              </w:rPr>
            </w:pPr>
          </w:p>
        </w:tc>
        <w:tc>
          <w:tcPr>
            <w:tcW w:w="220" w:type="dxa"/>
            <w:vAlign w:val="bottom"/>
            <w:shd w:val="clear" w:color="auto" w:fill="00529B"/>
          </w:tcPr>
          <w:p>
            <w:pPr>
              <w:spacing w:after="0"/>
              <w:rPr>
                <w:sz w:val="2"/>
                <w:szCs w:val="2"/>
                <w:color w:val="auto"/>
              </w:rPr>
            </w:pPr>
          </w:p>
        </w:tc>
        <w:tc>
          <w:tcPr>
            <w:tcW w:w="5180" w:type="dxa"/>
            <w:vAlign w:val="bottom"/>
            <w:shd w:val="clear" w:color="auto" w:fill="00529B"/>
          </w:tcPr>
          <w:p>
            <w:pPr>
              <w:spacing w:after="0"/>
              <w:rPr>
                <w:sz w:val="2"/>
                <w:szCs w:val="2"/>
                <w:color w:val="auto"/>
              </w:rPr>
            </w:pPr>
          </w:p>
        </w:tc>
        <w:tc>
          <w:tcPr>
            <w:tcW w:w="1080" w:type="dxa"/>
            <w:vAlign w:val="bottom"/>
            <w:shd w:val="clear" w:color="auto" w:fill="00529B"/>
          </w:tcPr>
          <w:p>
            <w:pPr>
              <w:spacing w:after="0"/>
              <w:rPr>
                <w:sz w:val="2"/>
                <w:szCs w:val="2"/>
                <w:color w:val="auto"/>
              </w:rPr>
            </w:pPr>
          </w:p>
        </w:tc>
        <w:tc>
          <w:tcPr>
            <w:tcW w:w="980" w:type="dxa"/>
            <w:vAlign w:val="bottom"/>
            <w:shd w:val="clear" w:color="auto" w:fill="00529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40" w:type="dxa"/>
            <w:vAlign w:val="bottom"/>
            <w:shd w:val="clear" w:color="auto" w:fill="00529B"/>
          </w:tcPr>
          <w:p>
            <w:pPr>
              <w:spacing w:after="0"/>
              <w:rPr>
                <w:sz w:val="18"/>
                <w:szCs w:val="18"/>
                <w:color w:val="auto"/>
              </w:rPr>
            </w:pPr>
          </w:p>
        </w:tc>
        <w:tc>
          <w:tcPr>
            <w:tcW w:w="232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 Spend per Barrel</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40" w:type="dxa"/>
            <w:vAlign w:val="bottom"/>
            <w:tcBorders>
              <w:top w:val="single" w:sz="8" w:color="00529B"/>
            </w:tcBorders>
            <w:shd w:val="clear" w:color="auto" w:fill="00529B"/>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D2D3D4"/>
            </w:tcBorders>
          </w:tcPr>
          <w:p>
            <w:pPr>
              <w:spacing w:after="0"/>
              <w:rPr>
                <w:sz w:val="24"/>
                <w:szCs w:val="24"/>
                <w:color w:val="auto"/>
              </w:rPr>
            </w:pPr>
          </w:p>
        </w:tc>
        <w:tc>
          <w:tcPr>
            <w:tcW w:w="1020" w:type="dxa"/>
            <w:vAlign w:val="bottom"/>
            <w:tcBorders>
              <w:top w:val="single" w:sz="8" w:color="D2D3D4"/>
            </w:tcBorders>
            <w:vMerge w:val="restart"/>
          </w:tcPr>
          <w:p>
            <w:pPr>
              <w:ind w:left="100"/>
              <w:spacing w:after="0"/>
              <w:rPr>
                <w:sz w:val="20"/>
                <w:szCs w:val="20"/>
                <w:color w:val="auto"/>
              </w:rPr>
            </w:pPr>
            <w:r>
              <w:rPr>
                <w:rFonts w:ascii="Arial" w:cs="Arial" w:eastAsia="Arial" w:hAnsi="Arial"/>
                <w:sz w:val="14"/>
                <w:szCs w:val="14"/>
                <w:color w:val="auto"/>
              </w:rPr>
              <w:t>0% - 140%</w:t>
            </w:r>
          </w:p>
        </w:tc>
        <w:tc>
          <w:tcPr>
            <w:tcW w:w="140" w:type="dxa"/>
            <w:vAlign w:val="bottom"/>
            <w:tcBorders>
              <w:top w:val="single" w:sz="8" w:color="D2D3D4"/>
            </w:tcBorders>
          </w:tcPr>
          <w:p>
            <w:pPr>
              <w:spacing w:after="0"/>
              <w:rPr>
                <w:sz w:val="24"/>
                <w:szCs w:val="24"/>
                <w:color w:val="auto"/>
              </w:rPr>
            </w:pPr>
          </w:p>
        </w:tc>
        <w:tc>
          <w:tcPr>
            <w:tcW w:w="1120" w:type="dxa"/>
            <w:vAlign w:val="bottom"/>
            <w:tcBorders>
              <w:top w:val="single" w:sz="8" w:color="D2D3D4"/>
            </w:tcBorders>
            <w:gridSpan w:val="2"/>
          </w:tcPr>
          <w:p>
            <w:pPr>
              <w:ind w:left="60"/>
              <w:spacing w:after="0"/>
              <w:rPr>
                <w:sz w:val="20"/>
                <w:szCs w:val="20"/>
                <w:color w:val="auto"/>
              </w:rPr>
            </w:pPr>
            <w:r>
              <w:rPr>
                <w:rFonts w:ascii="Arial" w:cs="Arial" w:eastAsia="Arial" w:hAnsi="Arial"/>
                <w:sz w:val="14"/>
                <w:szCs w:val="14"/>
                <w:color w:val="auto"/>
              </w:rPr>
              <w:t>Total Spend</w:t>
            </w:r>
          </w:p>
        </w:tc>
        <w:tc>
          <w:tcPr>
            <w:tcW w:w="5400" w:type="dxa"/>
            <w:vAlign w:val="bottom"/>
            <w:tcBorders>
              <w:top w:val="single" w:sz="8" w:color="D2D3D4"/>
            </w:tcBorders>
            <w:gridSpan w:val="2"/>
            <w:vMerge w:val="restart"/>
          </w:tcPr>
          <w:p>
            <w:pPr>
              <w:ind w:left="40"/>
              <w:spacing w:after="0"/>
              <w:rPr>
                <w:sz w:val="20"/>
                <w:szCs w:val="20"/>
                <w:color w:val="auto"/>
              </w:rPr>
            </w:pPr>
            <w:r>
              <w:rPr>
                <w:rFonts w:ascii="Arial" w:cs="Arial" w:eastAsia="Arial" w:hAnsi="Arial"/>
                <w:sz w:val="14"/>
                <w:szCs w:val="14"/>
                <w:color w:val="auto"/>
              </w:rPr>
              <w:t>$23.25</w:t>
            </w:r>
          </w:p>
        </w:tc>
        <w:tc>
          <w:tcPr>
            <w:tcW w:w="1080" w:type="dxa"/>
            <w:vAlign w:val="bottom"/>
            <w:tcBorders>
              <w:top w:val="single" w:sz="8" w:color="D2D3D4"/>
            </w:tcBorders>
            <w:vMerge w:val="restart"/>
          </w:tcPr>
          <w:p>
            <w:pPr>
              <w:jc w:val="right"/>
              <w:ind w:right="28"/>
              <w:spacing w:after="0"/>
              <w:rPr>
                <w:sz w:val="20"/>
                <w:szCs w:val="20"/>
                <w:color w:val="auto"/>
              </w:rPr>
            </w:pPr>
            <w:r>
              <w:rPr>
                <w:rFonts w:ascii="Arial" w:cs="Arial" w:eastAsia="Arial" w:hAnsi="Arial"/>
                <w:sz w:val="14"/>
                <w:szCs w:val="14"/>
                <w:color w:val="auto"/>
              </w:rPr>
              <w:t>$22.94</w:t>
            </w:r>
            <w:r>
              <w:rPr>
                <w:rFonts w:ascii="Arial" w:cs="Arial" w:eastAsia="Arial" w:hAnsi="Arial"/>
                <w:sz w:val="23"/>
                <w:szCs w:val="23"/>
                <w:color w:val="auto"/>
                <w:vertAlign w:val="superscript"/>
              </w:rPr>
              <w:t>(2)</w:t>
            </w:r>
          </w:p>
        </w:tc>
        <w:tc>
          <w:tcPr>
            <w:tcW w:w="980" w:type="dxa"/>
            <w:vAlign w:val="bottom"/>
            <w:tcBorders>
              <w:top w:val="single" w:sz="8" w:color="D2D3D4"/>
            </w:tcBorders>
            <w:vMerge w:val="restart"/>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321"/>
        </w:trPr>
        <w:tc>
          <w:tcPr>
            <w:tcW w:w="340" w:type="dxa"/>
            <w:vAlign w:val="bottom"/>
            <w:shd w:val="clear" w:color="auto" w:fill="00529B"/>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per Barrel</w:t>
            </w:r>
            <w:r>
              <w:rPr>
                <w:rFonts w:ascii="Arial" w:cs="Arial" w:eastAsia="Arial" w:hAnsi="Arial"/>
                <w:sz w:val="23"/>
                <w:szCs w:val="23"/>
                <w:color w:val="auto"/>
                <w:vertAlign w:val="superscript"/>
              </w:rPr>
              <w:t>(1)</w:t>
            </w:r>
          </w:p>
        </w:tc>
        <w:tc>
          <w:tcPr>
            <w:tcW w:w="540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40" w:type="dxa"/>
            <w:vAlign w:val="bottom"/>
            <w:tcBorders>
              <w:bottom w:val="single" w:sz="8" w:color="00529B"/>
            </w:tcBorders>
            <w:shd w:val="clear" w:color="auto" w:fill="00529B"/>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bottom w:val="single" w:sz="8" w:color="D2D3D4"/>
            </w:tcBorders>
          </w:tcPr>
          <w:p>
            <w:pPr>
              <w:spacing w:after="0"/>
              <w:rPr>
                <w:sz w:val="11"/>
                <w:szCs w:val="11"/>
                <w:color w:val="auto"/>
              </w:rPr>
            </w:pPr>
          </w:p>
        </w:tc>
        <w:tc>
          <w:tcPr>
            <w:tcW w:w="1020" w:type="dxa"/>
            <w:vAlign w:val="bottom"/>
            <w:tcBorders>
              <w:bottom w:val="single" w:sz="8" w:color="D2D3D4"/>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40" w:type="dxa"/>
            <w:vAlign w:val="bottom"/>
            <w:shd w:val="clear" w:color="auto" w:fill="00529B"/>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Sustainability</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 w:type="dxa"/>
            <w:vAlign w:val="bottom"/>
            <w:tcBorders>
              <w:top w:val="single" w:sz="8" w:color="00529B"/>
            </w:tcBorders>
            <w:shd w:val="clear" w:color="auto" w:fill="00529B"/>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top w:val="single" w:sz="8" w:color="D2D3D4"/>
            </w:tcBorders>
          </w:tcPr>
          <w:p>
            <w:pPr>
              <w:spacing w:after="0"/>
              <w:rPr>
                <w:sz w:val="22"/>
                <w:szCs w:val="22"/>
                <w:color w:val="auto"/>
              </w:rPr>
            </w:pPr>
          </w:p>
        </w:tc>
        <w:tc>
          <w:tcPr>
            <w:tcW w:w="1020" w:type="dxa"/>
            <w:vAlign w:val="bottom"/>
            <w:tcBorders>
              <w:top w:val="single" w:sz="8" w:color="D2D3D4"/>
            </w:tcBorders>
          </w:tcPr>
          <w:p>
            <w:pPr>
              <w:spacing w:after="0"/>
              <w:rPr>
                <w:sz w:val="22"/>
                <w:szCs w:val="22"/>
                <w:color w:val="auto"/>
              </w:rPr>
            </w:pPr>
          </w:p>
        </w:tc>
        <w:tc>
          <w:tcPr>
            <w:tcW w:w="140" w:type="dxa"/>
            <w:vAlign w:val="bottom"/>
            <w:tcBorders>
              <w:top w:val="single" w:sz="8" w:color="D2D3D4"/>
            </w:tcBorders>
          </w:tcPr>
          <w:p>
            <w:pPr>
              <w:spacing w:after="0"/>
              <w:rPr>
                <w:sz w:val="22"/>
                <w:szCs w:val="22"/>
                <w:color w:val="auto"/>
              </w:rPr>
            </w:pPr>
          </w:p>
        </w:tc>
        <w:tc>
          <w:tcPr>
            <w:tcW w:w="60" w:type="dxa"/>
            <w:vAlign w:val="bottom"/>
            <w:tcBorders>
              <w:top w:val="single" w:sz="8" w:color="D2D3D4"/>
            </w:tcBorders>
          </w:tcPr>
          <w:p>
            <w:pPr>
              <w:spacing w:after="0"/>
              <w:rPr>
                <w:sz w:val="22"/>
                <w:szCs w:val="22"/>
                <w:color w:val="auto"/>
              </w:rPr>
            </w:pPr>
          </w:p>
        </w:tc>
        <w:tc>
          <w:tcPr>
            <w:tcW w:w="1060" w:type="dxa"/>
            <w:vAlign w:val="bottom"/>
            <w:tcBorders>
              <w:top w:val="single" w:sz="8" w:color="D2D3D4"/>
            </w:tcBorders>
          </w:tcPr>
          <w:p>
            <w:pPr>
              <w:spacing w:after="0"/>
              <w:rPr>
                <w:sz w:val="22"/>
                <w:szCs w:val="22"/>
                <w:color w:val="auto"/>
              </w:rPr>
            </w:pPr>
          </w:p>
        </w:tc>
        <w:tc>
          <w:tcPr>
            <w:tcW w:w="5400" w:type="dxa"/>
            <w:vAlign w:val="bottom"/>
            <w:tcBorders>
              <w:top w:val="single" w:sz="8" w:color="D2D3D4"/>
            </w:tcBorders>
            <w:gridSpan w:val="2"/>
          </w:tcPr>
          <w:p>
            <w:pPr>
              <w:ind w:left="40"/>
              <w:spacing w:after="0"/>
              <w:rPr>
                <w:sz w:val="20"/>
                <w:szCs w:val="20"/>
                <w:color w:val="auto"/>
              </w:rPr>
            </w:pPr>
            <w:r>
              <w:rPr>
                <w:rFonts w:ascii="Arial" w:cs="Arial" w:eastAsia="Arial" w:hAnsi="Arial"/>
                <w:sz w:val="14"/>
                <w:szCs w:val="14"/>
                <w:color w:val="auto"/>
              </w:rPr>
              <w:t>Reduce operating emissions</w:t>
            </w:r>
          </w:p>
        </w:tc>
        <w:tc>
          <w:tcPr>
            <w:tcW w:w="1080" w:type="dxa"/>
            <w:vAlign w:val="bottom"/>
            <w:tcBorders>
              <w:top w:val="single" w:sz="8" w:color="D2D3D4"/>
            </w:tcBorders>
          </w:tcPr>
          <w:p>
            <w:pPr>
              <w:spacing w:after="0"/>
              <w:rPr>
                <w:sz w:val="22"/>
                <w:szCs w:val="22"/>
                <w:color w:val="auto"/>
              </w:rPr>
            </w:pPr>
          </w:p>
        </w:tc>
        <w:tc>
          <w:tcPr>
            <w:tcW w:w="980" w:type="dxa"/>
            <w:vAlign w:val="bottom"/>
            <w:tcBorders>
              <w:top w:val="single" w:sz="8" w:color="D2D3D4"/>
            </w:tcBorders>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40" w:type="dxa"/>
            <w:vAlign w:val="bottom"/>
            <w:shd w:val="clear" w:color="auto" w:fill="00529B"/>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Emissions</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00529B"/>
              </w:rPr>
              <w:t>►</w:t>
            </w:r>
          </w:p>
        </w:tc>
        <w:tc>
          <w:tcPr>
            <w:tcW w:w="5180" w:type="dxa"/>
            <w:vAlign w:val="bottom"/>
            <w:vMerge w:val="restart"/>
          </w:tcPr>
          <w:p>
            <w:pPr>
              <w:ind w:left="40"/>
              <w:spacing w:after="0"/>
              <w:rPr>
                <w:sz w:val="20"/>
                <w:szCs w:val="20"/>
                <w:color w:val="auto"/>
              </w:rPr>
            </w:pPr>
            <w:r>
              <w:rPr>
                <w:rFonts w:ascii="Arial" w:cs="Arial" w:eastAsia="Arial" w:hAnsi="Arial"/>
                <w:sz w:val="14"/>
                <w:szCs w:val="14"/>
                <w:color w:val="auto"/>
              </w:rPr>
              <w:t>Deploy the Emissions Technology program and Find It/Fix It operational</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40" w:type="dxa"/>
            <w:vAlign w:val="bottom"/>
            <w:shd w:val="clear" w:color="auto" w:fill="00529B"/>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Reduction</w:t>
            </w:r>
          </w:p>
        </w:tc>
        <w:tc>
          <w:tcPr>
            <w:tcW w:w="220" w:type="dxa"/>
            <w:vAlign w:val="bottom"/>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Above</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40" w:type="dxa"/>
            <w:vAlign w:val="bottom"/>
            <w:shd w:val="clear" w:color="auto" w:fill="00529B"/>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5180" w:type="dxa"/>
            <w:vAlign w:val="bottom"/>
            <w:vMerge w:val="restart"/>
          </w:tcPr>
          <w:p>
            <w:pPr>
              <w:ind w:left="40"/>
              <w:spacing w:after="0" w:line="145" w:lineRule="exact"/>
              <w:rPr>
                <w:sz w:val="20"/>
                <w:szCs w:val="20"/>
                <w:color w:val="auto"/>
              </w:rPr>
            </w:pPr>
            <w:r>
              <w:rPr>
                <w:rFonts w:ascii="Arial" w:cs="Arial" w:eastAsia="Arial" w:hAnsi="Arial"/>
                <w:sz w:val="14"/>
                <w:szCs w:val="14"/>
                <w:color w:val="auto"/>
              </w:rPr>
              <w:t>emissions program to international locations</w:t>
            </w:r>
          </w:p>
        </w:tc>
        <w:tc>
          <w:tcPr>
            <w:tcW w:w="108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40" w:type="dxa"/>
            <w:vAlign w:val="bottom"/>
            <w:shd w:val="clear" w:color="auto" w:fill="00529B"/>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Efforts</w:t>
            </w:r>
          </w:p>
        </w:tc>
        <w:tc>
          <w:tcPr>
            <w:tcW w:w="22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72"/>
        </w:trPr>
        <w:tc>
          <w:tcPr>
            <w:tcW w:w="340" w:type="dxa"/>
            <w:vAlign w:val="bottom"/>
            <w:shd w:val="clear" w:color="auto" w:fill="00529B"/>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180" w:type="dxa"/>
            <w:vAlign w:val="bottom"/>
          </w:tcPr>
          <w:p>
            <w:pPr>
              <w:spacing w:after="0"/>
              <w:rPr>
                <w:sz w:val="6"/>
                <w:szCs w:val="6"/>
                <w:color w:val="auto"/>
              </w:rPr>
            </w:pPr>
          </w:p>
        </w:tc>
        <w:tc>
          <w:tcPr>
            <w:tcW w:w="1080" w:type="dxa"/>
            <w:vAlign w:val="bottom"/>
            <w:vMerge w:val="restart"/>
          </w:tcPr>
          <w:p>
            <w:pPr>
              <w:jc w:val="right"/>
              <w:ind w:right="28"/>
              <w:spacing w:after="0" w:line="243" w:lineRule="exact"/>
              <w:rPr>
                <w:sz w:val="20"/>
                <w:szCs w:val="20"/>
                <w:color w:val="auto"/>
              </w:rPr>
            </w:pPr>
            <w:r>
              <w:rPr>
                <w:rFonts w:ascii="Arial" w:cs="Arial" w:eastAsia="Arial" w:hAnsi="Arial"/>
                <w:sz w:val="14"/>
                <w:szCs w:val="14"/>
                <w:color w:val="auto"/>
              </w:rPr>
              <w:t>Target</w:t>
            </w:r>
            <w:r>
              <w:rPr>
                <w:rFonts w:ascii="Arial" w:cs="Arial" w:eastAsia="Arial" w:hAnsi="Arial"/>
                <w:sz w:val="23"/>
                <w:szCs w:val="23"/>
                <w:color w:val="auto"/>
                <w:vertAlign w:val="superscript"/>
              </w:rPr>
              <w:t>(3)</w:t>
            </w: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40" w:type="dxa"/>
            <w:vAlign w:val="bottom"/>
            <w:shd w:val="clear" w:color="auto" w:fill="00529B"/>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(Scope 1</w:t>
            </w:r>
          </w:p>
        </w:tc>
        <w:tc>
          <w:tcPr>
            <w:tcW w:w="220" w:type="dxa"/>
            <w:vAlign w:val="bottom"/>
          </w:tcPr>
          <w:p>
            <w:pPr>
              <w:ind w:left="40"/>
              <w:spacing w:after="0"/>
              <w:rPr>
                <w:sz w:val="20"/>
                <w:szCs w:val="20"/>
                <w:color w:val="auto"/>
              </w:rPr>
            </w:pPr>
            <w:r>
              <w:rPr>
                <w:rFonts w:ascii="Arial" w:cs="Arial" w:eastAsia="Arial" w:hAnsi="Arial"/>
                <w:sz w:val="14"/>
                <w:szCs w:val="14"/>
                <w:color w:val="00529B"/>
              </w:rPr>
              <w:t>►</w:t>
            </w:r>
          </w:p>
        </w:tc>
        <w:tc>
          <w:tcPr>
            <w:tcW w:w="5180" w:type="dxa"/>
            <w:vAlign w:val="bottom"/>
          </w:tcPr>
          <w:p>
            <w:pPr>
              <w:ind w:left="40"/>
              <w:spacing w:after="0"/>
              <w:rPr>
                <w:sz w:val="20"/>
                <w:szCs w:val="20"/>
                <w:color w:val="auto"/>
              </w:rPr>
            </w:pPr>
            <w:r>
              <w:rPr>
                <w:rFonts w:ascii="Arial" w:cs="Arial" w:eastAsia="Arial" w:hAnsi="Arial"/>
                <w:sz w:val="14"/>
                <w:szCs w:val="14"/>
                <w:color w:val="auto"/>
              </w:rPr>
              <w:t>Deploy at least 4 emissions reduction projects in the Permian Basin</w:t>
            </w:r>
          </w:p>
        </w:tc>
        <w:tc>
          <w:tcPr>
            <w:tcW w:w="10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00529B"/>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and 2)</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00529B"/>
              </w:rPr>
              <w:t>►</w:t>
            </w:r>
          </w:p>
        </w:tc>
        <w:tc>
          <w:tcPr>
            <w:tcW w:w="5180" w:type="dxa"/>
            <w:vAlign w:val="bottom"/>
            <w:vMerge w:val="restart"/>
          </w:tcPr>
          <w:p>
            <w:pPr>
              <w:ind w:left="40"/>
              <w:spacing w:after="0"/>
              <w:rPr>
                <w:sz w:val="20"/>
                <w:szCs w:val="20"/>
                <w:color w:val="auto"/>
              </w:rPr>
            </w:pPr>
            <w:r>
              <w:rPr>
                <w:rFonts w:ascii="Arial" w:cs="Arial" w:eastAsia="Arial" w:hAnsi="Arial"/>
                <w:sz w:val="14"/>
                <w:szCs w:val="14"/>
                <w:color w:val="auto"/>
              </w:rPr>
              <w:t>Achieve a 15% reduction in routine flaring from our 2020 baseline</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340" w:type="dxa"/>
            <w:vAlign w:val="bottom"/>
            <w:shd w:val="clear" w:color="auto" w:fill="00529B"/>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40" w:type="dxa"/>
            <w:vAlign w:val="bottom"/>
            <w:tcBorders>
              <w:bottom w:val="single" w:sz="8" w:color="00529B"/>
            </w:tcBorders>
            <w:shd w:val="clear" w:color="auto" w:fill="00529B"/>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color w:val="auto"/>
              </w:rPr>
              <w:t>0% - 60%</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D2D3D4"/>
            </w:tcBorders>
          </w:tcPr>
          <w:p>
            <w:pPr>
              <w:spacing w:after="0"/>
              <w:rPr>
                <w:sz w:val="6"/>
                <w:szCs w:val="6"/>
                <w:color w:val="auto"/>
              </w:rPr>
            </w:pPr>
          </w:p>
        </w:tc>
        <w:tc>
          <w:tcPr>
            <w:tcW w:w="5400" w:type="dxa"/>
            <w:vAlign w:val="bottom"/>
            <w:tcBorders>
              <w:bottom w:val="single" w:sz="8" w:color="D2D3D4"/>
            </w:tcBorders>
            <w:gridSpan w:val="2"/>
          </w:tcPr>
          <w:p>
            <w:pPr>
              <w:spacing w:after="0"/>
              <w:rPr>
                <w:sz w:val="6"/>
                <w:szCs w:val="6"/>
                <w:color w:val="auto"/>
              </w:rPr>
            </w:pPr>
          </w:p>
        </w:tc>
        <w:tc>
          <w:tcPr>
            <w:tcW w:w="1080" w:type="dxa"/>
            <w:vAlign w:val="bottom"/>
            <w:tcBorders>
              <w:bottom w:val="single" w:sz="8" w:color="D2D3D4"/>
            </w:tcBorders>
          </w:tcPr>
          <w:p>
            <w:pPr>
              <w:spacing w:after="0"/>
              <w:rPr>
                <w:sz w:val="6"/>
                <w:szCs w:val="6"/>
                <w:color w:val="auto"/>
              </w:rPr>
            </w:pPr>
          </w:p>
        </w:tc>
        <w:tc>
          <w:tcPr>
            <w:tcW w:w="980" w:type="dxa"/>
            <w:vAlign w:val="bottom"/>
            <w:tcBorders>
              <w:bottom w:val="single" w:sz="8" w:color="D2D3D4"/>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40" w:type="dxa"/>
            <w:vAlign w:val="bottom"/>
            <w:shd w:val="clear" w:color="auto" w:fill="00529B"/>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0" w:type="dxa"/>
            <w:vAlign w:val="bottom"/>
            <w:gridSpan w:val="2"/>
          </w:tcPr>
          <w:p>
            <w:pPr>
              <w:ind w:left="40"/>
              <w:spacing w:after="0"/>
              <w:rPr>
                <w:sz w:val="20"/>
                <w:szCs w:val="20"/>
                <w:color w:val="auto"/>
              </w:rPr>
            </w:pPr>
            <w:r>
              <w:rPr>
                <w:rFonts w:ascii="Arial" w:cs="Arial" w:eastAsia="Arial" w:hAnsi="Arial"/>
                <w:sz w:val="14"/>
                <w:szCs w:val="14"/>
                <w:color w:val="auto"/>
              </w:rPr>
              <w:t>Advance carbon management platform</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 w:type="dxa"/>
            <w:vAlign w:val="bottom"/>
            <w:shd w:val="clear" w:color="auto" w:fill="00529B"/>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FFFFFF"/>
              </w:rPr>
              <w:t>KEY</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shd w:val="clear" w:color="auto" w:fill="00529B"/>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FFFFFF"/>
              </w:rPr>
              <w:t>CORPORATE</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Carbon</w:t>
            </w:r>
          </w:p>
        </w:tc>
        <w:tc>
          <w:tcPr>
            <w:tcW w:w="5400" w:type="dxa"/>
            <w:vAlign w:val="bottom"/>
            <w:gridSpan w:val="2"/>
          </w:tcPr>
          <w:p>
            <w:pPr>
              <w:ind w:left="40"/>
              <w:spacing w:after="0"/>
              <w:rPr>
                <w:sz w:val="20"/>
                <w:szCs w:val="20"/>
                <w:color w:val="auto"/>
              </w:rPr>
            </w:pPr>
            <w:r>
              <w:rPr>
                <w:rFonts w:ascii="Arial" w:cs="Arial" w:eastAsia="Arial" w:hAnsi="Arial"/>
                <w:sz w:val="14"/>
                <w:szCs w:val="14"/>
                <w:color w:val="00529B"/>
              </w:rPr>
              <w:t xml:space="preserve">► </w:t>
            </w:r>
            <w:r>
              <w:rPr>
                <w:rFonts w:ascii="Arial" w:cs="Arial" w:eastAsia="Arial" w:hAnsi="Arial"/>
                <w:sz w:val="14"/>
                <w:szCs w:val="14"/>
                <w:color w:val="000000"/>
              </w:rPr>
              <w:t>Approval to commence, and commencement of, construction on first DAC plant</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00529B"/>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FFFFFF"/>
              </w:rPr>
              <w:t>OBJECTIVES</w:t>
            </w:r>
          </w:p>
        </w:tc>
        <w:tc>
          <w:tcPr>
            <w:tcW w:w="11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180" w:type="dxa"/>
            <w:vAlign w:val="bottom"/>
            <w:vMerge w:val="restart"/>
          </w:tcPr>
          <w:p>
            <w:pPr>
              <w:ind w:left="40"/>
              <w:spacing w:after="0"/>
              <w:rPr>
                <w:sz w:val="20"/>
                <w:szCs w:val="20"/>
                <w:color w:val="auto"/>
              </w:rPr>
            </w:pPr>
            <w:r>
              <w:rPr>
                <w:rFonts w:ascii="Arial" w:cs="Arial" w:eastAsia="Arial" w:hAnsi="Arial"/>
                <w:sz w:val="14"/>
                <w:szCs w:val="14"/>
                <w:color w:val="auto"/>
              </w:rPr>
              <w:t>(DAC 1)</w:t>
            </w: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shd w:val="clear" w:color="auto" w:fill="00529B"/>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Ventures and</w:t>
            </w:r>
          </w:p>
        </w:tc>
        <w:tc>
          <w:tcPr>
            <w:tcW w:w="220" w:type="dxa"/>
            <w:vAlign w:val="bottom"/>
          </w:tcPr>
          <w:p>
            <w:pPr>
              <w:spacing w:after="0"/>
              <w:rPr>
                <w:sz w:val="8"/>
                <w:szCs w:val="8"/>
                <w:color w:val="auto"/>
              </w:rPr>
            </w:pPr>
          </w:p>
        </w:tc>
        <w:tc>
          <w:tcPr>
            <w:tcW w:w="5180" w:type="dxa"/>
            <w:vAlign w:val="bottom"/>
            <w:vMerge w:val="continue"/>
          </w:tcPr>
          <w:p>
            <w:pPr>
              <w:spacing w:after="0"/>
              <w:rPr>
                <w:sz w:val="8"/>
                <w:szCs w:val="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Above</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40" w:type="dxa"/>
            <w:vAlign w:val="bottom"/>
            <w:shd w:val="clear" w:color="auto" w:fill="00529B"/>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00529B"/>
              </w:rPr>
              <w:t>►</w:t>
            </w:r>
          </w:p>
        </w:tc>
        <w:tc>
          <w:tcPr>
            <w:tcW w:w="5180" w:type="dxa"/>
            <w:vAlign w:val="bottom"/>
            <w:vMerge w:val="restart"/>
          </w:tcPr>
          <w:p>
            <w:pPr>
              <w:ind w:left="40"/>
              <w:spacing w:after="0"/>
              <w:rPr>
                <w:sz w:val="20"/>
                <w:szCs w:val="20"/>
                <w:color w:val="auto"/>
              </w:rPr>
            </w:pPr>
            <w:r>
              <w:rPr>
                <w:rFonts w:ascii="Arial" w:cs="Arial" w:eastAsia="Arial" w:hAnsi="Arial"/>
                <w:sz w:val="14"/>
                <w:szCs w:val="14"/>
                <w:color w:val="auto"/>
              </w:rPr>
              <w:t>Enter into at least 1 carbon capture, transport or sequestration joint venture</w:t>
            </w:r>
          </w:p>
        </w:tc>
        <w:tc>
          <w:tcPr>
            <w:tcW w:w="10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340" w:type="dxa"/>
            <w:vAlign w:val="bottom"/>
            <w:shd w:val="clear" w:color="auto" w:fill="00529B"/>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Reduction</w:t>
            </w:r>
          </w:p>
        </w:tc>
        <w:tc>
          <w:tcPr>
            <w:tcW w:w="220" w:type="dxa"/>
            <w:vAlign w:val="bottom"/>
            <w:vMerge w:val="continue"/>
          </w:tcPr>
          <w:p>
            <w:pPr>
              <w:spacing w:after="0"/>
              <w:rPr>
                <w:sz w:val="5"/>
                <w:szCs w:val="5"/>
                <w:color w:val="auto"/>
              </w:rPr>
            </w:pPr>
          </w:p>
        </w:tc>
        <w:tc>
          <w:tcPr>
            <w:tcW w:w="51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98"/>
        </w:trPr>
        <w:tc>
          <w:tcPr>
            <w:tcW w:w="340" w:type="dxa"/>
            <w:vAlign w:val="bottom"/>
            <w:shd w:val="clear" w:color="auto" w:fill="00529B"/>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180" w:type="dxa"/>
            <w:vAlign w:val="bottom"/>
            <w:vMerge w:val="continue"/>
          </w:tcPr>
          <w:p>
            <w:pPr>
              <w:spacing w:after="0"/>
              <w:rPr>
                <w:sz w:val="8"/>
                <w:szCs w:val="8"/>
                <w:color w:val="auto"/>
              </w:rPr>
            </w:pPr>
          </w:p>
        </w:tc>
        <w:tc>
          <w:tcPr>
            <w:tcW w:w="1080" w:type="dxa"/>
            <w:vAlign w:val="bottom"/>
            <w:vMerge w:val="restart"/>
          </w:tcPr>
          <w:p>
            <w:pPr>
              <w:jc w:val="right"/>
              <w:ind w:right="28"/>
              <w:spacing w:after="0" w:line="242" w:lineRule="exact"/>
              <w:rPr>
                <w:sz w:val="20"/>
                <w:szCs w:val="20"/>
                <w:color w:val="auto"/>
              </w:rPr>
            </w:pPr>
            <w:r>
              <w:rPr>
                <w:rFonts w:ascii="Arial" w:cs="Arial" w:eastAsia="Arial" w:hAnsi="Arial"/>
                <w:sz w:val="14"/>
                <w:szCs w:val="14"/>
                <w:color w:val="auto"/>
              </w:rPr>
              <w:t>Target</w:t>
            </w:r>
            <w:r>
              <w:rPr>
                <w:rFonts w:ascii="Arial" w:cs="Arial" w:eastAsia="Arial" w:hAnsi="Arial"/>
                <w:sz w:val="23"/>
                <w:szCs w:val="23"/>
                <w:color w:val="auto"/>
                <w:vertAlign w:val="superscript"/>
              </w:rPr>
              <w:t>(4)</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40" w:type="dxa"/>
            <w:vAlign w:val="bottom"/>
            <w:shd w:val="clear" w:color="auto" w:fill="00529B"/>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Projects</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00529B"/>
              </w:rPr>
              <w:t>►</w:t>
            </w:r>
          </w:p>
        </w:tc>
        <w:tc>
          <w:tcPr>
            <w:tcW w:w="5180" w:type="dxa"/>
            <w:vAlign w:val="bottom"/>
            <w:vMerge w:val="restart"/>
          </w:tcPr>
          <w:p>
            <w:pPr>
              <w:ind w:left="40"/>
              <w:spacing w:after="0"/>
              <w:rPr>
                <w:sz w:val="20"/>
                <w:szCs w:val="20"/>
                <w:color w:val="auto"/>
              </w:rPr>
            </w:pPr>
            <w:r>
              <w:rPr>
                <w:rFonts w:ascii="Arial" w:cs="Arial" w:eastAsia="Arial" w:hAnsi="Arial"/>
                <w:sz w:val="14"/>
                <w:szCs w:val="14"/>
                <w:color w:val="auto"/>
              </w:rPr>
              <w:t>Enter into at least 3 low-carbon product development transactions</w:t>
            </w:r>
          </w:p>
        </w:tc>
        <w:tc>
          <w:tcPr>
            <w:tcW w:w="10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shd w:val="clear" w:color="auto" w:fill="00529B"/>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(Scope 3)</w:t>
            </w:r>
          </w:p>
        </w:tc>
        <w:tc>
          <w:tcPr>
            <w:tcW w:w="220" w:type="dxa"/>
            <w:vAlign w:val="bottom"/>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0" w:type="dxa"/>
            <w:vAlign w:val="bottom"/>
            <w:shd w:val="clear" w:color="auto" w:fill="00529B"/>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00529B"/>
              </w:rPr>
              <w:t>►</w:t>
            </w:r>
          </w:p>
        </w:tc>
        <w:tc>
          <w:tcPr>
            <w:tcW w:w="5180" w:type="dxa"/>
            <w:vAlign w:val="bottom"/>
            <w:vMerge w:val="restart"/>
          </w:tcPr>
          <w:p>
            <w:pPr>
              <w:ind w:left="40"/>
              <w:spacing w:after="0"/>
              <w:rPr>
                <w:sz w:val="20"/>
                <w:szCs w:val="20"/>
                <w:color w:val="auto"/>
              </w:rPr>
            </w:pPr>
            <w:r>
              <w:rPr>
                <w:rFonts w:ascii="Arial" w:cs="Arial" w:eastAsia="Arial" w:hAnsi="Arial"/>
                <w:sz w:val="14"/>
                <w:szCs w:val="14"/>
                <w:color w:val="auto"/>
              </w:rPr>
              <w:t>Identify and coordinate external validation of the company’s carbon accounting</w:t>
            </w: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40" w:type="dxa"/>
            <w:vAlign w:val="bottom"/>
            <w:shd w:val="clear" w:color="auto" w:fill="00529B"/>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00529B"/>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Arial" w:cs="Arial" w:eastAsia="Arial" w:hAnsi="Arial"/>
                <w:sz w:val="14"/>
                <w:szCs w:val="14"/>
                <w:color w:val="auto"/>
              </w:rPr>
              <w:t>process, including validation of GHG emissions at one or more operating sites</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340" w:type="dxa"/>
            <w:vAlign w:val="bottom"/>
            <w:tcBorders>
              <w:bottom w:val="single" w:sz="8" w:color="auto"/>
            </w:tcBorders>
            <w:shd w:val="clear" w:color="auto" w:fill="00529B"/>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INITIAL COMPANY PERFORMANCE PORTION TOTAL:</w:t>
            </w:r>
          </w:p>
        </w:tc>
        <w:tc>
          <w:tcPr>
            <w:tcW w:w="22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214"/>
        </w:trPr>
        <w:tc>
          <w:tcPr>
            <w:tcW w:w="9180" w:type="dxa"/>
            <w:vAlign w:val="bottom"/>
            <w:gridSpan w:val="9"/>
          </w:tcPr>
          <w:p>
            <w:pPr>
              <w:ind w:left="80"/>
              <w:spacing w:after="0"/>
              <w:rPr>
                <w:sz w:val="20"/>
                <w:szCs w:val="20"/>
                <w:color w:val="auto"/>
              </w:rPr>
            </w:pPr>
            <w:r>
              <w:rPr>
                <w:rFonts w:ascii="Arial" w:cs="Arial" w:eastAsia="Arial" w:hAnsi="Arial"/>
                <w:sz w:val="14"/>
                <w:szCs w:val="14"/>
                <w:b w:val="1"/>
                <w:bCs w:val="1"/>
                <w:color w:val="auto"/>
              </w:rPr>
              <w:t>COMMITTEE ADJUSTMENT FOR KEY STRATEGIC ACCOMPLISHMENTS: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80" w:type="dxa"/>
            <w:vAlign w:val="bottom"/>
            <w:gridSpan w:val="9"/>
          </w:tcPr>
          <w:p>
            <w:pPr>
              <w:ind w:left="280"/>
              <w:spacing w:after="0"/>
              <w:rPr>
                <w:sz w:val="20"/>
                <w:szCs w:val="20"/>
                <w:color w:val="auto"/>
              </w:rPr>
            </w:pPr>
            <w:r>
              <w:rPr>
                <w:rFonts w:ascii="Arial" w:cs="Arial" w:eastAsia="Arial" w:hAnsi="Arial"/>
                <w:sz w:val="14"/>
                <w:szCs w:val="14"/>
                <w:color w:val="auto"/>
              </w:rPr>
              <w:t>Record net income, operating cash flow and free cash flow for the 2022 fiscal year (FY22)</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9"/>
          </w:tcPr>
          <w:p>
            <w:pPr>
              <w:ind w:left="280"/>
              <w:spacing w:after="0"/>
              <w:rPr>
                <w:sz w:val="20"/>
                <w:szCs w:val="20"/>
                <w:color w:val="auto"/>
              </w:rPr>
            </w:pPr>
            <w:r>
              <w:rPr>
                <w:rFonts w:ascii="Arial" w:cs="Arial" w:eastAsia="Arial" w:hAnsi="Arial"/>
                <w:sz w:val="14"/>
                <w:szCs w:val="14"/>
                <w:color w:val="auto"/>
              </w:rPr>
              <w:t>CROCE of approximately 36% and a return on capital employed (ROCE) of approximately 28% for FY22</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7"/>
          </w:tcPr>
          <w:p>
            <w:pPr>
              <w:ind w:left="280"/>
              <w:spacing w:after="0"/>
              <w:rPr>
                <w:sz w:val="20"/>
                <w:szCs w:val="20"/>
                <w:color w:val="auto"/>
              </w:rPr>
            </w:pPr>
            <w:r>
              <w:rPr>
                <w:rFonts w:ascii="Arial" w:cs="Arial" w:eastAsia="Arial" w:hAnsi="Arial"/>
                <w:sz w:val="14"/>
                <w:szCs w:val="14"/>
                <w:color w:val="auto"/>
              </w:rPr>
              <w:t>Repayment of over $10.5 billion in debt principal</w:t>
            </w: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10"/>
        </w:trPr>
        <w:tc>
          <w:tcPr>
            <w:tcW w:w="9180" w:type="dxa"/>
            <w:vAlign w:val="bottom"/>
            <w:gridSpan w:val="9"/>
          </w:tcPr>
          <w:p>
            <w:pPr>
              <w:ind w:left="280"/>
              <w:spacing w:after="0"/>
              <w:rPr>
                <w:sz w:val="20"/>
                <w:szCs w:val="20"/>
                <w:color w:val="auto"/>
              </w:rPr>
            </w:pPr>
            <w:r>
              <w:rPr>
                <w:rFonts w:ascii="Arial" w:cs="Arial" w:eastAsia="Arial" w:hAnsi="Arial"/>
                <w:sz w:val="14"/>
                <w:szCs w:val="14"/>
                <w:color w:val="auto"/>
              </w:rPr>
              <w:t>$3 billion in share repurchases as part of the company’s shareholder return framework</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180" w:type="dxa"/>
            <w:vAlign w:val="bottom"/>
            <w:tcBorders>
              <w:bottom w:val="single" w:sz="8" w:color="00529B"/>
            </w:tcBorders>
            <w:gridSpan w:val="9"/>
          </w:tcPr>
          <w:p>
            <w:pPr>
              <w:ind w:left="280"/>
              <w:spacing w:after="0"/>
              <w:rPr>
                <w:sz w:val="20"/>
                <w:szCs w:val="20"/>
                <w:color w:val="auto"/>
              </w:rPr>
            </w:pPr>
            <w:r>
              <w:rPr>
                <w:rFonts w:ascii="Arial" w:cs="Arial" w:eastAsia="Arial" w:hAnsi="Arial"/>
                <w:sz w:val="14"/>
                <w:szCs w:val="14"/>
                <w:color w:val="auto"/>
              </w:rPr>
              <w:t>Top-performing stock in S&amp;P 500 index; approximately 119% total shareholder return</w:t>
            </w:r>
          </w:p>
        </w:tc>
        <w:tc>
          <w:tcPr>
            <w:tcW w:w="1080" w:type="dxa"/>
            <w:vAlign w:val="bottom"/>
            <w:tcBorders>
              <w:bottom w:val="single" w:sz="8" w:color="00529B"/>
            </w:tcBorders>
          </w:tcPr>
          <w:p>
            <w:pPr>
              <w:spacing w:after="0"/>
              <w:rPr>
                <w:sz w:val="20"/>
                <w:szCs w:val="20"/>
                <w:color w:val="auto"/>
              </w:rPr>
            </w:pPr>
          </w:p>
        </w:tc>
        <w:tc>
          <w:tcPr>
            <w:tcW w:w="980" w:type="dxa"/>
            <w:vAlign w:val="bottom"/>
            <w:tcBorders>
              <w:bottom w:val="single" w:sz="8" w:color="00529B"/>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00529B"/>
            </w:tcBorders>
            <w:gridSpan w:val="8"/>
          </w:tcPr>
          <w:p>
            <w:pPr>
              <w:ind w:left="80"/>
              <w:spacing w:after="0"/>
              <w:rPr>
                <w:sz w:val="20"/>
                <w:szCs w:val="20"/>
                <w:color w:val="auto"/>
              </w:rPr>
            </w:pPr>
            <w:r>
              <w:rPr>
                <w:rFonts w:ascii="Arial" w:cs="Arial" w:eastAsia="Arial" w:hAnsi="Arial"/>
                <w:sz w:val="14"/>
                <w:szCs w:val="14"/>
                <w:b w:val="1"/>
                <w:bCs w:val="1"/>
                <w:color w:val="auto"/>
              </w:rPr>
              <w:t>TOTAL COMPANY PERFORMANCE PORTION PAYOUT:</w:t>
            </w:r>
          </w:p>
        </w:tc>
        <w:tc>
          <w:tcPr>
            <w:tcW w:w="5180" w:type="dxa"/>
            <w:vAlign w:val="bottom"/>
            <w:tcBorders>
              <w:bottom w:val="single" w:sz="8" w:color="00529B"/>
            </w:tcBorders>
          </w:tcPr>
          <w:p>
            <w:pPr>
              <w:spacing w:after="0"/>
              <w:rPr>
                <w:sz w:val="19"/>
                <w:szCs w:val="19"/>
                <w:color w:val="auto"/>
              </w:rPr>
            </w:pPr>
          </w:p>
        </w:tc>
        <w:tc>
          <w:tcPr>
            <w:tcW w:w="1080" w:type="dxa"/>
            <w:vAlign w:val="bottom"/>
            <w:tcBorders>
              <w:bottom w:val="single" w:sz="8" w:color="00529B"/>
            </w:tcBorders>
          </w:tcPr>
          <w:p>
            <w:pPr>
              <w:spacing w:after="0"/>
              <w:rPr>
                <w:sz w:val="19"/>
                <w:szCs w:val="19"/>
                <w:color w:val="auto"/>
              </w:rPr>
            </w:pPr>
          </w:p>
        </w:tc>
        <w:tc>
          <w:tcPr>
            <w:tcW w:w="98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-3763010</wp:posOffset>
            </wp:positionV>
            <wp:extent cx="762635" cy="19888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62635" cy="198882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-831215</wp:posOffset>
            </wp:positionV>
            <wp:extent cx="76835" cy="7747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-694055</wp:posOffset>
            </wp:positionV>
            <wp:extent cx="76835" cy="7747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-556895</wp:posOffset>
            </wp:positionV>
            <wp:extent cx="76835" cy="768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-419735</wp:posOffset>
            </wp:positionV>
            <wp:extent cx="76835" cy="7747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-282575</wp:posOffset>
            </wp:positionV>
            <wp:extent cx="76835" cy="768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205" w:lineRule="exact"/>
        <w:rPr>
          <w:sz w:val="20"/>
          <w:szCs w:val="20"/>
          <w:color w:val="auto"/>
        </w:rPr>
      </w:pPr>
    </w:p>
    <w:p>
      <w:pPr>
        <w:ind w:left="300" w:right="40" w:hanging="292"/>
        <w:spacing w:after="0" w:line="229" w:lineRule="auto"/>
        <w:tabs>
          <w:tab w:leader="none" w:pos="300" w:val="left"/>
        </w:tabs>
        <w:numPr>
          <w:ilvl w:val="0"/>
          <w:numId w:val="50"/>
        </w:numPr>
        <w:rPr>
          <w:rFonts w:ascii="Arial" w:cs="Arial" w:eastAsia="Arial" w:hAnsi="Arial"/>
          <w:sz w:val="10"/>
          <w:szCs w:val="10"/>
          <w:color w:val="auto"/>
        </w:rPr>
      </w:pPr>
      <w:r>
        <w:rPr>
          <w:rFonts w:ascii="Arial" w:cs="Arial" w:eastAsia="Arial" w:hAnsi="Arial"/>
          <w:sz w:val="13"/>
          <w:szCs w:val="13"/>
          <w:color w:val="auto"/>
        </w:rPr>
        <w:t>“Total Spend per Barrel” (TSPB) applies to continuing operations and equals the sum of SG&amp;A, OPEX and CAPEX, divided by MMboe. For purposes of this review, “SG&amp;A” or “selling, general and administrative expenses” means total SG&amp;A and other operating and non-operating expenses for the company, prior to any accrual for the 2022 ACI award; “OPEX” or “operating expenses” means total upstream oil and gas lease operating expenses; “CAPEX” or “capital expenditures” means total capital investment for the company; and “MMboe” means total million “Boe,” or barrels of oil equivalent, produced in the year.</w:t>
      </w:r>
    </w:p>
    <w:p>
      <w:pPr>
        <w:spacing w:after="0" w:line="36" w:lineRule="exact"/>
        <w:rPr>
          <w:rFonts w:ascii="Arial" w:cs="Arial" w:eastAsia="Arial" w:hAnsi="Arial"/>
          <w:sz w:val="10"/>
          <w:szCs w:val="10"/>
          <w:color w:val="auto"/>
        </w:rPr>
      </w:pPr>
    </w:p>
    <w:p>
      <w:pPr>
        <w:ind w:left="300" w:right="180" w:hanging="292"/>
        <w:spacing w:after="0" w:line="243" w:lineRule="auto"/>
        <w:tabs>
          <w:tab w:leader="none" w:pos="300" w:val="left"/>
        </w:tabs>
        <w:numPr>
          <w:ilvl w:val="0"/>
          <w:numId w:val="50"/>
        </w:numPr>
        <w:rPr>
          <w:rFonts w:ascii="Arial" w:cs="Arial" w:eastAsia="Arial" w:hAnsi="Arial"/>
          <w:sz w:val="10"/>
          <w:szCs w:val="10"/>
          <w:color w:val="auto"/>
        </w:rPr>
      </w:pPr>
      <w:r>
        <w:rPr>
          <w:rFonts w:ascii="Arial" w:cs="Arial" w:eastAsia="Arial" w:hAnsi="Arial"/>
          <w:sz w:val="13"/>
          <w:szCs w:val="13"/>
          <w:color w:val="auto"/>
        </w:rPr>
        <w:t>The Compensation Committee determined that it was appropriate to exercise discretion to adjust TSPB performance from $24.62 to $22.94 to reflect the negative impacts of (1) inflation on lease operating expenses and capital projects, (2) rising commodity prices on production sharing contracts and (3) Winter Storms Elliott and Landon on production.</w:t>
      </w:r>
    </w:p>
    <w:p>
      <w:pPr>
        <w:spacing w:after="0" w:line="34" w:lineRule="exact"/>
        <w:rPr>
          <w:rFonts w:ascii="Arial" w:cs="Arial" w:eastAsia="Arial" w:hAnsi="Arial"/>
          <w:sz w:val="10"/>
          <w:szCs w:val="10"/>
          <w:color w:val="auto"/>
        </w:rPr>
      </w:pPr>
    </w:p>
    <w:p>
      <w:pPr>
        <w:ind w:left="300" w:hanging="292"/>
        <w:spacing w:after="0"/>
        <w:tabs>
          <w:tab w:leader="none" w:pos="300" w:val="left"/>
        </w:tabs>
        <w:numPr>
          <w:ilvl w:val="0"/>
          <w:numId w:val="50"/>
        </w:numPr>
        <w:rPr>
          <w:rFonts w:ascii="Arial" w:cs="Arial" w:eastAsia="Arial" w:hAnsi="Arial"/>
          <w:sz w:val="10"/>
          <w:szCs w:val="10"/>
          <w:color w:val="auto"/>
        </w:rPr>
      </w:pPr>
      <w:r>
        <w:rPr>
          <w:rFonts w:ascii="Arial" w:cs="Arial" w:eastAsia="Arial" w:hAnsi="Arial"/>
          <w:sz w:val="13"/>
          <w:szCs w:val="13"/>
          <w:color w:val="auto"/>
        </w:rPr>
        <w:t>The Compensation Committee decided that the target metrics for emissions reduction efforts were met above target, with the rationale summarized below for each target:</w:t>
      </w:r>
    </w:p>
    <w:p>
      <w:pPr>
        <w:spacing w:after="0" w:line="66" w:lineRule="exact"/>
        <w:rPr>
          <w:rFonts w:ascii="Arial" w:cs="Arial" w:eastAsia="Arial" w:hAnsi="Arial"/>
          <w:sz w:val="10"/>
          <w:szCs w:val="10"/>
          <w:color w:val="auto"/>
        </w:rPr>
      </w:pPr>
    </w:p>
    <w:p>
      <w:pPr>
        <w:jc w:val="both"/>
        <w:ind w:left="540" w:right="40" w:hanging="276"/>
        <w:spacing w:after="0" w:line="229" w:lineRule="auto"/>
        <w:tabs>
          <w:tab w:leader="none" w:pos="540" w:val="left"/>
        </w:tabs>
        <w:numPr>
          <w:ilvl w:val="1"/>
          <w:numId w:val="50"/>
        </w:numPr>
        <w:rPr>
          <w:rFonts w:ascii="Arial" w:cs="Arial" w:eastAsia="Arial" w:hAnsi="Arial"/>
          <w:sz w:val="13"/>
          <w:szCs w:val="13"/>
          <w:color w:val="00529B"/>
        </w:rPr>
      </w:pPr>
      <w:r>
        <w:rPr>
          <w:rFonts w:ascii="Arial" w:cs="Arial" w:eastAsia="Arial" w:hAnsi="Arial"/>
          <w:sz w:val="13"/>
          <w:szCs w:val="13"/>
          <w:color w:val="auto"/>
        </w:rPr>
        <w:t>Employees implemented the Emissions Technology program and Find It/Fix It operational emissions program in the company’s Oman operations primarily through periodic satellite surveillance beginning in the first half of 2022, which accelerated detection of emissions sources and, where warranted, repair of equipment. Management and employees also collaborated extensively with operators of outside-operated international joint ventures (e.g., Dolphin and Al Hosn) on the implementation of emissions reduction technologies and practices and to share learnings from such programs.</w:t>
      </w:r>
    </w:p>
    <w:p>
      <w:pPr>
        <w:spacing w:after="0" w:line="36" w:lineRule="exact"/>
        <w:rPr>
          <w:rFonts w:ascii="Arial" w:cs="Arial" w:eastAsia="Arial" w:hAnsi="Arial"/>
          <w:sz w:val="13"/>
          <w:szCs w:val="13"/>
          <w:color w:val="00529B"/>
        </w:rPr>
      </w:pPr>
    </w:p>
    <w:p>
      <w:pPr>
        <w:jc w:val="both"/>
        <w:ind w:left="540" w:right="40" w:hanging="276"/>
        <w:spacing w:after="0" w:line="251" w:lineRule="auto"/>
        <w:tabs>
          <w:tab w:leader="none" w:pos="540" w:val="left"/>
        </w:tabs>
        <w:numPr>
          <w:ilvl w:val="1"/>
          <w:numId w:val="50"/>
        </w:numPr>
        <w:rPr>
          <w:rFonts w:ascii="Arial" w:cs="Arial" w:eastAsia="Arial" w:hAnsi="Arial"/>
          <w:sz w:val="12"/>
          <w:szCs w:val="12"/>
          <w:color w:val="00529B"/>
        </w:rPr>
      </w:pPr>
      <w:r>
        <w:rPr>
          <w:rFonts w:ascii="Arial" w:cs="Arial" w:eastAsia="Arial" w:hAnsi="Arial"/>
          <w:sz w:val="12"/>
          <w:szCs w:val="12"/>
          <w:color w:val="auto"/>
        </w:rPr>
        <w:t>Occidental deployed several emission reduction projects in the Permian Basin in 2022, including: (1) retrofitting or removing from our inventory 169 high-bleed pneumatic control devices in the Permian Basin, or over 76% of those devices we operated at the beginning of 2022; (2) replacing four low-pressure flares with Vapor Recovery Units or Vapor Combustion Units and enhancing reliability of tank emissions control with backup units for critical facilities; (3) tying an authorized gas vent in an enhanced oil recovery plant into a closed piping system that delivers the gas to a nearby plant where it is consumed as fuel; (4) reducing non-routine flaring through the installation of additional gas takeaway optionality and temporary gas storage</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27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000750" cy="12827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205" w:lineRule="exact"/>
        <w:rPr>
          <w:sz w:val="20"/>
          <w:szCs w:val="20"/>
          <w:color w:val="auto"/>
        </w:rPr>
      </w:pPr>
    </w:p>
    <w:p>
      <w:pPr>
        <w:ind w:left="540" w:right="420"/>
        <w:spacing w:after="0" w:line="243" w:lineRule="auto"/>
        <w:rPr>
          <w:sz w:val="20"/>
          <w:szCs w:val="20"/>
          <w:color w:val="auto"/>
        </w:rPr>
      </w:pPr>
      <w:r>
        <w:rPr>
          <w:rFonts w:ascii="Arial" w:cs="Arial" w:eastAsia="Arial" w:hAnsi="Arial"/>
          <w:sz w:val="13"/>
          <w:szCs w:val="13"/>
          <w:color w:val="auto"/>
        </w:rPr>
        <w:t>wells to better manage gas during downstream plant or pipeline outages; and (5) completing 15 production facility consolidation projects to minimize the company’s surface infrastructure footprint and decommission existing emitting equipment (e.g., tanks, compressors and pneumatic devices) at the sites that were tied into the consolidated facilities.</w:t>
      </w:r>
    </w:p>
    <w:p>
      <w:pPr>
        <w:spacing w:after="0" w:line="89" w:lineRule="exact"/>
        <w:rPr>
          <w:sz w:val="20"/>
          <w:szCs w:val="20"/>
          <w:color w:val="auto"/>
        </w:rPr>
      </w:pPr>
    </w:p>
    <w:p>
      <w:pPr>
        <w:ind w:left="540" w:hanging="276"/>
        <w:spacing w:after="0"/>
        <w:tabs>
          <w:tab w:leader="none" w:pos="540" w:val="left"/>
        </w:tabs>
        <w:numPr>
          <w:ilvl w:val="1"/>
          <w:numId w:val="51"/>
        </w:numPr>
        <w:rPr>
          <w:rFonts w:ascii="Arial" w:cs="Arial" w:eastAsia="Arial" w:hAnsi="Arial"/>
          <w:sz w:val="13"/>
          <w:szCs w:val="13"/>
          <w:color w:val="00529B"/>
        </w:rPr>
      </w:pPr>
      <w:r>
        <w:rPr>
          <w:rFonts w:ascii="Arial" w:cs="Arial" w:eastAsia="Arial" w:hAnsi="Arial"/>
          <w:sz w:val="13"/>
          <w:szCs w:val="13"/>
          <w:color w:val="auto"/>
        </w:rPr>
        <w:t>Occidental achieved a 44% reduction in routine flaring in 2022 from our 2020 baseline. Occidental also succeeded in achieving zero routine flaring in its U.S. operations in 2022.</w:t>
      </w:r>
    </w:p>
    <w:p>
      <w:pPr>
        <w:spacing w:after="0" w:line="107" w:lineRule="exact"/>
        <w:rPr>
          <w:rFonts w:ascii="Arial" w:cs="Arial" w:eastAsia="Arial" w:hAnsi="Arial"/>
          <w:sz w:val="13"/>
          <w:szCs w:val="13"/>
          <w:color w:val="00529B"/>
        </w:rPr>
      </w:pPr>
    </w:p>
    <w:p>
      <w:pPr>
        <w:ind w:left="300" w:hanging="292"/>
        <w:spacing w:after="0"/>
        <w:tabs>
          <w:tab w:leader="none" w:pos="300" w:val="left"/>
        </w:tabs>
        <w:numPr>
          <w:ilvl w:val="0"/>
          <w:numId w:val="51"/>
        </w:numPr>
        <w:rPr>
          <w:rFonts w:ascii="Arial" w:cs="Arial" w:eastAsia="Arial" w:hAnsi="Arial"/>
          <w:sz w:val="10"/>
          <w:szCs w:val="10"/>
          <w:color w:val="auto"/>
        </w:rPr>
      </w:pPr>
      <w:r>
        <w:rPr>
          <w:rFonts w:ascii="Arial" w:cs="Arial" w:eastAsia="Arial" w:hAnsi="Arial"/>
          <w:sz w:val="13"/>
          <w:szCs w:val="13"/>
          <w:color w:val="auto"/>
        </w:rPr>
        <w:t>The Compensation Committee also determined that the target metrics for carbon ventures reduction projects were met above target, with the rationale summarized below for each target:</w:t>
      </w:r>
    </w:p>
    <w:p>
      <w:pPr>
        <w:spacing w:after="0" w:line="120" w:lineRule="exact"/>
        <w:rPr>
          <w:rFonts w:ascii="Arial" w:cs="Arial" w:eastAsia="Arial" w:hAnsi="Arial"/>
          <w:sz w:val="10"/>
          <w:szCs w:val="10"/>
          <w:color w:val="auto"/>
        </w:rPr>
      </w:pPr>
    </w:p>
    <w:p>
      <w:pPr>
        <w:ind w:left="540" w:right="460" w:hanging="276"/>
        <w:spacing w:after="0" w:line="243" w:lineRule="auto"/>
        <w:tabs>
          <w:tab w:leader="none" w:pos="540" w:val="left"/>
        </w:tabs>
        <w:numPr>
          <w:ilvl w:val="1"/>
          <w:numId w:val="51"/>
        </w:numPr>
        <w:rPr>
          <w:rFonts w:ascii="Arial" w:cs="Arial" w:eastAsia="Arial" w:hAnsi="Arial"/>
          <w:sz w:val="13"/>
          <w:szCs w:val="13"/>
          <w:color w:val="00529B"/>
        </w:rPr>
      </w:pPr>
      <w:r>
        <w:rPr>
          <w:rFonts w:ascii="Arial" w:cs="Arial" w:eastAsia="Arial" w:hAnsi="Arial"/>
          <w:sz w:val="13"/>
          <w:szCs w:val="13"/>
          <w:color w:val="auto"/>
        </w:rPr>
        <w:t>For DAC 1, Occidental completed front-end engineering and design (FEED) in June 2022, received approval to commence construction and commenced construction with site and road preparation activities in September 2022.</w:t>
      </w:r>
    </w:p>
    <w:p>
      <w:pPr>
        <w:spacing w:after="0" w:line="88" w:lineRule="exact"/>
        <w:rPr>
          <w:rFonts w:ascii="Arial" w:cs="Arial" w:eastAsia="Arial" w:hAnsi="Arial"/>
          <w:sz w:val="13"/>
          <w:szCs w:val="13"/>
          <w:color w:val="00529B"/>
        </w:rPr>
      </w:pPr>
    </w:p>
    <w:p>
      <w:pPr>
        <w:ind w:left="540" w:right="100" w:hanging="276"/>
        <w:spacing w:after="0" w:line="243" w:lineRule="auto"/>
        <w:tabs>
          <w:tab w:leader="none" w:pos="540" w:val="left"/>
        </w:tabs>
        <w:numPr>
          <w:ilvl w:val="1"/>
          <w:numId w:val="51"/>
        </w:numPr>
        <w:rPr>
          <w:rFonts w:ascii="Arial" w:cs="Arial" w:eastAsia="Arial" w:hAnsi="Arial"/>
          <w:sz w:val="13"/>
          <w:szCs w:val="13"/>
          <w:color w:val="00529B"/>
        </w:rPr>
      </w:pPr>
      <w:r>
        <w:rPr>
          <w:rFonts w:ascii="Arial" w:cs="Arial" w:eastAsia="Arial" w:hAnsi="Arial"/>
          <w:sz w:val="13"/>
          <w:szCs w:val="13"/>
          <w:color w:val="auto"/>
        </w:rPr>
        <w:t>Certain Occidental subsidiaries secured more than 400 square miles of pore space and land in multiple locations along the Gulf Coast. Senior management estimates that this pore space has the capacity to store up to 6 billion metric tons of carbon dioxide (CO2) that could accommodate up to 50 DAC plants in addition to point source emissions projects.</w:t>
      </w:r>
    </w:p>
    <w:p>
      <w:pPr>
        <w:spacing w:after="0" w:line="88" w:lineRule="exact"/>
        <w:rPr>
          <w:rFonts w:ascii="Arial" w:cs="Arial" w:eastAsia="Arial" w:hAnsi="Arial"/>
          <w:sz w:val="13"/>
          <w:szCs w:val="13"/>
          <w:color w:val="00529B"/>
        </w:rPr>
      </w:pPr>
    </w:p>
    <w:p>
      <w:pPr>
        <w:ind w:left="540" w:hanging="276"/>
        <w:spacing w:after="0" w:line="243" w:lineRule="auto"/>
        <w:tabs>
          <w:tab w:leader="none" w:pos="540" w:val="left"/>
        </w:tabs>
        <w:numPr>
          <w:ilvl w:val="1"/>
          <w:numId w:val="51"/>
        </w:numPr>
        <w:rPr>
          <w:rFonts w:ascii="Arial" w:cs="Arial" w:eastAsia="Arial" w:hAnsi="Arial"/>
          <w:sz w:val="13"/>
          <w:szCs w:val="13"/>
          <w:color w:val="00529B"/>
        </w:rPr>
      </w:pPr>
      <w:r>
        <w:rPr>
          <w:rFonts w:ascii="Arial" w:cs="Arial" w:eastAsia="Arial" w:hAnsi="Arial"/>
          <w:sz w:val="13"/>
          <w:szCs w:val="13"/>
          <w:color w:val="auto"/>
        </w:rPr>
        <w:t>Occidental, through its subsidiaries, entered into three offtake agreements for carbon removal credits (i.e., with Airbus, SK Trading International and the Houston Texans) and invested in carbon product utilization technologies (e.g., Carbon Upcycling (cement) and Cemvita (sustainable aviation fuel)).</w:t>
      </w:r>
    </w:p>
    <w:p>
      <w:pPr>
        <w:spacing w:after="0" w:line="88" w:lineRule="exact"/>
        <w:rPr>
          <w:rFonts w:ascii="Arial" w:cs="Arial" w:eastAsia="Arial" w:hAnsi="Arial"/>
          <w:sz w:val="13"/>
          <w:szCs w:val="13"/>
          <w:color w:val="00529B"/>
        </w:rPr>
      </w:pPr>
    </w:p>
    <w:p>
      <w:pPr>
        <w:ind w:left="540" w:right="20" w:hanging="276"/>
        <w:spacing w:after="0" w:line="251" w:lineRule="auto"/>
        <w:tabs>
          <w:tab w:leader="none" w:pos="540" w:val="left"/>
        </w:tabs>
        <w:numPr>
          <w:ilvl w:val="1"/>
          <w:numId w:val="51"/>
        </w:numPr>
        <w:rPr>
          <w:rFonts w:ascii="Arial" w:cs="Arial" w:eastAsia="Arial" w:hAnsi="Arial"/>
          <w:sz w:val="12"/>
          <w:szCs w:val="12"/>
          <w:color w:val="00529B"/>
        </w:rPr>
      </w:pPr>
      <w:r>
        <w:rPr>
          <w:rFonts w:ascii="Arial" w:cs="Arial" w:eastAsia="Arial" w:hAnsi="Arial"/>
          <w:sz w:val="12"/>
          <w:szCs w:val="12"/>
          <w:color w:val="auto"/>
        </w:rPr>
        <w:t>ERM Certification and Verification Services, Inc. issued an Independent Assurance Statement in October 2022 reporting its limited assurance verification process of the company’s Scope 1, Scope 2 and Scope 3 (Categories 9, 10 and 11) emissions, total GHG emissions and methane emissions individually and by business segment for 2021 and total GHG emissions individually and by business segment for 2020 and 2019 as disclosed on Occidental’s website at https://www.oxy.com/globalassets/documents/sustainability/ERMCVS-assurance-statement-Oxy.pdf. Trinity Consultants also completed its review of 2019 through 2021 GHG emissions estimates for Occidental’s Gulf of Mexico operations in September 2022.</w:t>
      </w:r>
    </w:p>
    <w:p>
      <w:pPr>
        <w:spacing w:after="0" w:line="177"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b w:val="1"/>
          <w:bCs w:val="1"/>
          <w:color w:val="auto"/>
        </w:rPr>
        <w:t xml:space="preserve">Annual Cash Incentive Award – Individual Performance Portion. </w:t>
      </w:r>
      <w:r>
        <w:rPr>
          <w:rFonts w:ascii="Arial" w:cs="Arial" w:eastAsia="Arial" w:hAnsi="Arial"/>
          <w:sz w:val="15"/>
          <w:szCs w:val="15"/>
          <w:color w:val="auto"/>
        </w:rPr>
        <w:t>The individual performance portion of the ACI award (20% of the target ACI award for Ms. Hollub</w:t>
      </w:r>
      <w:r>
        <w:rPr>
          <w:rFonts w:ascii="Arial" w:cs="Arial" w:eastAsia="Arial" w:hAnsi="Arial"/>
          <w:sz w:val="15"/>
          <w:szCs w:val="15"/>
          <w:b w:val="1"/>
          <w:bCs w:val="1"/>
          <w:color w:val="auto"/>
        </w:rPr>
        <w:t xml:space="preserve"> </w:t>
      </w:r>
      <w:r>
        <w:rPr>
          <w:rFonts w:ascii="Arial" w:cs="Arial" w:eastAsia="Arial" w:hAnsi="Arial"/>
          <w:sz w:val="15"/>
          <w:szCs w:val="15"/>
          <w:color w:val="auto"/>
        </w:rPr>
        <w:t>and 40% for the other NEOs) links compensation directly to the performance of the executive. In evaluating Ms. Hollub’s performance, the Compensation Committee principally considered the following performance goals:</w:t>
      </w:r>
    </w:p>
    <w:p>
      <w:pPr>
        <w:spacing w:after="0" w:line="174" w:lineRule="exact"/>
        <w:rPr>
          <w:sz w:val="20"/>
          <w:szCs w:val="20"/>
          <w:color w:val="auto"/>
        </w:rPr>
      </w:pPr>
    </w:p>
    <w:p>
      <w:pPr>
        <w:ind w:left="300" w:right="20" w:hanging="292"/>
        <w:spacing w:after="0" w:line="264" w:lineRule="auto"/>
        <w:tabs>
          <w:tab w:leader="none" w:pos="300" w:val="left"/>
        </w:tabs>
        <w:numPr>
          <w:ilvl w:val="0"/>
          <w:numId w:val="52"/>
        </w:numPr>
        <w:rPr>
          <w:rFonts w:ascii="Arial" w:cs="Arial" w:eastAsia="Arial" w:hAnsi="Arial"/>
          <w:sz w:val="15"/>
          <w:szCs w:val="15"/>
          <w:color w:val="00529B"/>
        </w:rPr>
      </w:pPr>
      <w:r>
        <w:rPr>
          <w:rFonts w:ascii="Arial" w:cs="Arial" w:eastAsia="Arial" w:hAnsi="Arial"/>
          <w:sz w:val="15"/>
          <w:szCs w:val="15"/>
          <w:color w:val="auto"/>
        </w:rPr>
        <w:t>Maintain focus on Occidental’s commitment to safety, health, the environment, sustainability, diversity, governance, social responsibility and the highest standards of ethical conduct and continue to foster a collaborative culture;</w:t>
      </w:r>
    </w:p>
    <w:p>
      <w:pPr>
        <w:spacing w:after="0" w:line="106" w:lineRule="exact"/>
        <w:rPr>
          <w:rFonts w:ascii="Arial" w:cs="Arial" w:eastAsia="Arial" w:hAnsi="Arial"/>
          <w:sz w:val="15"/>
          <w:szCs w:val="15"/>
          <w:color w:val="00529B"/>
        </w:rPr>
      </w:pPr>
    </w:p>
    <w:p>
      <w:pPr>
        <w:ind w:left="300" w:hanging="292"/>
        <w:spacing w:after="0"/>
        <w:tabs>
          <w:tab w:leader="none" w:pos="300" w:val="left"/>
        </w:tabs>
        <w:numPr>
          <w:ilvl w:val="0"/>
          <w:numId w:val="52"/>
        </w:numPr>
        <w:rPr>
          <w:rFonts w:ascii="Arial" w:cs="Arial" w:eastAsia="Arial" w:hAnsi="Arial"/>
          <w:sz w:val="15"/>
          <w:szCs w:val="15"/>
          <w:color w:val="00529B"/>
        </w:rPr>
      </w:pPr>
      <w:r>
        <w:rPr>
          <w:rFonts w:ascii="Arial" w:cs="Arial" w:eastAsia="Arial" w:hAnsi="Arial"/>
          <w:sz w:val="15"/>
          <w:szCs w:val="15"/>
          <w:color w:val="auto"/>
        </w:rPr>
        <w:t>Balance capital allocation, total spend and asset divestitures to optimize cash flow generation to further reduce debt; and</w:t>
      </w:r>
    </w:p>
    <w:p>
      <w:pPr>
        <w:spacing w:after="0" w:line="151" w:lineRule="exact"/>
        <w:rPr>
          <w:rFonts w:ascii="Arial" w:cs="Arial" w:eastAsia="Arial" w:hAnsi="Arial"/>
          <w:sz w:val="15"/>
          <w:szCs w:val="15"/>
          <w:color w:val="00529B"/>
        </w:rPr>
      </w:pPr>
    </w:p>
    <w:p>
      <w:pPr>
        <w:ind w:left="300" w:right="520" w:hanging="292"/>
        <w:spacing w:after="0" w:line="264" w:lineRule="auto"/>
        <w:tabs>
          <w:tab w:leader="none" w:pos="300" w:val="left"/>
        </w:tabs>
        <w:numPr>
          <w:ilvl w:val="0"/>
          <w:numId w:val="52"/>
        </w:numPr>
        <w:rPr>
          <w:rFonts w:ascii="Arial" w:cs="Arial" w:eastAsia="Arial" w:hAnsi="Arial"/>
          <w:sz w:val="15"/>
          <w:szCs w:val="15"/>
          <w:color w:val="00529B"/>
        </w:rPr>
      </w:pPr>
      <w:r>
        <w:rPr>
          <w:rFonts w:ascii="Arial" w:cs="Arial" w:eastAsia="Arial" w:hAnsi="Arial"/>
          <w:sz w:val="15"/>
          <w:szCs w:val="15"/>
          <w:color w:val="auto"/>
        </w:rPr>
        <w:t>Focus on optimizing the long-term return on invested capital by investing strategically within Occidental’s portfolio of assets, with an emphasis on life cycle development costs, including finding and development costs and long-term operating costs.</w:t>
      </w:r>
    </w:p>
    <w:p>
      <w:pPr>
        <w:spacing w:after="0" w:line="161"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For a detailed discussion of the Compensation Committee’s considerations with respect to each NEO’s individual performance, please see “Individual Compensation Considerations” beginning on page 52.</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Long-Term Incentive Award Program</w:t>
      </w:r>
    </w:p>
    <w:p>
      <w:pPr>
        <w:spacing w:after="0" w:line="239"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The majority of NEO compensation is determined by Occidental’s long-term performance. In 2022, similar to 2020 and 2021, the long-term incentive award program included a performance-based TSR award (25%), a performance-based CROCE award (25%), a time-based RSU award (25%) and a time-based NQSO award (25%), each of which is payable solely in shares of common stock. The long-term incentive awards are intended to motivate and incentivize executives to achieve results (including stock price performance) that are consistent with Occidental’s strategic business objectives. The Compensation Committee believes that long-term compensation should represent the largest portion of each NEO’s total compensation package and that the levels of payout ultimately achieved should reflect Occidental’s performance, both relative to peer company performance and on an absolute basis. During the process of determining the NEOs’ long-term incentive compensation packages for 2022, the Compensation Committee evaluated many factors, including:</w:t>
      </w:r>
    </w:p>
    <w:p>
      <w:pPr>
        <w:spacing w:after="0" w:line="178"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5"/>
          <w:szCs w:val="15"/>
          <w:color w:val="00529B"/>
        </w:rPr>
      </w:pPr>
      <w:r>
        <w:rPr>
          <w:rFonts w:ascii="Arial" w:cs="Arial" w:eastAsia="Arial" w:hAnsi="Arial"/>
          <w:sz w:val="15"/>
          <w:szCs w:val="15"/>
          <w:color w:val="auto"/>
        </w:rPr>
        <w:t>Alignment of executive officer pay to achieving long-term growth in shareholder value;</w:t>
      </w:r>
    </w:p>
    <w:p>
      <w:pPr>
        <w:spacing w:after="0" w:line="151" w:lineRule="exact"/>
        <w:rPr>
          <w:rFonts w:ascii="Arial" w:cs="Arial" w:eastAsia="Arial" w:hAnsi="Arial"/>
          <w:sz w:val="15"/>
          <w:szCs w:val="15"/>
          <w:color w:val="00529B"/>
        </w:rPr>
      </w:pPr>
    </w:p>
    <w:p>
      <w:pPr>
        <w:ind w:left="300" w:hanging="292"/>
        <w:spacing w:after="0"/>
        <w:tabs>
          <w:tab w:leader="none" w:pos="300" w:val="left"/>
        </w:tabs>
        <w:numPr>
          <w:ilvl w:val="0"/>
          <w:numId w:val="53"/>
        </w:numPr>
        <w:rPr>
          <w:rFonts w:ascii="Arial" w:cs="Arial" w:eastAsia="Arial" w:hAnsi="Arial"/>
          <w:sz w:val="15"/>
          <w:szCs w:val="15"/>
          <w:color w:val="00529B"/>
        </w:rPr>
      </w:pPr>
      <w:r>
        <w:rPr>
          <w:rFonts w:ascii="Arial" w:cs="Arial" w:eastAsia="Arial" w:hAnsi="Arial"/>
          <w:sz w:val="15"/>
          <w:szCs w:val="15"/>
          <w:color w:val="auto"/>
        </w:rPr>
        <w:t>Linkage of any above-target payouts to superior performance and absolute returns;</w:t>
      </w:r>
    </w:p>
    <w:p>
      <w:pPr>
        <w:spacing w:after="0" w:line="151" w:lineRule="exact"/>
        <w:rPr>
          <w:rFonts w:ascii="Arial" w:cs="Arial" w:eastAsia="Arial" w:hAnsi="Arial"/>
          <w:sz w:val="15"/>
          <w:szCs w:val="15"/>
          <w:color w:val="00529B"/>
        </w:rPr>
      </w:pPr>
    </w:p>
    <w:p>
      <w:pPr>
        <w:ind w:left="300" w:hanging="292"/>
        <w:spacing w:after="0"/>
        <w:tabs>
          <w:tab w:leader="none" w:pos="300" w:val="left"/>
        </w:tabs>
        <w:numPr>
          <w:ilvl w:val="0"/>
          <w:numId w:val="53"/>
        </w:numPr>
        <w:rPr>
          <w:rFonts w:ascii="Arial" w:cs="Arial" w:eastAsia="Arial" w:hAnsi="Arial"/>
          <w:sz w:val="15"/>
          <w:szCs w:val="15"/>
          <w:color w:val="00529B"/>
        </w:rPr>
      </w:pPr>
      <w:r>
        <w:rPr>
          <w:rFonts w:ascii="Arial" w:cs="Arial" w:eastAsia="Arial" w:hAnsi="Arial"/>
          <w:sz w:val="15"/>
          <w:szCs w:val="15"/>
          <w:color w:val="auto"/>
        </w:rPr>
        <w:t>Shareholder feedback regarding long-term compensation metrics;</w:t>
      </w:r>
    </w:p>
    <w:p>
      <w:pPr>
        <w:spacing w:after="0" w:line="151" w:lineRule="exact"/>
        <w:rPr>
          <w:rFonts w:ascii="Arial" w:cs="Arial" w:eastAsia="Arial" w:hAnsi="Arial"/>
          <w:sz w:val="15"/>
          <w:szCs w:val="15"/>
          <w:color w:val="00529B"/>
        </w:rPr>
      </w:pPr>
    </w:p>
    <w:p>
      <w:pPr>
        <w:ind w:left="300" w:hanging="292"/>
        <w:spacing w:after="0"/>
        <w:tabs>
          <w:tab w:leader="none" w:pos="300" w:val="left"/>
        </w:tabs>
        <w:numPr>
          <w:ilvl w:val="0"/>
          <w:numId w:val="53"/>
        </w:numPr>
        <w:rPr>
          <w:rFonts w:ascii="Arial" w:cs="Arial" w:eastAsia="Arial" w:hAnsi="Arial"/>
          <w:sz w:val="15"/>
          <w:szCs w:val="15"/>
          <w:color w:val="00529B"/>
        </w:rPr>
      </w:pPr>
      <w:r>
        <w:rPr>
          <w:rFonts w:ascii="Arial" w:cs="Arial" w:eastAsia="Arial" w:hAnsi="Arial"/>
          <w:sz w:val="15"/>
          <w:szCs w:val="15"/>
          <w:color w:val="auto"/>
        </w:rPr>
        <w:t>Competitiveness with the compensation programs of peer companies;</w:t>
      </w:r>
    </w:p>
    <w:p>
      <w:pPr>
        <w:spacing w:after="0" w:line="151" w:lineRule="exact"/>
        <w:rPr>
          <w:rFonts w:ascii="Arial" w:cs="Arial" w:eastAsia="Arial" w:hAnsi="Arial"/>
          <w:sz w:val="15"/>
          <w:szCs w:val="15"/>
          <w:color w:val="00529B"/>
        </w:rPr>
      </w:pPr>
    </w:p>
    <w:p>
      <w:pPr>
        <w:ind w:left="300" w:hanging="292"/>
        <w:spacing w:after="0"/>
        <w:tabs>
          <w:tab w:leader="none" w:pos="300" w:val="left"/>
        </w:tabs>
        <w:numPr>
          <w:ilvl w:val="0"/>
          <w:numId w:val="53"/>
        </w:numPr>
        <w:rPr>
          <w:rFonts w:ascii="Arial" w:cs="Arial" w:eastAsia="Arial" w:hAnsi="Arial"/>
          <w:sz w:val="15"/>
          <w:szCs w:val="15"/>
          <w:color w:val="00529B"/>
        </w:rPr>
      </w:pPr>
      <w:r>
        <w:rPr>
          <w:rFonts w:ascii="Arial" w:cs="Arial" w:eastAsia="Arial" w:hAnsi="Arial"/>
          <w:sz w:val="15"/>
          <w:szCs w:val="15"/>
          <w:color w:val="auto"/>
        </w:rPr>
        <w:t>Impact of commodity prices on Occidental’s stock price and financial performance; and</w:t>
      </w:r>
    </w:p>
    <w:p>
      <w:pPr>
        <w:spacing w:after="0" w:line="151" w:lineRule="exact"/>
        <w:rPr>
          <w:rFonts w:ascii="Arial" w:cs="Arial" w:eastAsia="Arial" w:hAnsi="Arial"/>
          <w:sz w:val="15"/>
          <w:szCs w:val="15"/>
          <w:color w:val="00529B"/>
        </w:rPr>
      </w:pPr>
    </w:p>
    <w:p>
      <w:pPr>
        <w:ind w:left="300" w:hanging="292"/>
        <w:spacing w:after="0"/>
        <w:tabs>
          <w:tab w:leader="none" w:pos="300" w:val="left"/>
        </w:tabs>
        <w:numPr>
          <w:ilvl w:val="0"/>
          <w:numId w:val="53"/>
        </w:numPr>
        <w:rPr>
          <w:rFonts w:ascii="Arial" w:cs="Arial" w:eastAsia="Arial" w:hAnsi="Arial"/>
          <w:sz w:val="15"/>
          <w:szCs w:val="15"/>
          <w:color w:val="00529B"/>
        </w:rPr>
      </w:pPr>
      <w:r>
        <w:rPr>
          <w:rFonts w:ascii="Arial" w:cs="Arial" w:eastAsia="Arial" w:hAnsi="Arial"/>
          <w:sz w:val="15"/>
          <w:szCs w:val="15"/>
          <w:color w:val="auto"/>
        </w:rPr>
        <w:t>Allocation of total compensation between long-term and short-term components.</w:t>
      </w:r>
    </w:p>
    <w:p>
      <w:pPr>
        <w:spacing w:after="0" w:line="204"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b w:val="1"/>
          <w:bCs w:val="1"/>
          <w:color w:val="auto"/>
        </w:rPr>
        <w:t xml:space="preserve">2022 Long-Term Incentive Award Program. </w:t>
      </w:r>
      <w:r>
        <w:rPr>
          <w:rFonts w:ascii="Arial" w:cs="Arial" w:eastAsia="Arial" w:hAnsi="Arial"/>
          <w:sz w:val="15"/>
          <w:szCs w:val="15"/>
          <w:color w:val="auto"/>
        </w:rPr>
        <w:t>The 2022 long-term incentive program consisted of two PSU awards (one based on Occidental’s relative TSR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other based on absolute CROCE performance), a time-based RSU award and a time-based NQSO award as indicated below. Forfeiture and change in control provisions applicable to the awards are discussed in more detail in the Potential Payments upon Termination or Change in Control table and the accompanying footnotes, beginning on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2743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2022 Long-Term Incentive Award Mix at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162560</wp:posOffset>
            </wp:positionV>
            <wp:extent cx="2014220" cy="13804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0142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b w:val="1"/>
          <w:bCs w:val="1"/>
          <w:color w:val="auto"/>
        </w:rPr>
        <w:t xml:space="preserve">Total Shareholder Return (TSR) Award. </w:t>
      </w:r>
      <w:r>
        <w:rPr>
          <w:rFonts w:ascii="Arial" w:cs="Arial" w:eastAsia="Arial" w:hAnsi="Arial"/>
          <w:sz w:val="15"/>
          <w:szCs w:val="15"/>
          <w:color w:val="auto"/>
        </w:rPr>
        <w:t>The Compensation Committee believes that the comparison of Occidental’s three-year TSR to peer companies’ returns</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same period is an objective external measure of Occidental’s effectiveness in translating its results into shareholder returns. TSR is the change in price of a share of common stock plus reinvested dividends, over a specified period of time, and is an indicator of management’s achievement of long-term growth in shareholder value. Payout of the TSR award is based on Occidental’s three-year TSR as compared to the three-year TSR of the performance peers identified on page 45. For the 2022 TSR award, the Compensation Committee retained the S&amp;P 500 index as a performance peer. The TSR award is denominated in PSUs, each of which is equivalent to one share of common stock. The percentage of such number of PSUs that will be payable at the end of the three-year performance period, which began January 1, 2022 and ends December 31, 2024, will depend on Occidental’s relative and absolute TSR performance.</w:t>
      </w:r>
    </w:p>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If Occidental’s absolute TSR is negative over the performance period, then, irrespective of Occidental’s ranking within the peer group, the payout of the TSR award is capped at no more than target. A table illustrating the potential payout of the TSR award based on relative and absolute TSR performance is set forth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240" w:type="dxa"/>
            <w:vAlign w:val="bottom"/>
            <w:tcBorders>
              <w:bottom w:val="single" w:sz="8" w:color="00529B"/>
            </w:tcBorders>
          </w:tcPr>
          <w:p>
            <w:pPr>
              <w:ind w:left="40"/>
              <w:spacing w:after="0"/>
              <w:rPr>
                <w:sz w:val="20"/>
                <w:szCs w:val="20"/>
                <w:color w:val="auto"/>
              </w:rPr>
            </w:pPr>
            <w:r>
              <w:rPr>
                <w:rFonts w:ascii="Arial" w:cs="Arial" w:eastAsia="Arial" w:hAnsi="Arial"/>
                <w:sz w:val="14"/>
                <w:szCs w:val="14"/>
                <w:b w:val="1"/>
                <w:bCs w:val="1"/>
                <w:color w:val="00529B"/>
              </w:rPr>
              <w:t>TSR Ranking</w:t>
            </w:r>
          </w:p>
        </w:tc>
        <w:tc>
          <w:tcPr>
            <w:tcW w:w="374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00529B"/>
              </w:rPr>
              <w:t>% of Target PSUs Earned</w:t>
            </w:r>
          </w:p>
        </w:tc>
      </w:tr>
      <w:tr>
        <w:trPr>
          <w:trHeight w:val="215"/>
        </w:trPr>
        <w:tc>
          <w:tcPr>
            <w:tcW w:w="524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#1</w:t>
            </w:r>
          </w:p>
        </w:tc>
        <w:tc>
          <w:tcPr>
            <w:tcW w:w="3740" w:type="dxa"/>
            <w:vAlign w:val="bottom"/>
            <w:tcBorders>
              <w:bottom w:val="single" w:sz="8" w:color="D2D3D4"/>
            </w:tcBorders>
          </w:tcPr>
          <w:p>
            <w:pPr>
              <w:jc w:val="right"/>
              <w:spacing w:after="0"/>
              <w:rPr>
                <w:sz w:val="20"/>
                <w:szCs w:val="20"/>
                <w:color w:val="auto"/>
              </w:rPr>
            </w:pPr>
            <w:r>
              <w:rPr>
                <w:rFonts w:ascii="Arial" w:cs="Arial" w:eastAsia="Arial" w:hAnsi="Arial"/>
                <w:sz w:val="14"/>
                <w:szCs w:val="14"/>
                <w:b w:val="1"/>
                <w:bCs w:val="1"/>
                <w:color w:val="auto"/>
              </w:rPr>
              <w:t>200%</w:t>
            </w:r>
          </w:p>
        </w:tc>
      </w:tr>
      <w:tr>
        <w:trPr>
          <w:trHeight w:val="210"/>
        </w:trPr>
        <w:tc>
          <w:tcPr>
            <w:tcW w:w="524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#2</w:t>
            </w:r>
          </w:p>
        </w:tc>
        <w:tc>
          <w:tcPr>
            <w:tcW w:w="3740" w:type="dxa"/>
            <w:vAlign w:val="bottom"/>
            <w:tcBorders>
              <w:bottom w:val="single" w:sz="8" w:color="D2D3D4"/>
            </w:tcBorders>
          </w:tcPr>
          <w:p>
            <w:pPr>
              <w:jc w:val="right"/>
              <w:spacing w:after="0"/>
              <w:rPr>
                <w:sz w:val="20"/>
                <w:szCs w:val="20"/>
                <w:color w:val="auto"/>
              </w:rPr>
            </w:pPr>
            <w:r>
              <w:rPr>
                <w:rFonts w:ascii="Arial" w:cs="Arial" w:eastAsia="Arial" w:hAnsi="Arial"/>
                <w:sz w:val="14"/>
                <w:szCs w:val="14"/>
                <w:b w:val="1"/>
                <w:bCs w:val="1"/>
                <w:color w:val="auto"/>
              </w:rPr>
              <w:t>180%</w:t>
            </w:r>
          </w:p>
        </w:tc>
      </w:tr>
      <w:tr>
        <w:trPr>
          <w:trHeight w:val="209"/>
        </w:trPr>
        <w:tc>
          <w:tcPr>
            <w:tcW w:w="524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#3-#7</w:t>
            </w:r>
          </w:p>
        </w:tc>
        <w:tc>
          <w:tcPr>
            <w:tcW w:w="3740" w:type="dxa"/>
            <w:vAlign w:val="bottom"/>
            <w:tcBorders>
              <w:bottom w:val="single" w:sz="8" w:color="D2D3D4"/>
            </w:tcBorders>
          </w:tcPr>
          <w:p>
            <w:pPr>
              <w:jc w:val="right"/>
              <w:spacing w:after="0"/>
              <w:rPr>
                <w:sz w:val="20"/>
                <w:szCs w:val="20"/>
                <w:color w:val="auto"/>
              </w:rPr>
            </w:pPr>
            <w:r>
              <w:rPr>
                <w:rFonts w:ascii="Arial" w:cs="Arial" w:eastAsia="Arial" w:hAnsi="Arial"/>
                <w:sz w:val="14"/>
                <w:szCs w:val="14"/>
                <w:color w:val="auto"/>
              </w:rPr>
              <w:t xml:space="preserve">Linearly interpolated between </w:t>
            </w:r>
            <w:r>
              <w:rPr>
                <w:rFonts w:ascii="Arial" w:cs="Arial" w:eastAsia="Arial" w:hAnsi="Arial"/>
                <w:sz w:val="14"/>
                <w:szCs w:val="14"/>
                <w:b w:val="1"/>
                <w:bCs w:val="1"/>
                <w:color w:val="auto"/>
              </w:rPr>
              <w:t>25%</w:t>
            </w:r>
            <w:r>
              <w:rPr>
                <w:rFonts w:ascii="Arial" w:cs="Arial" w:eastAsia="Arial" w:hAnsi="Arial"/>
                <w:sz w:val="14"/>
                <w:szCs w:val="14"/>
                <w:color w:val="auto"/>
              </w:rPr>
              <w:t xml:space="preserve"> and </w:t>
            </w:r>
            <w:r>
              <w:rPr>
                <w:rFonts w:ascii="Arial" w:cs="Arial" w:eastAsia="Arial" w:hAnsi="Arial"/>
                <w:sz w:val="14"/>
                <w:szCs w:val="14"/>
                <w:b w:val="1"/>
                <w:bCs w:val="1"/>
                <w:color w:val="auto"/>
              </w:rPr>
              <w:t>180%</w:t>
            </w:r>
          </w:p>
        </w:tc>
      </w:tr>
      <w:tr>
        <w:trPr>
          <w:trHeight w:val="209"/>
        </w:trPr>
        <w:tc>
          <w:tcPr>
            <w:tcW w:w="524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#8</w:t>
            </w:r>
          </w:p>
        </w:tc>
        <w:tc>
          <w:tcPr>
            <w:tcW w:w="3740" w:type="dxa"/>
            <w:vAlign w:val="bottom"/>
            <w:tcBorders>
              <w:bottom w:val="single" w:sz="8" w:color="D2D3D4"/>
            </w:tcBorders>
          </w:tcPr>
          <w:p>
            <w:pPr>
              <w:jc w:val="right"/>
              <w:spacing w:after="0"/>
              <w:rPr>
                <w:sz w:val="20"/>
                <w:szCs w:val="20"/>
                <w:color w:val="auto"/>
              </w:rPr>
            </w:pPr>
            <w:r>
              <w:rPr>
                <w:rFonts w:ascii="Arial" w:cs="Arial" w:eastAsia="Arial" w:hAnsi="Arial"/>
                <w:sz w:val="14"/>
                <w:szCs w:val="14"/>
                <w:b w:val="1"/>
                <w:bCs w:val="1"/>
                <w:color w:val="auto"/>
              </w:rPr>
              <w:t>25%</w:t>
            </w:r>
          </w:p>
        </w:tc>
      </w:tr>
      <w:tr>
        <w:trPr>
          <w:trHeight w:val="218"/>
        </w:trPr>
        <w:tc>
          <w:tcPr>
            <w:tcW w:w="5240" w:type="dxa"/>
            <w:vAlign w:val="bottom"/>
            <w:tcBorders>
              <w:bottom w:val="single" w:sz="8" w:color="00529B"/>
            </w:tcBorders>
          </w:tcPr>
          <w:p>
            <w:pPr>
              <w:ind w:left="40"/>
              <w:spacing w:after="0"/>
              <w:rPr>
                <w:sz w:val="20"/>
                <w:szCs w:val="20"/>
                <w:color w:val="auto"/>
              </w:rPr>
            </w:pPr>
            <w:r>
              <w:rPr>
                <w:rFonts w:ascii="Arial" w:cs="Arial" w:eastAsia="Arial" w:hAnsi="Arial"/>
                <w:sz w:val="14"/>
                <w:szCs w:val="14"/>
                <w:color w:val="auto"/>
              </w:rPr>
              <w:t>#9</w:t>
            </w:r>
          </w:p>
        </w:tc>
        <w:tc>
          <w:tcPr>
            <w:tcW w:w="374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auto"/>
              </w:rPr>
              <w:t>0%</w:t>
            </w:r>
          </w:p>
        </w:tc>
      </w:tr>
      <w:tr>
        <w:trPr>
          <w:trHeight w:val="223"/>
        </w:trPr>
        <w:tc>
          <w:tcPr>
            <w:tcW w:w="5240" w:type="dxa"/>
            <w:vAlign w:val="bottom"/>
            <w:tcBorders>
              <w:bottom w:val="single" w:sz="8" w:color="00529B"/>
            </w:tcBorders>
          </w:tcPr>
          <w:p>
            <w:pPr>
              <w:ind w:left="40"/>
              <w:spacing w:after="0"/>
              <w:rPr>
                <w:sz w:val="20"/>
                <w:szCs w:val="20"/>
                <w:color w:val="auto"/>
              </w:rPr>
            </w:pPr>
            <w:r>
              <w:rPr>
                <w:rFonts w:ascii="Arial" w:cs="Arial" w:eastAsia="Arial" w:hAnsi="Arial"/>
                <w:sz w:val="14"/>
                <w:szCs w:val="14"/>
                <w:color w:val="auto"/>
              </w:rPr>
              <w:t>For payout above 100%, Occidental’s absolute TSR must be positive.</w:t>
            </w:r>
          </w:p>
        </w:tc>
        <w:tc>
          <w:tcPr>
            <w:tcW w:w="3740" w:type="dxa"/>
            <w:vAlign w:val="bottom"/>
            <w:tcBorders>
              <w:bottom w:val="single" w:sz="8" w:color="00529B"/>
            </w:tcBorders>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An example of the interpolation calculation if Occidental ranked fourth among its TSR performance peers with respect to the 2022 TSR awards is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520" w:type="dxa"/>
            <w:vAlign w:val="bottom"/>
            <w:tcBorders>
              <w:bottom w:val="single" w:sz="8" w:color="00529B"/>
            </w:tcBorders>
          </w:tcPr>
          <w:p>
            <w:pPr>
              <w:ind w:left="40"/>
              <w:spacing w:after="0"/>
              <w:rPr>
                <w:sz w:val="20"/>
                <w:szCs w:val="20"/>
                <w:color w:val="auto"/>
              </w:rPr>
            </w:pPr>
            <w:r>
              <w:rPr>
                <w:rFonts w:ascii="Arial" w:cs="Arial" w:eastAsia="Arial" w:hAnsi="Arial"/>
                <w:sz w:val="14"/>
                <w:szCs w:val="14"/>
                <w:b w:val="1"/>
                <w:bCs w:val="1"/>
                <w:color w:val="00529B"/>
              </w:rPr>
              <w:t>TSR Ranking</w:t>
            </w:r>
          </w:p>
        </w:tc>
        <w:tc>
          <w:tcPr>
            <w:tcW w:w="2720" w:type="dxa"/>
            <w:vAlign w:val="bottom"/>
            <w:tcBorders>
              <w:bottom w:val="single" w:sz="8" w:color="00529B"/>
            </w:tcBorders>
          </w:tcPr>
          <w:p>
            <w:pPr>
              <w:jc w:val="center"/>
              <w:ind w:left="1388"/>
              <w:spacing w:after="0"/>
              <w:rPr>
                <w:sz w:val="20"/>
                <w:szCs w:val="20"/>
                <w:color w:val="auto"/>
              </w:rPr>
            </w:pPr>
            <w:r>
              <w:rPr>
                <w:rFonts w:ascii="Arial" w:cs="Arial" w:eastAsia="Arial" w:hAnsi="Arial"/>
                <w:sz w:val="14"/>
                <w:szCs w:val="14"/>
                <w:b w:val="1"/>
                <w:bCs w:val="1"/>
                <w:color w:val="00529B"/>
              </w:rPr>
              <w:t>Formula Points</w:t>
            </w:r>
          </w:p>
        </w:tc>
        <w:tc>
          <w:tcPr>
            <w:tcW w:w="86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b w:val="1"/>
                <w:bCs w:val="1"/>
                <w:color w:val="00529B"/>
              </w:rPr>
              <w:t>Company</w:t>
            </w:r>
          </w:p>
        </w:tc>
        <w:tc>
          <w:tcPr>
            <w:tcW w:w="840" w:type="dxa"/>
            <w:vAlign w:val="bottom"/>
            <w:tcBorders>
              <w:bottom w:val="single" w:sz="8" w:color="00529B"/>
            </w:tcBorders>
          </w:tcPr>
          <w:p>
            <w:pPr>
              <w:jc w:val="right"/>
              <w:ind w:right="48"/>
              <w:spacing w:after="0"/>
              <w:rPr>
                <w:sz w:val="20"/>
                <w:szCs w:val="20"/>
                <w:color w:val="auto"/>
              </w:rPr>
            </w:pPr>
            <w:r>
              <w:rPr>
                <w:rFonts w:ascii="Arial" w:cs="Arial" w:eastAsia="Arial" w:hAnsi="Arial"/>
                <w:sz w:val="14"/>
                <w:szCs w:val="14"/>
                <w:b w:val="1"/>
                <w:bCs w:val="1"/>
                <w:color w:val="00529B"/>
              </w:rPr>
              <w:t>Standing</w:t>
            </w:r>
          </w:p>
        </w:tc>
        <w:tc>
          <w:tcPr>
            <w:tcW w:w="100" w:type="dxa"/>
            <w:vAlign w:val="bottom"/>
            <w:tcBorders>
              <w:bottom w:val="single" w:sz="8" w:color="00529B"/>
            </w:tcBorders>
          </w:tcPr>
          <w:p>
            <w:pPr>
              <w:spacing w:after="0"/>
              <w:rPr>
                <w:sz w:val="17"/>
                <w:szCs w:val="17"/>
                <w:color w:val="auto"/>
              </w:rPr>
            </w:pPr>
          </w:p>
        </w:tc>
        <w:tc>
          <w:tcPr>
            <w:tcW w:w="1940" w:type="dxa"/>
            <w:vAlign w:val="bottom"/>
            <w:tcBorders>
              <w:bottom w:val="single" w:sz="8" w:color="00529B"/>
            </w:tcBorders>
          </w:tcPr>
          <w:p>
            <w:pPr>
              <w:jc w:val="center"/>
              <w:spacing w:after="0"/>
              <w:rPr>
                <w:sz w:val="20"/>
                <w:szCs w:val="20"/>
                <w:color w:val="auto"/>
              </w:rPr>
            </w:pPr>
            <w:r>
              <w:rPr>
                <w:rFonts w:ascii="Arial" w:cs="Arial" w:eastAsia="Arial" w:hAnsi="Arial"/>
                <w:sz w:val="14"/>
                <w:szCs w:val="14"/>
                <w:b w:val="1"/>
                <w:bCs w:val="1"/>
                <w:color w:val="00529B"/>
              </w:rPr>
              <w:t>% of Target PSUs Earned</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#1</w:t>
            </w:r>
          </w:p>
        </w:tc>
        <w:tc>
          <w:tcPr>
            <w:tcW w:w="2720" w:type="dxa"/>
            <w:vAlign w:val="bottom"/>
            <w:tcBorders>
              <w:bottom w:val="single" w:sz="8" w:color="D2D3D4"/>
            </w:tcBorders>
          </w:tcPr>
          <w:p>
            <w:pPr>
              <w:spacing w:after="0"/>
              <w:rPr>
                <w:sz w:val="18"/>
                <w:szCs w:val="18"/>
                <w:color w:val="auto"/>
              </w:rPr>
            </w:pPr>
          </w:p>
        </w:tc>
        <w:tc>
          <w:tcPr>
            <w:tcW w:w="86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AAA</w:t>
            </w:r>
          </w:p>
        </w:tc>
        <w:tc>
          <w:tcPr>
            <w:tcW w:w="840" w:type="dxa"/>
            <w:vAlign w:val="bottom"/>
            <w:tcBorders>
              <w:bottom w:val="single" w:sz="8" w:color="D2D3D4"/>
            </w:tcBorders>
          </w:tcPr>
          <w:p>
            <w:pPr>
              <w:jc w:val="right"/>
              <w:ind w:right="48"/>
              <w:spacing w:after="0"/>
              <w:rPr>
                <w:sz w:val="20"/>
                <w:szCs w:val="20"/>
                <w:color w:val="auto"/>
              </w:rPr>
            </w:pPr>
            <w:r>
              <w:rPr>
                <w:rFonts w:ascii="Arial" w:cs="Arial" w:eastAsia="Arial" w:hAnsi="Arial"/>
                <w:sz w:val="14"/>
                <w:szCs w:val="14"/>
                <w:color w:val="auto"/>
              </w:rPr>
              <w:t>22.50%</w:t>
            </w:r>
          </w:p>
        </w:tc>
        <w:tc>
          <w:tcPr>
            <w:tcW w:w="2040" w:type="dxa"/>
            <w:vAlign w:val="bottom"/>
            <w:tcBorders>
              <w:bottom w:val="single" w:sz="8" w:color="D2D3D4"/>
            </w:tcBorders>
            <w:gridSpan w:val="2"/>
          </w:tcPr>
          <w:p>
            <w:pPr>
              <w:jc w:val="center"/>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#2</w:t>
            </w:r>
          </w:p>
        </w:tc>
        <w:tc>
          <w:tcPr>
            <w:tcW w:w="2720" w:type="dxa"/>
            <w:vAlign w:val="bottom"/>
            <w:tcBorders>
              <w:bottom w:val="single" w:sz="8" w:color="D2D3D4"/>
            </w:tcBorders>
          </w:tcPr>
          <w:p>
            <w:pPr>
              <w:jc w:val="center"/>
              <w:ind w:left="1388"/>
              <w:spacing w:after="0"/>
              <w:rPr>
                <w:sz w:val="20"/>
                <w:szCs w:val="20"/>
                <w:color w:val="auto"/>
              </w:rPr>
            </w:pPr>
            <w:r>
              <w:rPr>
                <w:rFonts w:ascii="Arial" w:cs="Arial" w:eastAsia="Arial" w:hAnsi="Arial"/>
                <w:sz w:val="14"/>
                <w:szCs w:val="14"/>
                <w:b w:val="1"/>
                <w:bCs w:val="1"/>
                <w:color w:val="00529B"/>
                <w:w w:val="98"/>
              </w:rPr>
              <w:t>B</w:t>
            </w:r>
          </w:p>
        </w:tc>
        <w:tc>
          <w:tcPr>
            <w:tcW w:w="86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BBB</w:t>
            </w:r>
          </w:p>
        </w:tc>
        <w:tc>
          <w:tcPr>
            <w:tcW w:w="840" w:type="dxa"/>
            <w:vAlign w:val="bottom"/>
            <w:tcBorders>
              <w:bottom w:val="single" w:sz="8" w:color="D2D3D4"/>
            </w:tcBorders>
          </w:tcPr>
          <w:p>
            <w:pPr>
              <w:jc w:val="right"/>
              <w:ind w:right="48"/>
              <w:spacing w:after="0"/>
              <w:rPr>
                <w:sz w:val="20"/>
                <w:szCs w:val="20"/>
                <w:color w:val="auto"/>
              </w:rPr>
            </w:pPr>
            <w:r>
              <w:rPr>
                <w:rFonts w:ascii="Arial" w:cs="Arial" w:eastAsia="Arial" w:hAnsi="Arial"/>
                <w:sz w:val="14"/>
                <w:szCs w:val="14"/>
                <w:color w:val="auto"/>
              </w:rPr>
              <w:t>20.00%</w:t>
            </w:r>
          </w:p>
        </w:tc>
        <w:tc>
          <w:tcPr>
            <w:tcW w:w="2040" w:type="dxa"/>
            <w:vAlign w:val="bottom"/>
            <w:tcBorders>
              <w:bottom w:val="single" w:sz="8" w:color="D2D3D4"/>
            </w:tcBorders>
            <w:gridSpan w:val="2"/>
          </w:tcPr>
          <w:p>
            <w:pPr>
              <w:jc w:val="center"/>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206"/>
        </w:trPr>
        <w:tc>
          <w:tcPr>
            <w:tcW w:w="252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#3</w:t>
            </w:r>
          </w:p>
        </w:tc>
        <w:tc>
          <w:tcPr>
            <w:tcW w:w="2720" w:type="dxa"/>
            <w:vAlign w:val="bottom"/>
            <w:tcBorders>
              <w:bottom w:val="single" w:sz="8" w:color="D2D3D4"/>
            </w:tcBorders>
          </w:tcPr>
          <w:p>
            <w:pPr>
              <w:spacing w:after="0"/>
              <w:rPr>
                <w:sz w:val="17"/>
                <w:szCs w:val="17"/>
                <w:color w:val="auto"/>
              </w:rPr>
            </w:pPr>
          </w:p>
        </w:tc>
        <w:tc>
          <w:tcPr>
            <w:tcW w:w="86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CCC</w:t>
            </w:r>
          </w:p>
        </w:tc>
        <w:tc>
          <w:tcPr>
            <w:tcW w:w="840" w:type="dxa"/>
            <w:vAlign w:val="bottom"/>
            <w:tcBorders>
              <w:bottom w:val="single" w:sz="8" w:color="D2D3D4"/>
            </w:tcBorders>
          </w:tcPr>
          <w:p>
            <w:pPr>
              <w:jc w:val="right"/>
              <w:ind w:right="48"/>
              <w:spacing w:after="0"/>
              <w:rPr>
                <w:sz w:val="20"/>
                <w:szCs w:val="20"/>
                <w:color w:val="auto"/>
              </w:rPr>
            </w:pPr>
            <w:r>
              <w:rPr>
                <w:rFonts w:ascii="Arial" w:cs="Arial" w:eastAsia="Arial" w:hAnsi="Arial"/>
                <w:sz w:val="14"/>
                <w:szCs w:val="14"/>
                <w:color w:val="auto"/>
              </w:rPr>
              <w:t>17.50%</w:t>
            </w:r>
          </w:p>
        </w:tc>
        <w:tc>
          <w:tcPr>
            <w:tcW w:w="100" w:type="dxa"/>
            <w:vAlign w:val="bottom"/>
            <w:tcBorders>
              <w:bottom w:val="single" w:sz="8" w:color="D2D3D4"/>
            </w:tcBorders>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Borders>
              <w:bottom w:val="single" w:sz="8" w:color="D2D3D4"/>
            </w:tcBorders>
          </w:tcPr>
          <w:p>
            <w:pPr>
              <w:ind w:left="40"/>
              <w:spacing w:after="0"/>
              <w:rPr>
                <w:sz w:val="20"/>
                <w:szCs w:val="20"/>
                <w:color w:val="auto"/>
              </w:rPr>
            </w:pPr>
            <w:r>
              <w:rPr>
                <w:rFonts w:ascii="Arial" w:cs="Arial" w:eastAsia="Arial" w:hAnsi="Arial"/>
                <w:sz w:val="14"/>
                <w:szCs w:val="14"/>
                <w:b w:val="1"/>
                <w:bCs w:val="1"/>
                <w:color w:val="auto"/>
              </w:rPr>
              <w:t>#4</w:t>
            </w:r>
          </w:p>
        </w:tc>
        <w:tc>
          <w:tcPr>
            <w:tcW w:w="2720" w:type="dxa"/>
            <w:vAlign w:val="bottom"/>
            <w:tcBorders>
              <w:bottom w:val="single" w:sz="8" w:color="D2D3D4"/>
            </w:tcBorders>
          </w:tcPr>
          <w:p>
            <w:pPr>
              <w:spacing w:after="0"/>
              <w:rPr>
                <w:sz w:val="18"/>
                <w:szCs w:val="18"/>
                <w:color w:val="auto"/>
              </w:rPr>
            </w:pPr>
          </w:p>
        </w:tc>
        <w:tc>
          <w:tcPr>
            <w:tcW w:w="86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b w:val="1"/>
                <w:bCs w:val="1"/>
                <w:color w:val="auto"/>
              </w:rPr>
              <w:t>OXY</w:t>
            </w:r>
          </w:p>
        </w:tc>
        <w:tc>
          <w:tcPr>
            <w:tcW w:w="840" w:type="dxa"/>
            <w:vAlign w:val="bottom"/>
            <w:tcBorders>
              <w:bottom w:val="single" w:sz="8" w:color="D2D3D4"/>
            </w:tcBorders>
          </w:tcPr>
          <w:p>
            <w:pPr>
              <w:jc w:val="right"/>
              <w:ind w:right="48"/>
              <w:spacing w:after="0"/>
              <w:rPr>
                <w:sz w:val="20"/>
                <w:szCs w:val="20"/>
                <w:color w:val="auto"/>
              </w:rPr>
            </w:pPr>
            <w:r>
              <w:rPr>
                <w:rFonts w:ascii="Arial" w:cs="Arial" w:eastAsia="Arial" w:hAnsi="Arial"/>
                <w:sz w:val="14"/>
                <w:szCs w:val="14"/>
                <w:b w:val="1"/>
                <w:bCs w:val="1"/>
                <w:color w:val="auto"/>
              </w:rPr>
              <w:t>15.00%</w:t>
            </w:r>
          </w:p>
        </w:tc>
        <w:tc>
          <w:tcPr>
            <w:tcW w:w="100" w:type="dxa"/>
            <w:vAlign w:val="bottom"/>
            <w:tcBorders>
              <w:bottom w:val="single" w:sz="8" w:color="D2D3D4"/>
            </w:tcBorders>
          </w:tcPr>
          <w:p>
            <w:pPr>
              <w:spacing w:after="0"/>
              <w:rPr>
                <w:sz w:val="18"/>
                <w:szCs w:val="18"/>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rPr>
              <w:t>Linearly interpolated between</w:t>
            </w:r>
          </w:p>
        </w:tc>
        <w:tc>
          <w:tcPr>
            <w:tcW w:w="0" w:type="dxa"/>
            <w:vAlign w:val="bottom"/>
          </w:tcPr>
          <w:p>
            <w:pPr>
              <w:spacing w:after="0"/>
              <w:rPr>
                <w:sz w:val="1"/>
                <w:szCs w:val="1"/>
                <w:color w:val="auto"/>
              </w:rPr>
            </w:pPr>
          </w:p>
        </w:tc>
      </w:tr>
      <w:tr>
        <w:trPr>
          <w:trHeight w:val="93"/>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#5</w:t>
            </w:r>
          </w:p>
        </w:tc>
        <w:tc>
          <w:tcPr>
            <w:tcW w:w="2720" w:type="dxa"/>
            <w:vAlign w:val="bottom"/>
          </w:tcPr>
          <w:p>
            <w:pPr>
              <w:spacing w:after="0"/>
              <w:rPr>
                <w:sz w:val="8"/>
                <w:szCs w:val="8"/>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DDD</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520" w:type="dxa"/>
            <w:vAlign w:val="bottom"/>
            <w:tcBorders>
              <w:bottom w:val="single" w:sz="8" w:color="D2D3D4"/>
            </w:tcBorders>
            <w:vMerge w:val="continue"/>
          </w:tcPr>
          <w:p>
            <w:pPr>
              <w:spacing w:after="0"/>
              <w:rPr>
                <w:sz w:val="9"/>
                <w:szCs w:val="9"/>
                <w:color w:val="auto"/>
              </w:rPr>
            </w:pPr>
          </w:p>
        </w:tc>
        <w:tc>
          <w:tcPr>
            <w:tcW w:w="2720" w:type="dxa"/>
            <w:vAlign w:val="bottom"/>
            <w:tcBorders>
              <w:bottom w:val="single" w:sz="8" w:color="D2D3D4"/>
            </w:tcBorders>
          </w:tcPr>
          <w:p>
            <w:pPr>
              <w:spacing w:after="0"/>
              <w:rPr>
                <w:sz w:val="9"/>
                <w:szCs w:val="9"/>
                <w:color w:val="auto"/>
              </w:rPr>
            </w:pPr>
          </w:p>
        </w:tc>
        <w:tc>
          <w:tcPr>
            <w:tcW w:w="860" w:type="dxa"/>
            <w:vAlign w:val="bottom"/>
            <w:tcBorders>
              <w:bottom w:val="single" w:sz="8" w:color="D2D3D4"/>
            </w:tcBorders>
            <w:vMerge w:val="continue"/>
          </w:tcPr>
          <w:p>
            <w:pPr>
              <w:spacing w:after="0"/>
              <w:rPr>
                <w:sz w:val="9"/>
                <w:szCs w:val="9"/>
                <w:color w:val="auto"/>
              </w:rPr>
            </w:pPr>
          </w:p>
        </w:tc>
        <w:tc>
          <w:tcPr>
            <w:tcW w:w="840" w:type="dxa"/>
            <w:vAlign w:val="bottom"/>
            <w:tcBorders>
              <w:bottom w:val="single" w:sz="8" w:color="D2D3D4"/>
            </w:tcBorders>
            <w:vMerge w:val="continue"/>
          </w:tcPr>
          <w:p>
            <w:pPr>
              <w:spacing w:after="0"/>
              <w:rPr>
                <w:sz w:val="9"/>
                <w:szCs w:val="9"/>
                <w:color w:val="auto"/>
              </w:rPr>
            </w:pPr>
          </w:p>
        </w:tc>
        <w:tc>
          <w:tcPr>
            <w:tcW w:w="100" w:type="dxa"/>
            <w:vAlign w:val="bottom"/>
            <w:tcBorders>
              <w:bottom w:val="single" w:sz="8" w:color="D2D3D4"/>
            </w:tcBorders>
          </w:tcPr>
          <w:p>
            <w:pPr>
              <w:spacing w:after="0"/>
              <w:rPr>
                <w:sz w:val="9"/>
                <w:szCs w:val="9"/>
                <w:color w:val="auto"/>
              </w:rPr>
            </w:pPr>
          </w:p>
        </w:tc>
        <w:tc>
          <w:tcPr>
            <w:tcW w:w="19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 xml:space="preserve">25% </w:t>
            </w:r>
            <w:r>
              <w:rPr>
                <w:rFonts w:ascii="Arial" w:cs="Arial" w:eastAsia="Arial" w:hAnsi="Arial"/>
                <w:sz w:val="14"/>
                <w:szCs w:val="14"/>
                <w:color w:val="auto"/>
              </w:rPr>
              <w:t>and</w:t>
            </w:r>
            <w:r>
              <w:rPr>
                <w:rFonts w:ascii="Arial" w:cs="Arial" w:eastAsia="Arial" w:hAnsi="Arial"/>
                <w:sz w:val="14"/>
                <w:szCs w:val="14"/>
                <w:b w:val="1"/>
                <w:bCs w:val="1"/>
                <w:color w:val="auto"/>
              </w:rPr>
              <w:t xml:space="preserve"> 180%</w:t>
            </w:r>
          </w:p>
        </w:tc>
        <w:tc>
          <w:tcPr>
            <w:tcW w:w="0" w:type="dxa"/>
            <w:vAlign w:val="bottom"/>
          </w:tcPr>
          <w:p>
            <w:pPr>
              <w:spacing w:after="0"/>
              <w:rPr>
                <w:sz w:val="1"/>
                <w:szCs w:val="1"/>
                <w:color w:val="auto"/>
              </w:rPr>
            </w:pPr>
          </w:p>
        </w:tc>
      </w:tr>
      <w:tr>
        <w:trPr>
          <w:trHeight w:val="63"/>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#6</w:t>
            </w:r>
          </w:p>
        </w:tc>
        <w:tc>
          <w:tcPr>
            <w:tcW w:w="2720" w:type="dxa"/>
            <w:vAlign w:val="bottom"/>
          </w:tcPr>
          <w:p>
            <w:pPr>
              <w:spacing w:after="0"/>
              <w:rPr>
                <w:sz w:val="5"/>
                <w:szCs w:val="5"/>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EEE</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520" w:type="dxa"/>
            <w:vAlign w:val="bottom"/>
            <w:tcBorders>
              <w:bottom w:val="single" w:sz="8" w:color="D2D3D4"/>
            </w:tcBorders>
            <w:vMerge w:val="continue"/>
          </w:tcPr>
          <w:p>
            <w:pPr>
              <w:spacing w:after="0"/>
              <w:rPr>
                <w:sz w:val="12"/>
                <w:szCs w:val="12"/>
                <w:color w:val="auto"/>
              </w:rPr>
            </w:pPr>
          </w:p>
        </w:tc>
        <w:tc>
          <w:tcPr>
            <w:tcW w:w="2720" w:type="dxa"/>
            <w:vAlign w:val="bottom"/>
            <w:tcBorders>
              <w:bottom w:val="single" w:sz="8" w:color="D2D3D4"/>
            </w:tcBorders>
          </w:tcPr>
          <w:p>
            <w:pPr>
              <w:spacing w:after="0"/>
              <w:rPr>
                <w:sz w:val="12"/>
                <w:szCs w:val="12"/>
                <w:color w:val="auto"/>
              </w:rPr>
            </w:pPr>
          </w:p>
        </w:tc>
        <w:tc>
          <w:tcPr>
            <w:tcW w:w="860" w:type="dxa"/>
            <w:vAlign w:val="bottom"/>
            <w:tcBorders>
              <w:bottom w:val="single" w:sz="8" w:color="D2D3D4"/>
            </w:tcBorders>
            <w:vMerge w:val="continue"/>
          </w:tcPr>
          <w:p>
            <w:pPr>
              <w:spacing w:after="0"/>
              <w:rPr>
                <w:sz w:val="12"/>
                <w:szCs w:val="12"/>
                <w:color w:val="auto"/>
              </w:rPr>
            </w:pPr>
          </w:p>
        </w:tc>
        <w:tc>
          <w:tcPr>
            <w:tcW w:w="840" w:type="dxa"/>
            <w:vAlign w:val="bottom"/>
            <w:tcBorders>
              <w:bottom w:val="single" w:sz="8" w:color="D2D3D4"/>
            </w:tcBorders>
            <w:vMerge w:val="continue"/>
          </w:tcPr>
          <w:p>
            <w:pPr>
              <w:spacing w:after="0"/>
              <w:rPr>
                <w:sz w:val="12"/>
                <w:szCs w:val="12"/>
                <w:color w:val="auto"/>
              </w:rPr>
            </w:pPr>
          </w:p>
        </w:tc>
        <w:tc>
          <w:tcPr>
            <w:tcW w:w="100" w:type="dxa"/>
            <w:vAlign w:val="bottom"/>
            <w:tcBorders>
              <w:bottom w:val="single" w:sz="8" w:color="D2D3D4"/>
            </w:tcBorders>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#7</w:t>
            </w:r>
          </w:p>
        </w:tc>
        <w:tc>
          <w:tcPr>
            <w:tcW w:w="2720" w:type="dxa"/>
            <w:vAlign w:val="bottom"/>
            <w:tcBorders>
              <w:bottom w:val="single" w:sz="8" w:color="D2D3D4"/>
            </w:tcBorders>
          </w:tcPr>
          <w:p>
            <w:pPr>
              <w:spacing w:after="0"/>
              <w:rPr>
                <w:sz w:val="18"/>
                <w:szCs w:val="18"/>
                <w:color w:val="auto"/>
              </w:rPr>
            </w:pPr>
          </w:p>
        </w:tc>
        <w:tc>
          <w:tcPr>
            <w:tcW w:w="86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FFF</w:t>
            </w:r>
          </w:p>
        </w:tc>
        <w:tc>
          <w:tcPr>
            <w:tcW w:w="840" w:type="dxa"/>
            <w:vAlign w:val="bottom"/>
            <w:tcBorders>
              <w:bottom w:val="single" w:sz="8" w:color="D2D3D4"/>
            </w:tcBorders>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D2D3D4"/>
            </w:tcBorders>
          </w:tcPr>
          <w:p>
            <w:pPr>
              <w:spacing w:after="0"/>
              <w:rPr>
                <w:sz w:val="18"/>
                <w:szCs w:val="18"/>
                <w:color w:val="auto"/>
              </w:rPr>
            </w:pPr>
          </w:p>
        </w:tc>
        <w:tc>
          <w:tcPr>
            <w:tcW w:w="1940" w:type="dxa"/>
            <w:vAlign w:val="bottom"/>
            <w:tcBorders>
              <w:bottom w:val="single" w:sz="8" w:color="D2D3D4"/>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Borders>
              <w:bottom w:val="single" w:sz="8" w:color="D2D3D4"/>
            </w:tcBorders>
          </w:tcPr>
          <w:p>
            <w:pPr>
              <w:ind w:left="40"/>
              <w:spacing w:after="0"/>
              <w:rPr>
                <w:sz w:val="20"/>
                <w:szCs w:val="20"/>
                <w:color w:val="auto"/>
              </w:rPr>
            </w:pPr>
            <w:r>
              <w:rPr>
                <w:rFonts w:ascii="Arial" w:cs="Arial" w:eastAsia="Arial" w:hAnsi="Arial"/>
                <w:sz w:val="14"/>
                <w:szCs w:val="14"/>
                <w:color w:val="auto"/>
              </w:rPr>
              <w:t>#8</w:t>
            </w:r>
          </w:p>
        </w:tc>
        <w:tc>
          <w:tcPr>
            <w:tcW w:w="2720" w:type="dxa"/>
            <w:vAlign w:val="bottom"/>
            <w:tcBorders>
              <w:bottom w:val="single" w:sz="8" w:color="D2D3D4"/>
            </w:tcBorders>
          </w:tcPr>
          <w:p>
            <w:pPr>
              <w:jc w:val="center"/>
              <w:ind w:left="1388"/>
              <w:spacing w:after="0"/>
              <w:rPr>
                <w:sz w:val="20"/>
                <w:szCs w:val="20"/>
                <w:color w:val="auto"/>
              </w:rPr>
            </w:pPr>
            <w:r>
              <w:rPr>
                <w:rFonts w:ascii="Arial" w:cs="Arial" w:eastAsia="Arial" w:hAnsi="Arial"/>
                <w:sz w:val="14"/>
                <w:szCs w:val="14"/>
                <w:b w:val="1"/>
                <w:bCs w:val="1"/>
                <w:color w:val="00529B"/>
                <w:w w:val="98"/>
              </w:rPr>
              <w:t>A</w:t>
            </w:r>
          </w:p>
        </w:tc>
        <w:tc>
          <w:tcPr>
            <w:tcW w:w="860" w:type="dxa"/>
            <w:vAlign w:val="bottom"/>
            <w:tcBorders>
              <w:bottom w:val="single" w:sz="8" w:color="D2D3D4"/>
            </w:tcBorders>
          </w:tcPr>
          <w:p>
            <w:pPr>
              <w:jc w:val="right"/>
              <w:ind w:right="28"/>
              <w:spacing w:after="0"/>
              <w:rPr>
                <w:sz w:val="20"/>
                <w:szCs w:val="20"/>
                <w:color w:val="auto"/>
              </w:rPr>
            </w:pPr>
            <w:r>
              <w:rPr>
                <w:rFonts w:ascii="Arial" w:cs="Arial" w:eastAsia="Arial" w:hAnsi="Arial"/>
                <w:sz w:val="14"/>
                <w:szCs w:val="14"/>
                <w:color w:val="auto"/>
              </w:rPr>
              <w:t>GGG</w:t>
            </w:r>
          </w:p>
        </w:tc>
        <w:tc>
          <w:tcPr>
            <w:tcW w:w="840" w:type="dxa"/>
            <w:vAlign w:val="bottom"/>
            <w:tcBorders>
              <w:bottom w:val="single" w:sz="8" w:color="D2D3D4"/>
            </w:tcBorders>
          </w:tcPr>
          <w:p>
            <w:pPr>
              <w:jc w:val="right"/>
              <w:ind w:right="48"/>
              <w:spacing w:after="0"/>
              <w:rPr>
                <w:sz w:val="20"/>
                <w:szCs w:val="20"/>
                <w:color w:val="auto"/>
              </w:rPr>
            </w:pPr>
            <w:r>
              <w:rPr>
                <w:rFonts w:ascii="Arial" w:cs="Arial" w:eastAsia="Arial" w:hAnsi="Arial"/>
                <w:sz w:val="14"/>
                <w:szCs w:val="14"/>
                <w:color w:val="auto"/>
              </w:rPr>
              <w:t>5.00%</w:t>
            </w:r>
          </w:p>
        </w:tc>
        <w:tc>
          <w:tcPr>
            <w:tcW w:w="2040" w:type="dxa"/>
            <w:vAlign w:val="bottom"/>
            <w:tcBorders>
              <w:bottom w:val="single" w:sz="8" w:color="D2D3D4"/>
            </w:tcBorders>
            <w:gridSpan w:val="2"/>
          </w:tcPr>
          <w:p>
            <w:pPr>
              <w:jc w:val="center"/>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17"/>
        </w:trPr>
        <w:tc>
          <w:tcPr>
            <w:tcW w:w="2520" w:type="dxa"/>
            <w:vAlign w:val="bottom"/>
            <w:tcBorders>
              <w:bottom w:val="single" w:sz="8" w:color="00529B"/>
            </w:tcBorders>
          </w:tcPr>
          <w:p>
            <w:pPr>
              <w:ind w:left="40"/>
              <w:spacing w:after="0"/>
              <w:rPr>
                <w:sz w:val="20"/>
                <w:szCs w:val="20"/>
                <w:color w:val="auto"/>
              </w:rPr>
            </w:pPr>
            <w:r>
              <w:rPr>
                <w:rFonts w:ascii="Arial" w:cs="Arial" w:eastAsia="Arial" w:hAnsi="Arial"/>
                <w:sz w:val="14"/>
                <w:szCs w:val="14"/>
                <w:color w:val="auto"/>
              </w:rPr>
              <w:t>#9</w:t>
            </w:r>
          </w:p>
        </w:tc>
        <w:tc>
          <w:tcPr>
            <w:tcW w:w="2720" w:type="dxa"/>
            <w:vAlign w:val="bottom"/>
            <w:tcBorders>
              <w:bottom w:val="single" w:sz="8" w:color="00529B"/>
            </w:tcBorders>
          </w:tcPr>
          <w:p>
            <w:pPr>
              <w:spacing w:after="0"/>
              <w:rPr>
                <w:sz w:val="18"/>
                <w:szCs w:val="18"/>
                <w:color w:val="auto"/>
              </w:rPr>
            </w:pPr>
          </w:p>
        </w:tc>
        <w:tc>
          <w:tcPr>
            <w:tcW w:w="86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color w:val="auto"/>
              </w:rPr>
              <w:t>HHH</w:t>
            </w:r>
          </w:p>
        </w:tc>
        <w:tc>
          <w:tcPr>
            <w:tcW w:w="840" w:type="dxa"/>
            <w:vAlign w:val="bottom"/>
            <w:tcBorders>
              <w:bottom w:val="single" w:sz="8" w:color="00529B"/>
            </w:tcBorders>
          </w:tcPr>
          <w:p>
            <w:pPr>
              <w:jc w:val="right"/>
              <w:ind w:right="48"/>
              <w:spacing w:after="0"/>
              <w:rPr>
                <w:sz w:val="20"/>
                <w:szCs w:val="20"/>
                <w:color w:val="auto"/>
              </w:rPr>
            </w:pPr>
            <w:r>
              <w:rPr>
                <w:rFonts w:ascii="Arial" w:cs="Arial" w:eastAsia="Arial" w:hAnsi="Arial"/>
                <w:sz w:val="14"/>
                <w:szCs w:val="14"/>
                <w:color w:val="auto"/>
              </w:rPr>
              <w:t>2.50%</w:t>
            </w:r>
          </w:p>
        </w:tc>
        <w:tc>
          <w:tcPr>
            <w:tcW w:w="2040" w:type="dxa"/>
            <w:vAlign w:val="bottom"/>
            <w:tcBorders>
              <w:bottom w:val="single" w:sz="8" w:color="00529B"/>
            </w:tcBorders>
            <w:gridSpan w:val="2"/>
          </w:tcPr>
          <w:p>
            <w:pPr>
              <w:jc w:val="center"/>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Interpolation Formula = 25% + [(180% - 25%) x ((OXY TSRI – A) / (B – A))]</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Interpolation Formula = 25% + [155% x ((15% - 5%) / (20%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6FBFD"/>
        </w:rPr>
        <w:t>Example Interpolation Payout Result = 128.3%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29"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auto"/>
        </w:rPr>
        <w:t>The cap on the TSR award payout if TSR performance over the performance period is negative is intended to reinforce the pay-for-performance nature of the compensation program. The 2022 TSR award comprised 25% of each NEO’s target long-term incentive award opportunity for 2022. Cumulative dividend equivalents will be paid in cash at the end of the three-year performance period and will be paid only on the number of PSUs earned.</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b w:val="1"/>
          <w:bCs w:val="1"/>
          <w:i w:val="1"/>
          <w:iCs w:val="1"/>
          <w:color w:val="auto"/>
        </w:rPr>
        <w:t xml:space="preserve">Payout of 2020 TSR Awards. </w:t>
      </w:r>
      <w:r>
        <w:rPr>
          <w:rFonts w:ascii="Arial" w:cs="Arial" w:eastAsia="Arial" w:hAnsi="Arial"/>
          <w:sz w:val="15"/>
          <w:szCs w:val="15"/>
          <w:color w:val="auto"/>
        </w:rPr>
        <w:t>For the 2020 TSR award, which had a performance period that ended on December 31, 2022, Occidental achieved a TSR ranking of 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 of 8) and an absolute TSR that was positive as of the end of the performance period. Thus, the Compensation Committee approved a payout result of approximately 122%, after applying the interpolation formula.</w:t>
      </w:r>
    </w:p>
    <w:p>
      <w:pPr>
        <w:spacing w:after="0" w:line="174" w:lineRule="exact"/>
        <w:rPr>
          <w:sz w:val="20"/>
          <w:szCs w:val="20"/>
          <w:color w:val="auto"/>
        </w:rPr>
      </w:pPr>
    </w:p>
    <w:p>
      <w:pPr>
        <w:ind w:right="260"/>
        <w:spacing w:after="0" w:line="234" w:lineRule="auto"/>
        <w:rPr>
          <w:sz w:val="20"/>
          <w:szCs w:val="20"/>
          <w:color w:val="auto"/>
        </w:rPr>
      </w:pPr>
      <w:r>
        <w:rPr>
          <w:rFonts w:ascii="Arial" w:cs="Arial" w:eastAsia="Arial" w:hAnsi="Arial"/>
          <w:sz w:val="15"/>
          <w:szCs w:val="15"/>
          <w:b w:val="1"/>
          <w:bCs w:val="1"/>
          <w:color w:val="auto"/>
        </w:rPr>
        <w:t xml:space="preserve">Cash Return on Capital Employed (CROCE) Award. </w:t>
      </w:r>
      <w:r>
        <w:rPr>
          <w:rFonts w:ascii="Arial" w:cs="Arial" w:eastAsia="Arial" w:hAnsi="Arial"/>
          <w:sz w:val="15"/>
          <w:szCs w:val="15"/>
          <w:color w:val="auto"/>
        </w:rPr>
        <w:t>The CROCE award is designed to focus executives on the efficient use of capital by promoting discipline in</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allocation decisions. CROCE is a transparent measure of how efficiently Occidental uses its capital and is calculated from Occidental’s audited financial statements with no adjustments for special items. The CROCE award is denominated in PSUs, each of which is equivalent to one share of common stock. The percentage of such number of PSUs that become payable at the end of the applicable three-year performance period depends on Occidental’s absolute CROCE during the performance period. The CROCE award comprised 25% of each NEO’s target long-term incentive award opportunity for 2022. A table illustrating the potential payout of the CROCE award based on CROCE performance is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76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CROCE Performance Targets</w:t>
            </w:r>
            <w:r>
              <w:rPr>
                <w:rFonts w:ascii="Arial" w:cs="Arial" w:eastAsia="Arial" w:hAnsi="Arial"/>
                <w:sz w:val="23"/>
                <w:szCs w:val="23"/>
                <w:b w:val="1"/>
                <w:bCs w:val="1"/>
                <w:color w:val="00529B"/>
                <w:vertAlign w:val="superscript"/>
              </w:rPr>
              <w:t>(1)</w:t>
            </w:r>
          </w:p>
        </w:tc>
        <w:tc>
          <w:tcPr>
            <w:tcW w:w="548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00529B"/>
              </w:rPr>
              <w:t>% of Target PSUs Earned</w:t>
            </w:r>
            <w:r>
              <w:rPr>
                <w:rFonts w:ascii="Arial" w:cs="Arial" w:eastAsia="Arial" w:hAnsi="Arial"/>
                <w:sz w:val="23"/>
                <w:szCs w:val="23"/>
                <w:b w:val="1"/>
                <w:bCs w:val="1"/>
                <w:color w:val="00529B"/>
                <w:vertAlign w:val="superscript"/>
              </w:rPr>
              <w:t>(2)</w:t>
            </w:r>
          </w:p>
        </w:tc>
      </w:tr>
      <w:tr>
        <w:trPr>
          <w:trHeight w:val="215"/>
        </w:trPr>
        <w:tc>
          <w:tcPr>
            <w:tcW w:w="576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CROCE of ≥ 22%</w:t>
            </w:r>
          </w:p>
        </w:tc>
        <w:tc>
          <w:tcPr>
            <w:tcW w:w="5480" w:type="dxa"/>
            <w:vAlign w:val="bottom"/>
            <w:tcBorders>
              <w:bottom w:val="single" w:sz="8" w:color="D2D3D4"/>
            </w:tcBorders>
          </w:tcPr>
          <w:p>
            <w:pPr>
              <w:jc w:val="right"/>
              <w:spacing w:after="0"/>
              <w:rPr>
                <w:sz w:val="20"/>
                <w:szCs w:val="20"/>
                <w:color w:val="auto"/>
              </w:rPr>
            </w:pPr>
            <w:r>
              <w:rPr>
                <w:rFonts w:ascii="Arial" w:cs="Arial" w:eastAsia="Arial" w:hAnsi="Arial"/>
                <w:sz w:val="14"/>
                <w:szCs w:val="14"/>
                <w:b w:val="1"/>
                <w:bCs w:val="1"/>
                <w:color w:val="auto"/>
              </w:rPr>
              <w:t>200%</w:t>
            </w:r>
          </w:p>
        </w:tc>
      </w:tr>
      <w:tr>
        <w:trPr>
          <w:trHeight w:val="209"/>
        </w:trPr>
        <w:tc>
          <w:tcPr>
            <w:tcW w:w="576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CROCE of 20%</w:t>
            </w:r>
          </w:p>
        </w:tc>
        <w:tc>
          <w:tcPr>
            <w:tcW w:w="5480" w:type="dxa"/>
            <w:vAlign w:val="bottom"/>
            <w:tcBorders>
              <w:bottom w:val="single" w:sz="8" w:color="D2D3D4"/>
            </w:tcBorders>
          </w:tcPr>
          <w:p>
            <w:pPr>
              <w:jc w:val="right"/>
              <w:spacing w:after="0"/>
              <w:rPr>
                <w:sz w:val="20"/>
                <w:szCs w:val="20"/>
                <w:color w:val="auto"/>
              </w:rPr>
            </w:pPr>
            <w:r>
              <w:rPr>
                <w:rFonts w:ascii="Arial" w:cs="Arial" w:eastAsia="Arial" w:hAnsi="Arial"/>
                <w:sz w:val="14"/>
                <w:szCs w:val="14"/>
                <w:b w:val="1"/>
                <w:bCs w:val="1"/>
                <w:color w:val="auto"/>
              </w:rPr>
              <w:t>100%</w:t>
            </w:r>
          </w:p>
        </w:tc>
      </w:tr>
      <w:tr>
        <w:trPr>
          <w:trHeight w:val="209"/>
        </w:trPr>
        <w:tc>
          <w:tcPr>
            <w:tcW w:w="5760" w:type="dxa"/>
            <w:vAlign w:val="bottom"/>
            <w:tcBorders>
              <w:bottom w:val="single" w:sz="8" w:color="D2D3D4"/>
            </w:tcBorders>
          </w:tcPr>
          <w:p>
            <w:pPr>
              <w:ind w:left="60"/>
              <w:spacing w:after="0"/>
              <w:rPr>
                <w:sz w:val="20"/>
                <w:szCs w:val="20"/>
                <w:color w:val="auto"/>
              </w:rPr>
            </w:pPr>
            <w:r>
              <w:rPr>
                <w:rFonts w:ascii="Arial" w:cs="Arial" w:eastAsia="Arial" w:hAnsi="Arial"/>
                <w:sz w:val="14"/>
                <w:szCs w:val="14"/>
                <w:color w:val="auto"/>
              </w:rPr>
              <w:t>CROCE of 18%</w:t>
            </w:r>
          </w:p>
        </w:tc>
        <w:tc>
          <w:tcPr>
            <w:tcW w:w="5480" w:type="dxa"/>
            <w:vAlign w:val="bottom"/>
            <w:tcBorders>
              <w:bottom w:val="single" w:sz="8" w:color="D2D3D4"/>
            </w:tcBorders>
          </w:tcPr>
          <w:p>
            <w:pPr>
              <w:jc w:val="right"/>
              <w:spacing w:after="0"/>
              <w:rPr>
                <w:sz w:val="20"/>
                <w:szCs w:val="20"/>
                <w:color w:val="auto"/>
              </w:rPr>
            </w:pPr>
            <w:r>
              <w:rPr>
                <w:rFonts w:ascii="Arial" w:cs="Arial" w:eastAsia="Arial" w:hAnsi="Arial"/>
                <w:sz w:val="14"/>
                <w:szCs w:val="14"/>
                <w:b w:val="1"/>
                <w:bCs w:val="1"/>
                <w:color w:val="auto"/>
              </w:rPr>
              <w:t>25%</w:t>
            </w:r>
          </w:p>
        </w:tc>
      </w:tr>
      <w:tr>
        <w:trPr>
          <w:trHeight w:val="218"/>
        </w:trPr>
        <w:tc>
          <w:tcPr>
            <w:tcW w:w="5760" w:type="dxa"/>
            <w:vAlign w:val="bottom"/>
            <w:tcBorders>
              <w:bottom w:val="single" w:sz="8" w:color="00529B"/>
            </w:tcBorders>
          </w:tcPr>
          <w:p>
            <w:pPr>
              <w:ind w:left="60"/>
              <w:spacing w:after="0"/>
              <w:rPr>
                <w:sz w:val="20"/>
                <w:szCs w:val="20"/>
                <w:color w:val="auto"/>
              </w:rPr>
            </w:pPr>
            <w:r>
              <w:rPr>
                <w:rFonts w:ascii="Arial" w:cs="Arial" w:eastAsia="Arial" w:hAnsi="Arial"/>
                <w:sz w:val="14"/>
                <w:szCs w:val="14"/>
                <w:color w:val="auto"/>
              </w:rPr>
              <w:t>CROCE &lt; 18%</w:t>
            </w:r>
          </w:p>
        </w:tc>
        <w:tc>
          <w:tcPr>
            <w:tcW w:w="548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auto"/>
              </w:rPr>
              <w:t>0%</w:t>
            </w:r>
          </w:p>
        </w:tc>
      </w:tr>
    </w:tbl>
    <w:p>
      <w:pPr>
        <w:spacing w:after="0" w:line="225"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0"/>
          <w:szCs w:val="10"/>
          <w:color w:val="auto"/>
        </w:rPr>
      </w:pPr>
      <w:r>
        <w:rPr>
          <w:rFonts w:ascii="Arial" w:cs="Arial" w:eastAsia="Arial" w:hAnsi="Arial"/>
          <w:sz w:val="13"/>
          <w:szCs w:val="13"/>
          <w:color w:val="auto"/>
        </w:rPr>
        <w:t>See page 94 for the formula to calculate CROCE.</w:t>
      </w:r>
    </w:p>
    <w:p>
      <w:pPr>
        <w:spacing w:after="0" w:line="134" w:lineRule="exact"/>
        <w:rPr>
          <w:rFonts w:ascii="Arial" w:cs="Arial" w:eastAsia="Arial" w:hAnsi="Arial"/>
          <w:sz w:val="10"/>
          <w:szCs w:val="10"/>
          <w:color w:val="auto"/>
        </w:rPr>
      </w:pPr>
    </w:p>
    <w:p>
      <w:pPr>
        <w:ind w:left="300" w:hanging="292"/>
        <w:spacing w:after="0"/>
        <w:tabs>
          <w:tab w:leader="none" w:pos="300" w:val="left"/>
        </w:tabs>
        <w:numPr>
          <w:ilvl w:val="0"/>
          <w:numId w:val="54"/>
        </w:numPr>
        <w:rPr>
          <w:rFonts w:ascii="Arial" w:cs="Arial" w:eastAsia="Arial" w:hAnsi="Arial"/>
          <w:sz w:val="10"/>
          <w:szCs w:val="10"/>
          <w:color w:val="auto"/>
        </w:rPr>
      </w:pPr>
      <w:r>
        <w:rPr>
          <w:rFonts w:ascii="Arial" w:cs="Arial" w:eastAsia="Arial" w:hAnsi="Arial"/>
          <w:sz w:val="13"/>
          <w:szCs w:val="13"/>
          <w:color w:val="auto"/>
        </w:rPr>
        <w:t>Payout percentages for CROCE values between 18% and 22% to be determined using linear interpolation between 25% and 200% of target, with a target payout at a CROCE of 20%.</w:t>
      </w:r>
    </w:p>
    <w:p>
      <w:pPr>
        <w:spacing w:after="0" w:line="216" w:lineRule="exact"/>
        <w:rPr>
          <w:sz w:val="20"/>
          <w:szCs w:val="20"/>
          <w:color w:val="auto"/>
        </w:rPr>
      </w:pPr>
    </w:p>
    <w:p>
      <w:pPr>
        <w:ind w:right="180"/>
        <w:spacing w:after="0" w:line="244" w:lineRule="auto"/>
        <w:rPr>
          <w:sz w:val="20"/>
          <w:szCs w:val="20"/>
          <w:color w:val="auto"/>
        </w:rPr>
      </w:pPr>
      <w:r>
        <w:rPr>
          <w:rFonts w:ascii="Arial" w:cs="Arial" w:eastAsia="Arial" w:hAnsi="Arial"/>
          <w:sz w:val="15"/>
          <w:szCs w:val="15"/>
          <w:b w:val="1"/>
          <w:bCs w:val="1"/>
          <w:i w:val="1"/>
          <w:iCs w:val="1"/>
          <w:color w:val="auto"/>
        </w:rPr>
        <w:t xml:space="preserve">Payout of 2020 CROCE Awards. </w:t>
      </w:r>
      <w:r>
        <w:rPr>
          <w:rFonts w:ascii="Arial" w:cs="Arial" w:eastAsia="Arial" w:hAnsi="Arial"/>
          <w:sz w:val="15"/>
          <w:szCs w:val="15"/>
          <w:color w:val="auto"/>
        </w:rPr>
        <w:t>For the 2020 CROCE award, which had a performance period that ended on December 31, 2022, Occidental achieved a three-year CROCE of 22.4% as of the end of the performance period compared to a threshold CROCE of 11%, a target CROCE of 13% and a maximum CROCE of 15%. Thus, the Compensation Committee approved a payout result of 200%.</w:t>
      </w:r>
    </w:p>
    <w:p>
      <w:pPr>
        <w:spacing w:after="0" w:line="174" w:lineRule="exact"/>
        <w:rPr>
          <w:sz w:val="20"/>
          <w:szCs w:val="20"/>
          <w:color w:val="auto"/>
        </w:rPr>
      </w:pPr>
    </w:p>
    <w:p>
      <w:pPr>
        <w:ind w:right="220"/>
        <w:spacing w:after="0" w:line="239" w:lineRule="auto"/>
        <w:rPr>
          <w:sz w:val="20"/>
          <w:szCs w:val="20"/>
          <w:color w:val="auto"/>
        </w:rPr>
      </w:pPr>
      <w:r>
        <w:rPr>
          <w:rFonts w:ascii="Arial" w:cs="Arial" w:eastAsia="Arial" w:hAnsi="Arial"/>
          <w:sz w:val="15"/>
          <w:szCs w:val="15"/>
          <w:b w:val="1"/>
          <w:bCs w:val="1"/>
          <w:color w:val="auto"/>
        </w:rPr>
        <w:t xml:space="preserve">Non-Qualified Stock Option (NQSO) Award. </w:t>
      </w:r>
      <w:r>
        <w:rPr>
          <w:rFonts w:ascii="Arial" w:cs="Arial" w:eastAsia="Arial" w:hAnsi="Arial"/>
          <w:sz w:val="15"/>
          <w:szCs w:val="15"/>
          <w:color w:val="auto"/>
        </w:rPr>
        <w:t>The Compensation Committee determined that including the NQSO award as a component of the 2022 long-term</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program would reinforce the importance of stock price appreciation and presented an opportunity to generate high-level alignment with shareholders. The NQSO award vests ratably over three years with one-third vesting on each of February 28, 2023, 2024 and 2025, subject to continued employment. The NEOs received 25% of their 2022 long-term incentive award opportunity in the form of NQSOs.</w:t>
      </w:r>
    </w:p>
    <w:p>
      <w:pPr>
        <w:spacing w:after="0" w:line="177" w:lineRule="exact"/>
        <w:rPr>
          <w:sz w:val="20"/>
          <w:szCs w:val="20"/>
          <w:color w:val="auto"/>
        </w:rPr>
      </w:pPr>
    </w:p>
    <w:p>
      <w:pPr>
        <w:ind w:right="420"/>
        <w:spacing w:after="0" w:line="239" w:lineRule="auto"/>
        <w:rPr>
          <w:sz w:val="20"/>
          <w:szCs w:val="20"/>
          <w:color w:val="auto"/>
        </w:rPr>
      </w:pPr>
      <w:r>
        <w:rPr>
          <w:rFonts w:ascii="Arial" w:cs="Arial" w:eastAsia="Arial" w:hAnsi="Arial"/>
          <w:sz w:val="15"/>
          <w:szCs w:val="15"/>
          <w:b w:val="1"/>
          <w:bCs w:val="1"/>
          <w:color w:val="auto"/>
        </w:rPr>
        <w:t xml:space="preserve">Restricted Stock Unit (RSU) Award. </w:t>
      </w:r>
      <w:r>
        <w:rPr>
          <w:rFonts w:ascii="Arial" w:cs="Arial" w:eastAsia="Arial" w:hAnsi="Arial"/>
          <w:sz w:val="15"/>
          <w:szCs w:val="15"/>
          <w:color w:val="auto"/>
        </w:rPr>
        <w:t>The 2022 RSU award vests ratably over three years with one-third vesting on each of February 28, 2023, 2024 and 2025,</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continued employment. Each RSU is equivalent to one share of common stock, and payment for a vested RSU award will be made solely in shares of common stock. The shares of stock ultimately received by the NEO pursuant to the RSU award are subject to a two-year post-vesting holding period. Dividend equivalents are accrued and paid out upon vesting. The NEOs received 25% of their 2022 long-term incentive award opportunity in the form of RSUs.</w:t>
      </w:r>
    </w:p>
    <w:p>
      <w:pPr>
        <w:spacing w:after="0" w:line="1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Compensation and Benefits</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Qualified Defined Contribution Plans</w:t>
      </w:r>
    </w:p>
    <w:p>
      <w:pPr>
        <w:spacing w:after="0" w:line="239"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color w:val="auto"/>
        </w:rPr>
        <w:t>Occidental does not have a defined benefit pension plan that provides NEOs a fixed monthly retirement payment. Instead, all salaried employees on the U.S. dollar payroll, including the NEOs, are eligible to participate in one or more tax-qualified defined contribution plans.</w:t>
      </w:r>
    </w:p>
    <w:p>
      <w:pPr>
        <w:spacing w:after="0" w:line="159"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b w:val="1"/>
          <w:bCs w:val="1"/>
          <w:color w:val="auto"/>
        </w:rPr>
        <w:t xml:space="preserve">Savings Plan. </w:t>
      </w:r>
      <w:r>
        <w:rPr>
          <w:rFonts w:ascii="Arial" w:cs="Arial" w:eastAsia="Arial" w:hAnsi="Arial"/>
          <w:sz w:val="15"/>
          <w:szCs w:val="15"/>
          <w:color w:val="auto"/>
        </w:rPr>
        <w:t>For 2022, the defined contribution 401(k) savings plan (Savings Plan) permitted employees to save a percentage of their annual salary up to the</w:t>
      </w:r>
      <w:r>
        <w:rPr>
          <w:rFonts w:ascii="Arial" w:cs="Arial" w:eastAsia="Arial" w:hAnsi="Arial"/>
          <w:sz w:val="15"/>
          <w:szCs w:val="15"/>
          <w:b w:val="1"/>
          <w:bCs w:val="1"/>
          <w:color w:val="auto"/>
        </w:rPr>
        <w:t xml:space="preserve"> </w:t>
      </w:r>
      <w:r>
        <w:rPr>
          <w:rFonts w:ascii="Arial" w:cs="Arial" w:eastAsia="Arial" w:hAnsi="Arial"/>
          <w:sz w:val="15"/>
          <w:szCs w:val="15"/>
          <w:color w:val="auto"/>
        </w:rPr>
        <w:t>$305,000 limit set by IRS regulations, and employee pre-tax contributions were limited to $ 20,500. Employees may direct their contributions to a variety of investments. Occidental matches two dollars for every one dollar the employee contributes up to 2% of eligible pay, plus an additional dollar-for-dollar match on the next 3% of eligible pay. The NEOs are fully vested in their account balances under the Savings Plan. The amounts contributed by Occidental to the Savings Plan are included in the “All Other Compensation” column of the Summary Compensation Table on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743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8560"/>
        <w:spacing w:after="0"/>
        <w:rPr>
          <w:sz w:val="20"/>
          <w:szCs w:val="20"/>
          <w:color w:val="auto"/>
        </w:rPr>
      </w:pPr>
      <w:r>
        <w:rPr>
          <w:rFonts w:ascii="Arial" w:cs="Arial" w:eastAsia="Arial" w:hAnsi="Arial"/>
          <w:sz w:val="15"/>
          <w:szCs w:val="15"/>
          <w:color w:val="auto"/>
        </w:rPr>
        <w:t>Compensation Discussion and Analysis</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b w:val="1"/>
          <w:bCs w:val="1"/>
          <w:color w:val="auto"/>
        </w:rPr>
        <w:t xml:space="preserve">Retirement Plan. </w:t>
      </w:r>
      <w:r>
        <w:rPr>
          <w:rFonts w:ascii="Arial" w:cs="Arial" w:eastAsia="Arial" w:hAnsi="Arial"/>
          <w:sz w:val="15"/>
          <w:szCs w:val="15"/>
          <w:color w:val="auto"/>
        </w:rPr>
        <w:t>The defined contribution retirement plan (Retirement Plan) is funded annually through a reallocation process from the employee’s Supplemental</w:t>
      </w:r>
      <w:r>
        <w:rPr>
          <w:rFonts w:ascii="Arial" w:cs="Arial" w:eastAsia="Arial" w:hAnsi="Arial"/>
          <w:sz w:val="15"/>
          <w:szCs w:val="15"/>
          <w:b w:val="1"/>
          <w:bCs w:val="1"/>
          <w:color w:val="auto"/>
        </w:rPr>
        <w:t xml:space="preserve"> </w:t>
      </w:r>
      <w:r>
        <w:rPr>
          <w:rFonts w:ascii="Arial" w:cs="Arial" w:eastAsia="Arial" w:hAnsi="Arial"/>
          <w:sz w:val="15"/>
          <w:szCs w:val="15"/>
          <w:color w:val="auto"/>
        </w:rPr>
        <w:t>Retirement Plan II (SRP II) account balance (described below). Because the exact amount that could be contributed to the Retirement Plan without exceeding governmental limits cannot be determined until the end of the year, the reallocation process has been developed to maximize the amount contributed each year to a tax-qualified defined contribution plan. The Retirement Plan is company-funded, and employees may not contribute to the Retirement Plan. The NEOs are fully vested in their account balances under the Retirement Plan. The amounts allocated to the Retirement Plan are included in the SRP II contributions by Occidental in the “All Other Compensation” column of the Summary Compensation Table on page 61.</w:t>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Nonqualified Deferred Compensation Plans</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Occidental maintains two nonqualified deferred compensation plans: (i) the SRP II and (ii) the Modified Deferred Compensation Plan (MDCP). The purpose of the SRP II is to provide eligible employees, including the NEOs, with benefits to compensate them for maximum limits imposed by law on the amount of contributions that may be made to Occidental’s tax-qualified defined contribution plans. The purpose of the MDCP is to provide key management and highly compensated employees the ability to accumulate additional retirement income through deferrals of compensation.</w:t>
      </w:r>
    </w:p>
    <w:p>
      <w:pPr>
        <w:spacing w:after="0" w:line="180"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Additional information regarding the terms and conditions of the SRP II and the MDCP is provided in “Nonqualified Deferred Compensation” on pages 68 and 69. Amounts contributed to the SRP II on behalf of the NEOs are included in the “All Other Compensation” column of the Summary Compensation Table on page 61. None of the executive officers made contributions to the MDCP or SRP II in 2022. The contributions, aggregate earnings, withdrawals and aggregate balances for the NEOs in the SRP II and MDCP with respect to 2022 are shown in the Nonqualified Deferred Compensation table on page 69.</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Other Personal Benefits</w:t>
      </w:r>
    </w:p>
    <w:p>
      <w:pPr>
        <w:spacing w:after="0" w:line="239"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Occidental provides a limited number of other personal benefits for its NEOs, which, in 2022, consisted principally of fees related to financial and tax planning, excess liability insurance, annual physical, personal use of, and spousal accompaniment on, corporate aircraft and club dues which are included in the “All Other Compensation” column of the Summary Compensation Table beginning on page 61.</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Individual Compensation Considerations</w:t>
      </w: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In making executive compensation decisions for a given year, the Compensation Committee considers, among other factors, the performance of Occidental and the individual contributions of each NEO. Details regarding the 2022 compensation decisions and performance evaluation of each NEO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88615" cy="22288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888615" cy="222885"/>
                    </a:xfrm>
                    <a:prstGeom prst="rect">
                      <a:avLst/>
                    </a:prstGeom>
                    <a:noFill/>
                  </pic:spPr>
                </pic:pic>
              </a:graphicData>
            </a:graphic>
          </wp:anchor>
        </w:drawing>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VICKI HOLLUB |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92887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32320" cy="4928870"/>
                    </a:xfrm>
                    <a:prstGeom prst="rect">
                      <a:avLst/>
                    </a:prstGeom>
                    <a:noFill/>
                  </pic:spPr>
                </pic:pic>
              </a:graphicData>
            </a:graphic>
          </wp:anchor>
        </w:drawing>
      </w:r>
    </w:p>
    <w:p>
      <w:pPr>
        <w:spacing w:after="0" w:line="157" w:lineRule="exact"/>
        <w:rPr>
          <w:sz w:val="20"/>
          <w:szCs w:val="20"/>
          <w:color w:val="auto"/>
        </w:rPr>
      </w:pPr>
    </w:p>
    <w:p>
      <w:pPr>
        <w:ind w:left="2060" w:right="60"/>
        <w:spacing w:after="0" w:line="233" w:lineRule="auto"/>
        <w:rPr>
          <w:sz w:val="20"/>
          <w:szCs w:val="20"/>
          <w:color w:val="auto"/>
        </w:rPr>
      </w:pPr>
      <w:r>
        <w:rPr>
          <w:rFonts w:ascii="Arial" w:cs="Arial" w:eastAsia="Arial" w:hAnsi="Arial"/>
          <w:sz w:val="13"/>
          <w:szCs w:val="13"/>
          <w:color w:val="auto"/>
        </w:rPr>
        <w:t>Ms. Hollub is the President and Chief Executive Officer of Occidental. Ms. Hollub is responsible for all operations, the financial management of Occidental, implementing Occidental’s strategy, and assisting the Board with, among other matters, corporate strategy development, executive succession planning and talent development, and executive compensation for all other NEOs.</w:t>
      </w:r>
    </w:p>
    <w:p>
      <w:pPr>
        <w:spacing w:after="0" w:line="105" w:lineRule="exact"/>
        <w:rPr>
          <w:sz w:val="20"/>
          <w:szCs w:val="20"/>
          <w:color w:val="auto"/>
        </w:rPr>
      </w:pPr>
    </w:p>
    <w:p>
      <w:pPr>
        <w:ind w:left="2060" w:right="500"/>
        <w:spacing w:after="0" w:line="243" w:lineRule="auto"/>
        <w:rPr>
          <w:sz w:val="20"/>
          <w:szCs w:val="20"/>
          <w:color w:val="auto"/>
        </w:rPr>
      </w:pPr>
      <w:r>
        <w:rPr>
          <w:rFonts w:ascii="Arial" w:cs="Arial" w:eastAsia="Arial" w:hAnsi="Arial"/>
          <w:sz w:val="13"/>
          <w:szCs w:val="13"/>
          <w:b w:val="1"/>
          <w:bCs w:val="1"/>
          <w:color w:val="auto"/>
        </w:rPr>
        <w:t xml:space="preserve">Tenure. </w:t>
      </w:r>
      <w:r>
        <w:rPr>
          <w:rFonts w:ascii="Arial" w:cs="Arial" w:eastAsia="Arial" w:hAnsi="Arial"/>
          <w:sz w:val="13"/>
          <w:szCs w:val="13"/>
          <w:color w:val="auto"/>
        </w:rPr>
        <w:t>Ms. Hollub joined Occidental over 40 years ago, and before her appointment as Chief Executive Officer in 2016, she held a variety of increasingly</w:t>
      </w:r>
      <w:r>
        <w:rPr>
          <w:rFonts w:ascii="Arial" w:cs="Arial" w:eastAsia="Arial" w:hAnsi="Arial"/>
          <w:sz w:val="13"/>
          <w:szCs w:val="13"/>
          <w:b w:val="1"/>
          <w:bCs w:val="1"/>
          <w:color w:val="auto"/>
        </w:rPr>
        <w:t xml:space="preserve"> </w:t>
      </w:r>
      <w:r>
        <w:rPr>
          <w:rFonts w:ascii="Arial" w:cs="Arial" w:eastAsia="Arial" w:hAnsi="Arial"/>
          <w:sz w:val="13"/>
          <w:szCs w:val="13"/>
          <w:color w:val="auto"/>
        </w:rPr>
        <w:t>significant leadership and technical positions on three continents.</w:t>
      </w:r>
    </w:p>
    <w:p>
      <w:pPr>
        <w:spacing w:after="0" w:line="89" w:lineRule="exact"/>
        <w:rPr>
          <w:sz w:val="20"/>
          <w:szCs w:val="20"/>
          <w:color w:val="auto"/>
        </w:rPr>
      </w:pPr>
    </w:p>
    <w:p>
      <w:pPr>
        <w:ind w:left="2060" w:right="120"/>
        <w:spacing w:after="0" w:line="233" w:lineRule="auto"/>
        <w:rPr>
          <w:sz w:val="20"/>
          <w:szCs w:val="20"/>
          <w:color w:val="auto"/>
        </w:rPr>
      </w:pPr>
      <w:r>
        <w:rPr>
          <w:rFonts w:ascii="Arial" w:cs="Arial" w:eastAsia="Arial" w:hAnsi="Arial"/>
          <w:sz w:val="13"/>
          <w:szCs w:val="13"/>
          <w:b w:val="1"/>
          <w:bCs w:val="1"/>
          <w:color w:val="auto"/>
        </w:rPr>
        <w:t xml:space="preserve">Performance Assessment. </w:t>
      </w:r>
      <w:r>
        <w:rPr>
          <w:rFonts w:ascii="Arial" w:cs="Arial" w:eastAsia="Arial" w:hAnsi="Arial"/>
          <w:sz w:val="13"/>
          <w:szCs w:val="13"/>
          <w:color w:val="auto"/>
        </w:rPr>
        <w:t>In assessing Ms. Hollub’s individual performance for 2022, the Compensation Committee considered her dynamic leadership and</w:t>
      </w:r>
      <w:r>
        <w:rPr>
          <w:rFonts w:ascii="Arial" w:cs="Arial" w:eastAsia="Arial" w:hAnsi="Arial"/>
          <w:sz w:val="13"/>
          <w:szCs w:val="13"/>
          <w:b w:val="1"/>
          <w:bCs w:val="1"/>
          <w:color w:val="auto"/>
        </w:rPr>
        <w:t xml:space="preserve"> </w:t>
      </w:r>
      <w:r>
        <w:rPr>
          <w:rFonts w:ascii="Arial" w:cs="Arial" w:eastAsia="Arial" w:hAnsi="Arial"/>
          <w:sz w:val="13"/>
          <w:szCs w:val="13"/>
          <w:color w:val="auto"/>
        </w:rPr>
        <w:t>significant accomplishments in the areas identified as individual performance goals on page 48. Highlights of the individual performance assessment are set forth below.</w:t>
      </w:r>
    </w:p>
    <w:p>
      <w:pPr>
        <w:sectPr>
          <w:pgSz w:w="11900" w:h="16838" w:orient="portrait"/>
          <w:cols w:equalWidth="0" w:num="1">
            <w:col w:w="11140"/>
          </w:cols>
          <w:pgMar w:left="320" w:top="1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right="180" w:hanging="189"/>
        <w:spacing w:after="0" w:line="229" w:lineRule="auto"/>
        <w:tabs>
          <w:tab w:leader="none" w:pos="287" w:val="left"/>
        </w:tabs>
        <w:numPr>
          <w:ilvl w:val="0"/>
          <w:numId w:val="55"/>
        </w:numPr>
        <w:rPr>
          <w:rFonts w:ascii="Arial" w:cs="Arial" w:eastAsia="Arial" w:hAnsi="Arial"/>
          <w:sz w:val="11"/>
          <w:szCs w:val="11"/>
          <w:color w:val="00529B"/>
        </w:rPr>
      </w:pPr>
      <w:r>
        <w:rPr>
          <w:rFonts w:ascii="Arial" w:cs="Arial" w:eastAsia="Arial" w:hAnsi="Arial"/>
          <w:sz w:val="13"/>
          <w:szCs w:val="13"/>
          <w:color w:val="auto"/>
        </w:rPr>
        <w:t>Ms. Hollub optimized long-term return on invested capital by investing strategically within Occidental’s portfolio of assets, while practicing disciplined allocation of capital and controlling life cycle development costs, including development and long-term operating costs.</w:t>
      </w:r>
    </w:p>
    <w:p>
      <w:pPr>
        <w:spacing w:after="0" w:line="50" w:lineRule="exact"/>
        <w:rPr>
          <w:rFonts w:ascii="Arial" w:cs="Arial" w:eastAsia="Arial" w:hAnsi="Arial"/>
          <w:sz w:val="11"/>
          <w:szCs w:val="11"/>
          <w:color w:val="00529B"/>
        </w:rPr>
      </w:pPr>
    </w:p>
    <w:p>
      <w:pPr>
        <w:ind w:left="480" w:hanging="180"/>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Achieved record net income attributable to common stockholders of approximately $12.5 billion and free cash flow before working capital of $13.6 billion*; reduced debt by more than $10.5 billion; completed a $3 billion share repurchase program</w:t>
      </w:r>
    </w:p>
    <w:p>
      <w:pPr>
        <w:spacing w:after="0" w:line="36" w:lineRule="exact"/>
        <w:rPr>
          <w:rFonts w:ascii="Arial" w:cs="Arial" w:eastAsia="Arial" w:hAnsi="Arial"/>
          <w:sz w:val="11"/>
          <w:szCs w:val="11"/>
          <w:color w:val="00529B"/>
        </w:rPr>
      </w:pPr>
    </w:p>
    <w:p>
      <w:pPr>
        <w:ind w:left="480" w:right="640" w:hanging="180"/>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No. 1 performing stock in S&amp;P 500 for 2022, with approximately 119% in total shareholder returns</w:t>
      </w:r>
    </w:p>
    <w:p>
      <w:pPr>
        <w:spacing w:after="0" w:line="36" w:lineRule="exact"/>
        <w:rPr>
          <w:rFonts w:ascii="Arial" w:cs="Arial" w:eastAsia="Arial" w:hAnsi="Arial"/>
          <w:sz w:val="11"/>
          <w:szCs w:val="11"/>
          <w:color w:val="00529B"/>
        </w:rPr>
      </w:pPr>
    </w:p>
    <w:p>
      <w:pPr>
        <w:ind w:left="300"/>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Generated a CROCE of approximately 36%* and a ROCE of approximately 28%*</w:t>
      </w:r>
    </w:p>
    <w:p>
      <w:pPr>
        <w:spacing w:after="0" w:line="66" w:lineRule="exact"/>
        <w:rPr>
          <w:rFonts w:ascii="Arial" w:cs="Arial" w:eastAsia="Arial" w:hAnsi="Arial"/>
          <w:sz w:val="11"/>
          <w:szCs w:val="11"/>
          <w:color w:val="00529B"/>
        </w:rPr>
      </w:pPr>
    </w:p>
    <w:p>
      <w:pPr>
        <w:ind w:left="480" w:right="120" w:hanging="180"/>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OxyChem generated record earnings before interest and taxes (EBIT) of $2.5 billion in 2022</w:t>
      </w:r>
    </w:p>
    <w:p>
      <w:pPr>
        <w:spacing w:after="0" w:line="36" w:lineRule="exact"/>
        <w:rPr>
          <w:rFonts w:ascii="Arial" w:cs="Arial" w:eastAsia="Arial" w:hAnsi="Arial"/>
          <w:sz w:val="11"/>
          <w:szCs w:val="11"/>
          <w:color w:val="00529B"/>
        </w:rPr>
      </w:pPr>
    </w:p>
    <w:p>
      <w:pPr>
        <w:ind w:left="300" w:right="180" w:hanging="189"/>
        <w:spacing w:after="0" w:line="283" w:lineRule="auto"/>
        <w:tabs>
          <w:tab w:leader="none" w:pos="287" w:val="left"/>
        </w:tabs>
        <w:numPr>
          <w:ilvl w:val="0"/>
          <w:numId w:val="55"/>
        </w:numPr>
        <w:rPr>
          <w:rFonts w:ascii="Arial" w:cs="Arial" w:eastAsia="Arial" w:hAnsi="Arial"/>
          <w:sz w:val="10"/>
          <w:szCs w:val="10"/>
          <w:color w:val="00529B"/>
        </w:rPr>
      </w:pPr>
      <w:r>
        <w:rPr>
          <w:rFonts w:ascii="Arial" w:cs="Arial" w:eastAsia="Arial" w:hAnsi="Arial"/>
          <w:sz w:val="12"/>
          <w:szCs w:val="12"/>
          <w:color w:val="auto"/>
        </w:rPr>
        <w:t>Ms. Hollub drove operational excellence by emphasizing advancement in technology, development programs and improved operational efficiencies in drilling and completions.</w:t>
      </w:r>
    </w:p>
    <w:p>
      <w:pPr>
        <w:spacing w:after="0" w:line="12" w:lineRule="exact"/>
        <w:rPr>
          <w:rFonts w:ascii="Arial" w:cs="Arial" w:eastAsia="Arial" w:hAnsi="Arial"/>
          <w:sz w:val="10"/>
          <w:szCs w:val="10"/>
          <w:color w:val="00529B"/>
        </w:rPr>
      </w:pPr>
    </w:p>
    <w:p>
      <w:pPr>
        <w:ind w:left="480" w:right="80" w:hanging="180"/>
        <w:spacing w:after="0"/>
        <w:rPr>
          <w:rFonts w:ascii="Arial" w:cs="Arial" w:eastAsia="Arial" w:hAnsi="Arial"/>
          <w:sz w:val="10"/>
          <w:szCs w:val="10"/>
          <w:color w:val="00529B"/>
        </w:rPr>
      </w:pPr>
      <w:r>
        <w:rPr>
          <w:rFonts w:ascii="Arial" w:cs="Arial" w:eastAsia="Arial" w:hAnsi="Arial"/>
          <w:sz w:val="1"/>
          <w:szCs w:val="1"/>
          <w:color w:val="00529B"/>
        </w:rPr>
        <w:drawing>
          <wp:inline distT="0" distB="0" distL="0" distR="0">
            <wp:extent cx="68580" cy="60325"/>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3"/>
          <w:szCs w:val="13"/>
          <w:color w:val="auto"/>
        </w:rPr>
        <w:t xml:space="preserve"> Under Ms. Hollub’s leadership, drilling teams across Occidental were inspired to deliver record results</w:t>
      </w:r>
    </w:p>
    <w:p>
      <w:pPr>
        <w:spacing w:after="0" w:line="50" w:lineRule="exact"/>
        <w:rPr>
          <w:sz w:val="20"/>
          <w:szCs w:val="20"/>
          <w:color w:val="auto"/>
        </w:rPr>
      </w:pPr>
    </w:p>
    <w:p>
      <w:pPr>
        <w:ind w:left="680" w:right="240" w:hanging="209"/>
        <w:spacing w:after="0" w:line="243" w:lineRule="auto"/>
        <w:tabs>
          <w:tab w:leader="none" w:pos="674" w:val="left"/>
        </w:tabs>
        <w:numPr>
          <w:ilvl w:val="0"/>
          <w:numId w:val="56"/>
        </w:numPr>
        <w:rPr>
          <w:rFonts w:ascii="Arial" w:cs="Arial" w:eastAsia="Arial" w:hAnsi="Arial"/>
          <w:sz w:val="13"/>
          <w:szCs w:val="13"/>
          <w:color w:val="00529B"/>
        </w:rPr>
      </w:pPr>
      <w:r>
        <w:rPr>
          <w:rFonts w:ascii="Arial" w:cs="Arial" w:eastAsia="Arial" w:hAnsi="Arial"/>
          <w:sz w:val="13"/>
          <w:szCs w:val="13"/>
          <w:color w:val="auto"/>
        </w:rPr>
        <w:t>Longest lateral ever drilled by Occidental at over 18,000’ in Midland Basin; entire well drilled in approximately 12 days</w:t>
      </w:r>
    </w:p>
    <w:p>
      <w:pPr>
        <w:spacing w:after="0" w:line="34" w:lineRule="exact"/>
        <w:rPr>
          <w:rFonts w:ascii="Arial" w:cs="Arial" w:eastAsia="Arial" w:hAnsi="Arial"/>
          <w:sz w:val="13"/>
          <w:szCs w:val="13"/>
          <w:color w:val="00529B"/>
        </w:rPr>
      </w:pPr>
    </w:p>
    <w:p>
      <w:pPr>
        <w:ind w:left="680" w:right="200" w:hanging="209"/>
        <w:spacing w:after="0" w:line="243" w:lineRule="auto"/>
        <w:tabs>
          <w:tab w:leader="none" w:pos="674" w:val="left"/>
        </w:tabs>
        <w:numPr>
          <w:ilvl w:val="0"/>
          <w:numId w:val="56"/>
        </w:numPr>
        <w:rPr>
          <w:rFonts w:ascii="Arial" w:cs="Arial" w:eastAsia="Arial" w:hAnsi="Arial"/>
          <w:sz w:val="13"/>
          <w:szCs w:val="13"/>
          <w:color w:val="00529B"/>
        </w:rPr>
      </w:pPr>
      <w:r>
        <w:rPr>
          <w:rFonts w:ascii="Arial" w:cs="Arial" w:eastAsia="Arial" w:hAnsi="Arial"/>
          <w:sz w:val="13"/>
          <w:szCs w:val="13"/>
          <w:color w:val="auto"/>
        </w:rPr>
        <w:t>Record Delaware Basin well productivity: average 30-day IP &gt;3,000 Boe/d for the 191 wells online in 2022</w:t>
      </w:r>
    </w:p>
    <w:p>
      <w:pPr>
        <w:spacing w:after="0" w:line="34" w:lineRule="exact"/>
        <w:rPr>
          <w:rFonts w:ascii="Arial" w:cs="Arial" w:eastAsia="Arial" w:hAnsi="Arial"/>
          <w:sz w:val="13"/>
          <w:szCs w:val="13"/>
          <w:color w:val="00529B"/>
        </w:rPr>
      </w:pPr>
    </w:p>
    <w:p>
      <w:pPr>
        <w:ind w:left="680" w:hanging="209"/>
        <w:spacing w:after="0"/>
        <w:tabs>
          <w:tab w:leader="none" w:pos="680" w:val="left"/>
        </w:tabs>
        <w:numPr>
          <w:ilvl w:val="0"/>
          <w:numId w:val="56"/>
        </w:numPr>
        <w:rPr>
          <w:rFonts w:ascii="Arial" w:cs="Arial" w:eastAsia="Arial" w:hAnsi="Arial"/>
          <w:sz w:val="13"/>
          <w:szCs w:val="13"/>
          <w:color w:val="00529B"/>
        </w:rPr>
      </w:pPr>
      <w:r>
        <w:rPr>
          <w:rFonts w:ascii="Arial" w:cs="Arial" w:eastAsia="Arial" w:hAnsi="Arial"/>
          <w:sz w:val="13"/>
          <w:szCs w:val="13"/>
          <w:color w:val="auto"/>
        </w:rPr>
        <w:t>Top two 1st Bone Spring formation IP30s in New Mexico for all operators</w:t>
      </w:r>
    </w:p>
    <w:p>
      <w:pPr>
        <w:spacing w:after="0" w:line="66" w:lineRule="exact"/>
        <w:rPr>
          <w:rFonts w:ascii="Arial" w:cs="Arial" w:eastAsia="Arial" w:hAnsi="Arial"/>
          <w:sz w:val="13"/>
          <w:szCs w:val="13"/>
          <w:color w:val="00529B"/>
        </w:rPr>
      </w:pPr>
    </w:p>
    <w:p>
      <w:pPr>
        <w:ind w:left="680" w:hanging="209"/>
        <w:spacing w:after="0"/>
        <w:tabs>
          <w:tab w:leader="none" w:pos="680" w:val="left"/>
        </w:tabs>
        <w:numPr>
          <w:ilvl w:val="0"/>
          <w:numId w:val="56"/>
        </w:numPr>
        <w:rPr>
          <w:rFonts w:ascii="Arial" w:cs="Arial" w:eastAsia="Arial" w:hAnsi="Arial"/>
          <w:sz w:val="13"/>
          <w:szCs w:val="13"/>
          <w:color w:val="00529B"/>
        </w:rPr>
      </w:pPr>
      <w:r>
        <w:rPr>
          <w:rFonts w:ascii="Arial" w:cs="Arial" w:eastAsia="Arial" w:hAnsi="Arial"/>
          <w:sz w:val="13"/>
          <w:szCs w:val="13"/>
          <w:color w:val="auto"/>
        </w:rPr>
        <w:t>Top six Barnett formation IP30s in Midland Basin for all operators</w:t>
      </w:r>
    </w:p>
    <w:p>
      <w:pPr>
        <w:spacing w:after="0" w:line="53" w:lineRule="exact"/>
        <w:rPr>
          <w:sz w:val="20"/>
          <w:szCs w:val="20"/>
          <w:color w:val="auto"/>
        </w:rPr>
      </w:pPr>
    </w:p>
    <w:p>
      <w:pPr>
        <w:ind w:left="480" w:right="340" w:hanging="192"/>
        <w:spacing w:after="0"/>
        <w:rPr>
          <w:sz w:val="20"/>
          <w:szCs w:val="20"/>
          <w:color w:val="auto"/>
        </w:rPr>
      </w:pPr>
      <w:r>
        <w:rPr>
          <w:sz w:val="1"/>
          <w:szCs w:val="1"/>
          <w:color w:val="auto"/>
        </w:rPr>
        <w:drawing>
          <wp:inline distT="0" distB="0" distL="0" distR="0">
            <wp:extent cx="68580" cy="59690"/>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Ms. Hollub’s focus on developing assets resulted in several production records and improved operational capabilities</w:t>
      </w:r>
    </w:p>
    <w:p>
      <w:pPr>
        <w:spacing w:after="0" w:line="37" w:lineRule="exact"/>
        <w:rPr>
          <w:sz w:val="20"/>
          <w:szCs w:val="20"/>
          <w:color w:val="auto"/>
        </w:rPr>
      </w:pPr>
    </w:p>
    <w:p>
      <w:pPr>
        <w:ind w:left="680" w:right="140" w:hanging="209"/>
        <w:spacing w:after="0" w:line="243" w:lineRule="auto"/>
        <w:tabs>
          <w:tab w:leader="none" w:pos="674" w:val="left"/>
        </w:tabs>
        <w:numPr>
          <w:ilvl w:val="0"/>
          <w:numId w:val="57"/>
        </w:numPr>
        <w:rPr>
          <w:rFonts w:ascii="Arial" w:cs="Arial" w:eastAsia="Arial" w:hAnsi="Arial"/>
          <w:sz w:val="13"/>
          <w:szCs w:val="13"/>
          <w:color w:val="00529B"/>
        </w:rPr>
      </w:pPr>
      <w:r>
        <w:rPr>
          <w:rFonts w:ascii="Arial" w:cs="Arial" w:eastAsia="Arial" w:hAnsi="Arial"/>
          <w:sz w:val="13"/>
          <w:szCs w:val="13"/>
          <w:color w:val="auto"/>
        </w:rPr>
        <w:t>Caesar-Tonga expansion project online in December; completed safely, on budget and ahead of schedule</w:t>
      </w:r>
    </w:p>
    <w:p>
      <w:pPr>
        <w:spacing w:after="0" w:line="48" w:lineRule="exact"/>
        <w:rPr>
          <w:rFonts w:ascii="Arial" w:cs="Arial" w:eastAsia="Arial" w:hAnsi="Arial"/>
          <w:sz w:val="13"/>
          <w:szCs w:val="13"/>
          <w:color w:val="00529B"/>
        </w:rPr>
      </w:pPr>
    </w:p>
    <w:p>
      <w:pPr>
        <w:jc w:val="both"/>
        <w:ind w:left="680" w:right="140" w:hanging="209"/>
        <w:spacing w:after="0" w:line="233" w:lineRule="auto"/>
        <w:tabs>
          <w:tab w:leader="none" w:pos="674" w:val="left"/>
        </w:tabs>
        <w:numPr>
          <w:ilvl w:val="0"/>
          <w:numId w:val="57"/>
        </w:numPr>
        <w:rPr>
          <w:rFonts w:ascii="Arial" w:cs="Arial" w:eastAsia="Arial" w:hAnsi="Arial"/>
          <w:sz w:val="13"/>
          <w:szCs w:val="13"/>
          <w:color w:val="00529B"/>
        </w:rPr>
      </w:pPr>
      <w:r>
        <w:rPr>
          <w:rFonts w:ascii="Arial" w:cs="Arial" w:eastAsia="Arial" w:hAnsi="Arial"/>
          <w:sz w:val="13"/>
          <w:szCs w:val="13"/>
          <w:color w:val="auto"/>
        </w:rPr>
        <w:t>Horn Mountain achieved its highest production rate in over 21 years at 65 Mboe/d, boosted by the successful start-up of the Horn Mountain West development, three months ahead of schedule</w:t>
      </w:r>
    </w:p>
    <w:p>
      <w:pPr>
        <w:spacing w:after="0" w:line="37" w:lineRule="exact"/>
        <w:rPr>
          <w:rFonts w:ascii="Arial" w:cs="Arial" w:eastAsia="Arial" w:hAnsi="Arial"/>
          <w:sz w:val="13"/>
          <w:szCs w:val="13"/>
          <w:color w:val="00529B"/>
        </w:rPr>
      </w:pPr>
    </w:p>
    <w:p>
      <w:pPr>
        <w:ind w:left="680" w:right="160" w:hanging="209"/>
        <w:spacing w:after="0" w:line="243" w:lineRule="auto"/>
        <w:tabs>
          <w:tab w:leader="none" w:pos="604" w:val="left"/>
        </w:tabs>
        <w:numPr>
          <w:ilvl w:val="0"/>
          <w:numId w:val="57"/>
        </w:numPr>
        <w:rPr>
          <w:rFonts w:ascii="Arial" w:cs="Arial" w:eastAsia="Arial" w:hAnsi="Arial"/>
          <w:sz w:val="13"/>
          <w:szCs w:val="13"/>
          <w:color w:val="00529B"/>
        </w:rPr>
      </w:pPr>
      <w:r>
        <w:rPr>
          <w:rFonts w:ascii="Arial" w:cs="Arial" w:eastAsia="Arial" w:hAnsi="Arial"/>
          <w:sz w:val="13"/>
          <w:szCs w:val="13"/>
          <w:color w:val="auto"/>
        </w:rPr>
        <w:t>Lucius platform reached 150 MMboe of cumulative, gross production in under eight years from first oil, a record for Occidental Gulf of Mexico platforms</w:t>
      </w:r>
    </w:p>
    <w:p>
      <w:pPr>
        <w:spacing w:after="0" w:line="34" w:lineRule="exact"/>
        <w:rPr>
          <w:rFonts w:ascii="Arial" w:cs="Arial" w:eastAsia="Arial" w:hAnsi="Arial"/>
          <w:sz w:val="13"/>
          <w:szCs w:val="13"/>
          <w:color w:val="00529B"/>
        </w:rPr>
      </w:pPr>
    </w:p>
    <w:p>
      <w:pPr>
        <w:ind w:left="620" w:hanging="149"/>
        <w:spacing w:after="0"/>
        <w:tabs>
          <w:tab w:leader="none" w:pos="620" w:val="left"/>
        </w:tabs>
        <w:numPr>
          <w:ilvl w:val="0"/>
          <w:numId w:val="57"/>
        </w:numPr>
        <w:rPr>
          <w:rFonts w:ascii="Arial" w:cs="Arial" w:eastAsia="Arial" w:hAnsi="Arial"/>
          <w:sz w:val="13"/>
          <w:szCs w:val="13"/>
          <w:color w:val="00529B"/>
        </w:rPr>
      </w:pPr>
      <w:r>
        <w:rPr>
          <w:rFonts w:ascii="Arial" w:cs="Arial" w:eastAsia="Arial" w:hAnsi="Arial"/>
          <w:sz w:val="13"/>
          <w:szCs w:val="13"/>
          <w:color w:val="auto"/>
        </w:rPr>
        <w:t>Al Hosn achieved record quarterly net production of 86 Mboe/d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6720840" cy="15430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75" w:right="100" w:hanging="175"/>
        <w:spacing w:after="0" w:line="226" w:lineRule="auto"/>
        <w:tabs>
          <w:tab w:leader="none" w:pos="162" w:val="left"/>
        </w:tabs>
        <w:numPr>
          <w:ilvl w:val="0"/>
          <w:numId w:val="58"/>
        </w:numPr>
        <w:rPr>
          <w:rFonts w:ascii="Arial" w:cs="Arial" w:eastAsia="Arial" w:hAnsi="Arial"/>
          <w:sz w:val="11"/>
          <w:szCs w:val="11"/>
          <w:color w:val="00529B"/>
        </w:rPr>
      </w:pPr>
      <w:r>
        <w:rPr>
          <w:rFonts w:ascii="Arial" w:cs="Arial" w:eastAsia="Arial" w:hAnsi="Arial"/>
          <w:sz w:val="13"/>
          <w:szCs w:val="13"/>
          <w:color w:val="auto"/>
        </w:rPr>
        <w:t>Ms. Hollub focused on the company’s commitment to safety, health, the environment, sustainability, diversity, governance and social responsibility by investing in resources to help achieve Occidental’s net-zero ambitions, supporting company diversity programs and initiatives, and promoting a collaborative culture that embodies the highest standards of ethical behaviors.</w:t>
      </w:r>
    </w:p>
    <w:p>
      <w:pPr>
        <w:spacing w:after="0" w:line="52" w:lineRule="exact"/>
        <w:rPr>
          <w:rFonts w:ascii="Arial" w:cs="Arial" w:eastAsia="Arial" w:hAnsi="Arial"/>
          <w:sz w:val="11"/>
          <w:szCs w:val="11"/>
          <w:color w:val="00529B"/>
        </w:rPr>
      </w:pPr>
    </w:p>
    <w:p>
      <w:pPr>
        <w:ind w:left="355" w:right="80" w:hanging="175"/>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The Board approved updates to the company’s longstanding Health, Safety and Environmental Principles (as revised, the HSE and Sustainability Principles), which Ms. Hollub recommended based on engagement with shareholders, employees and other stakeholders</w:t>
      </w:r>
    </w:p>
    <w:p>
      <w:pPr>
        <w:spacing w:after="0" w:line="36" w:lineRule="exact"/>
        <w:rPr>
          <w:rFonts w:ascii="Arial" w:cs="Arial" w:eastAsia="Arial" w:hAnsi="Arial"/>
          <w:sz w:val="11"/>
          <w:szCs w:val="11"/>
          <w:color w:val="00529B"/>
        </w:rPr>
      </w:pPr>
    </w:p>
    <w:p>
      <w:pPr>
        <w:ind w:left="355" w:right="140" w:hanging="175"/>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Advancing Occidental’s low-carbon strategy is a top priority for Ms. Hollub. In 2022, Occidental achieved zero routine flaring of gas across U.S. oil and gas operations and reduced associated emissions. Under her leadership, the OLCV and Major Projects teams began construction of DAC 1 in Ector County, Texas</w:t>
      </w:r>
    </w:p>
    <w:p>
      <w:pPr>
        <w:spacing w:after="0" w:line="36" w:lineRule="exact"/>
        <w:rPr>
          <w:rFonts w:ascii="Arial" w:cs="Arial" w:eastAsia="Arial" w:hAnsi="Arial"/>
          <w:sz w:val="11"/>
          <w:szCs w:val="11"/>
          <w:color w:val="00529B"/>
        </w:rPr>
      </w:pPr>
    </w:p>
    <w:p>
      <w:pPr>
        <w:ind w:left="355" w:right="80" w:hanging="175"/>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Certain Occidental subsidiaries secured over 400 square miles of pore space and land in multiple locations along the U.S. Gulf Coast for carbon sequestration; Occidental and certain of its subsidiaries also invested in emerging net-zero and low-carbon technologies, businesses and assets</w:t>
      </w:r>
    </w:p>
    <w:p>
      <w:pPr>
        <w:spacing w:after="0" w:line="50" w:lineRule="exact"/>
        <w:rPr>
          <w:rFonts w:ascii="Arial" w:cs="Arial" w:eastAsia="Arial" w:hAnsi="Arial"/>
          <w:sz w:val="11"/>
          <w:szCs w:val="11"/>
          <w:color w:val="00529B"/>
        </w:rPr>
      </w:pPr>
    </w:p>
    <w:p>
      <w:pPr>
        <w:ind w:left="355" w:right="20" w:hanging="175"/>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60325"/>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3"/>
          <w:szCs w:val="13"/>
          <w:color w:val="auto"/>
        </w:rPr>
        <w:t xml:space="preserve"> Ms. Hollub championed the company’s commitment to Diversity, Inclusion, and Belonging (DIB) as the chair of the DIB Advisory Board; with Ms. Hollub’s support, Occidental also launched eight new ERGs in 2022, which bring employees together with a central purpose, mission, background or activity to help advance inclusion and a sense of belonging</w:t>
      </w:r>
    </w:p>
    <w:p>
      <w:pPr>
        <w:spacing w:after="0" w:line="36" w:lineRule="exact"/>
        <w:rPr>
          <w:rFonts w:ascii="Arial" w:cs="Arial" w:eastAsia="Arial" w:hAnsi="Arial"/>
          <w:sz w:val="11"/>
          <w:szCs w:val="11"/>
          <w:color w:val="00529B"/>
        </w:rPr>
      </w:pPr>
    </w:p>
    <w:p>
      <w:pPr>
        <w:ind w:left="355" w:hanging="175"/>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60325"/>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3"/>
          <w:szCs w:val="13"/>
          <w:color w:val="auto"/>
        </w:rPr>
        <w:t xml:space="preserve"> Ms. Hollub supported the ongoing conversion of Occidental’s longstanding HSE management system into a more comprehensive operational management system, reinforced the Company’s expectations for HSE performance and expanded programs to support health and well-being, with a focus in 2022 on the mental health of employees and their families</w:t>
      </w:r>
    </w:p>
    <w:p>
      <w:pPr>
        <w:spacing w:after="0" w:line="44" w:lineRule="exact"/>
        <w:rPr>
          <w:rFonts w:ascii="Arial" w:cs="Arial" w:eastAsia="Arial" w:hAnsi="Arial"/>
          <w:sz w:val="11"/>
          <w:szCs w:val="11"/>
          <w:color w:val="00529B"/>
        </w:rPr>
      </w:pPr>
    </w:p>
    <w:p>
      <w:pPr>
        <w:ind w:left="355" w:right="140" w:hanging="175"/>
        <w:spacing w:after="0"/>
        <w:rPr>
          <w:rFonts w:ascii="Arial" w:cs="Arial" w:eastAsia="Arial" w:hAnsi="Arial"/>
          <w:sz w:val="11"/>
          <w:szCs w:val="11"/>
          <w:color w:val="00529B"/>
        </w:rPr>
      </w:pPr>
      <w:r>
        <w:rPr>
          <w:rFonts w:ascii="Arial" w:cs="Arial" w:eastAsia="Arial" w:hAnsi="Arial"/>
          <w:sz w:val="1"/>
          <w:szCs w:val="1"/>
          <w:color w:val="00529B"/>
        </w:rPr>
        <w:drawing>
          <wp:inline distT="0" distB="0" distL="0" distR="0">
            <wp:extent cx="68580" cy="59690"/>
            <wp:effectExtent l="0" t="0" r="0"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3"/>
          <w:szCs w:val="13"/>
          <w:color w:val="auto"/>
        </w:rPr>
        <w:t xml:space="preserve"> OxyChem received several Responsible Care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and Facility Safety Awards from the American Chemistry Council and a Better Practice Award from the U.S. Department of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1003300</wp:posOffset>
            </wp:positionV>
            <wp:extent cx="257175" cy="2743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pacing w:after="0" w:line="1277" w:lineRule="exact"/>
        <w:rPr>
          <w:sz w:val="20"/>
          <w:szCs w:val="20"/>
          <w:color w:val="auto"/>
        </w:rPr>
      </w:pPr>
    </w:p>
    <w:p>
      <w:pPr>
        <w:sectPr>
          <w:pgSz w:w="11900" w:h="16838" w:orient="portrait"/>
          <w:cols w:equalWidth="0" w:num="2">
            <w:col w:w="5400" w:space="445"/>
            <w:col w:w="5295"/>
          </w:cols>
          <w:pgMar w:left="320" w:top="130" w:right="4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222885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29B"/>
        </w:rPr>
        <w:t>COMPENSATION DECISIONS</w:t>
      </w:r>
    </w:p>
    <w:p>
      <w:pPr>
        <w:spacing w:after="0" w:line="127" w:lineRule="exact"/>
        <w:rPr>
          <w:sz w:val="20"/>
          <w:szCs w:val="20"/>
          <w:color w:val="auto"/>
        </w:rPr>
      </w:pPr>
    </w:p>
    <w:p>
      <w:pPr>
        <w:ind w:left="120" w:right="320"/>
        <w:spacing w:after="0" w:line="233" w:lineRule="auto"/>
        <w:rPr>
          <w:sz w:val="20"/>
          <w:szCs w:val="20"/>
          <w:color w:val="auto"/>
        </w:rPr>
      </w:pPr>
      <w:r>
        <w:rPr>
          <w:rFonts w:ascii="Arial" w:cs="Arial" w:eastAsia="Arial" w:hAnsi="Arial"/>
          <w:sz w:val="13"/>
          <w:szCs w:val="13"/>
          <w:b w:val="1"/>
          <w:bCs w:val="1"/>
          <w:color w:val="808080"/>
        </w:rPr>
        <w:t xml:space="preserve">Base Salary: </w:t>
      </w:r>
      <w:r>
        <w:rPr>
          <w:rFonts w:ascii="Arial" w:cs="Arial" w:eastAsia="Arial" w:hAnsi="Arial"/>
          <w:sz w:val="13"/>
          <w:szCs w:val="13"/>
          <w:color w:val="000000"/>
        </w:rPr>
        <w:t>Effective February 21, 2022, Ms. Hollub’s salary was further restored by $300,000 to $1,300,000, while still reflecting a slight</w:t>
      </w:r>
      <w:r>
        <w:rPr>
          <w:rFonts w:ascii="Arial" w:cs="Arial" w:eastAsia="Arial" w:hAnsi="Arial"/>
          <w:sz w:val="13"/>
          <w:szCs w:val="13"/>
          <w:b w:val="1"/>
          <w:bCs w:val="1"/>
          <w:color w:val="808080"/>
        </w:rPr>
        <w:t xml:space="preserve"> </w:t>
      </w:r>
      <w:r>
        <w:rPr>
          <w:rFonts w:ascii="Arial" w:cs="Arial" w:eastAsia="Arial" w:hAnsi="Arial"/>
          <w:sz w:val="13"/>
          <w:szCs w:val="13"/>
          <w:color w:val="000000"/>
        </w:rPr>
        <w:t>overall decrease from pre-COVID levels. The Compensation Committee determined this increase was appropriate in light of her 2021 performance and scope of responsibilities.</w:t>
      </w:r>
    </w:p>
    <w:p>
      <w:pPr>
        <w:spacing w:after="0" w:line="105" w:lineRule="exact"/>
        <w:rPr>
          <w:sz w:val="20"/>
          <w:szCs w:val="20"/>
          <w:color w:val="auto"/>
        </w:rPr>
      </w:pPr>
    </w:p>
    <w:p>
      <w:pPr>
        <w:jc w:val="both"/>
        <w:ind w:left="120"/>
        <w:spacing w:after="0" w:line="233" w:lineRule="auto"/>
        <w:rPr>
          <w:sz w:val="20"/>
          <w:szCs w:val="20"/>
          <w:color w:val="auto"/>
        </w:rPr>
      </w:pPr>
      <w:r>
        <w:rPr>
          <w:rFonts w:ascii="Arial" w:cs="Arial" w:eastAsia="Arial" w:hAnsi="Arial"/>
          <w:sz w:val="13"/>
          <w:szCs w:val="13"/>
          <w:b w:val="1"/>
          <w:bCs w:val="1"/>
          <w:color w:val="93D8EE"/>
        </w:rPr>
        <w:t xml:space="preserve">Annual Cash Incentive: </w:t>
      </w:r>
      <w:r>
        <w:rPr>
          <w:rFonts w:ascii="Arial" w:cs="Arial" w:eastAsia="Arial" w:hAnsi="Arial"/>
          <w:sz w:val="13"/>
          <w:szCs w:val="13"/>
          <w:color w:val="000000"/>
        </w:rPr>
        <w:t>Ms. Hollub’s target ACI award opportunity was set in February 2022 at $1,950,000, a 30% increase from 2021. Based</w:t>
      </w:r>
      <w:r>
        <w:rPr>
          <w:rFonts w:ascii="Arial" w:cs="Arial" w:eastAsia="Arial" w:hAnsi="Arial"/>
          <w:sz w:val="13"/>
          <w:szCs w:val="13"/>
          <w:b w:val="1"/>
          <w:bCs w:val="1"/>
          <w:color w:val="93D8EE"/>
        </w:rPr>
        <w:t xml:space="preserve"> </w:t>
      </w:r>
      <w:r>
        <w:rPr>
          <w:rFonts w:ascii="Arial" w:cs="Arial" w:eastAsia="Arial" w:hAnsi="Arial"/>
          <w:sz w:val="13"/>
          <w:szCs w:val="13"/>
          <w:color w:val="000000"/>
        </w:rPr>
        <w:t>on a review of Ms. Hollub’s individual performance, the Compensation Committee approved an ACI payout of 170% of target, consistent with the 170% payout for the company performance portion.</w:t>
      </w:r>
    </w:p>
    <w:p>
      <w:pPr>
        <w:spacing w:after="0" w:line="91" w:lineRule="exact"/>
        <w:rPr>
          <w:sz w:val="20"/>
          <w:szCs w:val="20"/>
          <w:color w:val="auto"/>
        </w:rPr>
      </w:pPr>
    </w:p>
    <w:p>
      <w:pPr>
        <w:ind w:left="120" w:right="20"/>
        <w:spacing w:after="0" w:line="244" w:lineRule="auto"/>
        <w:rPr>
          <w:sz w:val="20"/>
          <w:szCs w:val="20"/>
          <w:color w:val="auto"/>
        </w:rPr>
      </w:pPr>
      <w:r>
        <w:rPr>
          <w:rFonts w:ascii="Arial" w:cs="Arial" w:eastAsia="Arial" w:hAnsi="Arial"/>
          <w:sz w:val="12"/>
          <w:szCs w:val="12"/>
          <w:b w:val="1"/>
          <w:bCs w:val="1"/>
          <w:color w:val="00529B"/>
        </w:rPr>
        <w:t xml:space="preserve">Long-Term Incentives: </w:t>
      </w:r>
      <w:r>
        <w:rPr>
          <w:rFonts w:ascii="Arial" w:cs="Arial" w:eastAsia="Arial" w:hAnsi="Arial"/>
          <w:sz w:val="12"/>
          <w:szCs w:val="12"/>
          <w:color w:val="000000"/>
        </w:rPr>
        <w:t>The target grant date value of Ms. Hollub’s long-term incentive award package for 2022 was $9,750,000, an</w:t>
      </w:r>
      <w:r>
        <w:rPr>
          <w:rFonts w:ascii="Arial" w:cs="Arial" w:eastAsia="Arial" w:hAnsi="Arial"/>
          <w:sz w:val="12"/>
          <w:szCs w:val="12"/>
          <w:b w:val="1"/>
          <w:bCs w:val="1"/>
          <w:color w:val="00529B"/>
        </w:rPr>
        <w:t xml:space="preserve"> </w:t>
      </w:r>
      <w:r>
        <w:rPr>
          <w:rFonts w:ascii="Arial" w:cs="Arial" w:eastAsia="Arial" w:hAnsi="Arial"/>
          <w:sz w:val="12"/>
          <w:szCs w:val="12"/>
          <w:color w:val="000000"/>
        </w:rPr>
        <w:t xml:space="preserve">approximate 33% increase from 2021, which the Compensation Committee determined was appropriate in light of her 2021 performance and scope of responsibilities. This reflects a partial restoration toward pre-COVID levels. Even with this increase, the target grant date value of Ms. Hollub’s 2022 LTI award package is lower than the LTI award package approved by the Compensation Committee for Ms. Hollub as part of the company’s 2019 compensation program. For information regarding how the Compensation Committee determines individual long-term incentive award amounts, see </w:t>
      </w:r>
      <w:r>
        <w:rPr>
          <w:rFonts w:ascii="Arial" w:cs="Arial" w:eastAsia="Arial" w:hAnsi="Arial"/>
          <w:sz w:val="12"/>
          <w:szCs w:val="12"/>
          <w:i w:val="1"/>
          <w:iCs w:val="1"/>
          <w:color w:val="000000"/>
        </w:rPr>
        <w:t>“Elements of the 2022 Compensation Program – Long-Term Incentive Award Program”</w:t>
      </w:r>
      <w:r>
        <w:rPr>
          <w:rFonts w:ascii="Arial" w:cs="Arial" w:eastAsia="Arial" w:hAnsi="Arial"/>
          <w:sz w:val="12"/>
          <w:szCs w:val="12"/>
          <w:color w:val="000000"/>
        </w:rPr>
        <w:t xml:space="preserve"> beginning on page 48.</w:t>
      </w:r>
    </w:p>
    <w:p>
      <w:pPr>
        <w:spacing w:after="0" w:line="90" w:lineRule="exact"/>
        <w:rPr>
          <w:sz w:val="20"/>
          <w:szCs w:val="20"/>
          <w:color w:val="auto"/>
        </w:rPr>
      </w:pPr>
    </w:p>
    <w:p>
      <w:pPr>
        <w:jc w:val="both"/>
        <w:ind w:left="120" w:right="60"/>
        <w:spacing w:after="0" w:line="233" w:lineRule="auto"/>
        <w:rPr>
          <w:sz w:val="20"/>
          <w:szCs w:val="20"/>
          <w:color w:val="auto"/>
        </w:rPr>
      </w:pPr>
      <w:r>
        <w:rPr>
          <w:rFonts w:ascii="Arial" w:cs="Arial" w:eastAsia="Arial" w:hAnsi="Arial"/>
          <w:sz w:val="13"/>
          <w:szCs w:val="13"/>
          <w:color w:val="auto"/>
        </w:rPr>
        <w:t>The overall increase in Ms. Hollub’s total target compensation for 2022, driven by the further restoration of Ms. Hollub’s base salary to near pre-COVID levels and her increased ACI and long-term incentive award values, was made to enhance the competitiveness of her pay compared to CEO pay in Occidental’s peer compensation group.</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2022 TARGET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 in Thousands</w:t>
      </w:r>
    </w:p>
    <w:p>
      <w:pPr>
        <w:spacing w:after="0" w:line="2497" w:lineRule="exact"/>
        <w:rPr>
          <w:sz w:val="20"/>
          <w:szCs w:val="20"/>
          <w:color w:val="auto"/>
        </w:rPr>
      </w:pPr>
    </w:p>
    <w:p>
      <w:pPr>
        <w:sectPr>
          <w:pgSz w:w="11900" w:h="16838" w:orient="portrait"/>
          <w:cols w:equalWidth="0" w:num="2">
            <w:col w:w="8140" w:space="240"/>
            <w:col w:w="28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Non-GAAP financial measure. A reconciliation to the comparable GAAP financial measure can be found in Annex A.</w:t>
      </w: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jc w:val="right"/>
        <w:ind w:right="180"/>
        <w:spacing w:after="0"/>
        <w:rPr>
          <w:sz w:val="20"/>
          <w:szCs w:val="20"/>
          <w:color w:val="auto"/>
        </w:rPr>
      </w:pP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42367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36130" cy="4236720"/>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ROBERT L. PETERSON | Senior Vice President and Chief Financial Officer</w:t>
      </w:r>
    </w:p>
    <w:p>
      <w:pPr>
        <w:spacing w:after="0" w:line="177" w:lineRule="exact"/>
        <w:rPr>
          <w:sz w:val="20"/>
          <w:szCs w:val="20"/>
          <w:color w:val="auto"/>
        </w:rPr>
      </w:pPr>
    </w:p>
    <w:p>
      <w:pPr>
        <w:ind w:left="2080" w:right="80"/>
        <w:spacing w:after="0" w:line="225" w:lineRule="auto"/>
        <w:rPr>
          <w:sz w:val="20"/>
          <w:szCs w:val="20"/>
          <w:color w:val="auto"/>
        </w:rPr>
      </w:pPr>
      <w:r>
        <w:rPr>
          <w:rFonts w:ascii="Arial" w:cs="Arial" w:eastAsia="Arial" w:hAnsi="Arial"/>
          <w:sz w:val="13"/>
          <w:szCs w:val="13"/>
          <w:color w:val="auto"/>
        </w:rPr>
        <w:t>Mr. Peterson has served as Senior Vice President and Chief Financial Officer since April 2020. Mr. Peterson previously served as Senior Vice President, Permian EOR, Occidental Oil and Gas, from September 2019 to April 2020. Prior to that, Mr. Peterson was Vice President, Permian Strategy, Occidental Oil and Gas, from November 2018 to September 2019, where he was responsible for developing and implementing a joint portfolio, technology and people strategy for the Company’s Permian business and ensuring alignment with Occidental’s Low Carbon Ventures strategy, and was President of OxyChem, the Company’s chemical subsidiary, from August 2014 to September 2017, where he was instrumental in completing its major capital investments and improving the profitability of the business.</w:t>
      </w:r>
    </w:p>
    <w:p>
      <w:pPr>
        <w:spacing w:after="0" w:line="185" w:lineRule="exact"/>
        <w:rPr>
          <w:sz w:val="20"/>
          <w:szCs w:val="20"/>
          <w:color w:val="auto"/>
        </w:rPr>
      </w:pPr>
    </w:p>
    <w:p>
      <w:pPr>
        <w:ind w:left="2080" w:right="260"/>
        <w:spacing w:after="0" w:line="243" w:lineRule="auto"/>
        <w:rPr>
          <w:sz w:val="20"/>
          <w:szCs w:val="20"/>
          <w:color w:val="auto"/>
        </w:rPr>
      </w:pPr>
      <w:r>
        <w:rPr>
          <w:rFonts w:ascii="Arial" w:cs="Arial" w:eastAsia="Arial" w:hAnsi="Arial"/>
          <w:sz w:val="13"/>
          <w:szCs w:val="13"/>
          <w:b w:val="1"/>
          <w:bCs w:val="1"/>
          <w:color w:val="auto"/>
        </w:rPr>
        <w:t xml:space="preserve">Tenure. </w:t>
      </w:r>
      <w:r>
        <w:rPr>
          <w:rFonts w:ascii="Arial" w:cs="Arial" w:eastAsia="Arial" w:hAnsi="Arial"/>
          <w:sz w:val="13"/>
          <w:szCs w:val="13"/>
          <w:color w:val="auto"/>
        </w:rPr>
        <w:t>Mr. Peterson joined Occidental more than 25 years ago and, before his appointment as Senior Vice President and Chief Financial Officer in 2020, has</w:t>
      </w:r>
      <w:r>
        <w:rPr>
          <w:rFonts w:ascii="Arial" w:cs="Arial" w:eastAsia="Arial" w:hAnsi="Arial"/>
          <w:sz w:val="13"/>
          <w:szCs w:val="13"/>
          <w:b w:val="1"/>
          <w:bCs w:val="1"/>
          <w:color w:val="auto"/>
        </w:rPr>
        <w:t xml:space="preserve"> </w:t>
      </w:r>
      <w:r>
        <w:rPr>
          <w:rFonts w:ascii="Arial" w:cs="Arial" w:eastAsia="Arial" w:hAnsi="Arial"/>
          <w:sz w:val="13"/>
          <w:szCs w:val="13"/>
          <w:color w:val="auto"/>
        </w:rPr>
        <w:t>held a variety of increasingly significant leadership positions.</w:t>
      </w:r>
    </w:p>
    <w:p>
      <w:pPr>
        <w:spacing w:after="0" w:line="183" w:lineRule="exact"/>
        <w:rPr>
          <w:sz w:val="20"/>
          <w:szCs w:val="20"/>
          <w:color w:val="auto"/>
        </w:rPr>
      </w:pPr>
    </w:p>
    <w:p>
      <w:pPr>
        <w:ind w:left="2080" w:right="40"/>
        <w:spacing w:after="0" w:line="241" w:lineRule="auto"/>
        <w:rPr>
          <w:sz w:val="20"/>
          <w:szCs w:val="20"/>
          <w:color w:val="auto"/>
        </w:rPr>
      </w:pPr>
      <w:r>
        <w:rPr>
          <w:rFonts w:ascii="Arial" w:cs="Arial" w:eastAsia="Arial" w:hAnsi="Arial"/>
          <w:sz w:val="12"/>
          <w:szCs w:val="12"/>
          <w:b w:val="1"/>
          <w:bCs w:val="1"/>
          <w:color w:val="auto"/>
        </w:rPr>
        <w:t xml:space="preserve">Performance Assessment. </w:t>
      </w:r>
      <w:r>
        <w:rPr>
          <w:rFonts w:ascii="Arial" w:cs="Arial" w:eastAsia="Arial" w:hAnsi="Arial"/>
          <w:sz w:val="12"/>
          <w:szCs w:val="12"/>
          <w:color w:val="auto"/>
        </w:rPr>
        <w:t>In assessing Mr. Peterson’s performance, the Compensation Committee considered his leadership and management of his functional</w:t>
      </w:r>
      <w:r>
        <w:rPr>
          <w:rFonts w:ascii="Arial" w:cs="Arial" w:eastAsia="Arial" w:hAnsi="Arial"/>
          <w:sz w:val="12"/>
          <w:szCs w:val="12"/>
          <w:b w:val="1"/>
          <w:bCs w:val="1"/>
          <w:color w:val="auto"/>
        </w:rPr>
        <w:t xml:space="preserve"> </w:t>
      </w:r>
      <w:r>
        <w:rPr>
          <w:rFonts w:ascii="Arial" w:cs="Arial" w:eastAsia="Arial" w:hAnsi="Arial"/>
          <w:sz w:val="12"/>
          <w:szCs w:val="12"/>
          <w:color w:val="auto"/>
        </w:rPr>
        <w:t>areas of responsibility, as well as his leadership and support for Occidental’s overall strategic goals and performance objectives. Mr. Peterson made meaningful contributions with respect to the oversight and management of the company’s financial strength, including balance sheet improvement, liquidity, credit ratings and</w:t>
      </w:r>
    </w:p>
    <w:p>
      <w:pPr>
        <w:spacing w:after="0" w:line="1" w:lineRule="exact"/>
        <w:rPr>
          <w:sz w:val="20"/>
          <w:szCs w:val="20"/>
          <w:color w:val="auto"/>
        </w:rPr>
      </w:pPr>
    </w:p>
    <w:p>
      <w:pPr>
        <w:ind w:left="120"/>
        <w:spacing w:after="0" w:line="222" w:lineRule="auto"/>
        <w:rPr>
          <w:sz w:val="20"/>
          <w:szCs w:val="20"/>
          <w:color w:val="auto"/>
        </w:rPr>
      </w:pPr>
      <w:r>
        <w:rPr>
          <w:rFonts w:ascii="Arial" w:cs="Arial" w:eastAsia="Arial" w:hAnsi="Arial"/>
          <w:sz w:val="13"/>
          <w:szCs w:val="13"/>
          <w:color w:val="auto"/>
        </w:rPr>
        <w:t>financial controls. Mr. Peterson’s efforts also included optimizing the capital program, constructing a shareholder return framework, and maintaining open engagement with equity and fixed income investors, banks, and the broader financial community. Mr. Peterson’s contributions also included optimizing cash resources, reducing debt by more than $10.5 billion of principal and repurchasing $3 billion of common equity. This work included significantly improving the balance sheet through successful bond tenders, open market repurchases and exercising attractive make-whole provisions to reduce debt, leveling debt maturity concentrations, and retiring interest rate swaps. Mr. Peterson also advanced tax efficiency strategies including a tax benefit of $2.7 billion in connection with a legal entity reorganization.</w:t>
      </w:r>
    </w:p>
    <w:p>
      <w:pPr>
        <w:spacing w:after="0" w:line="345"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14"/>
          <w:szCs w:val="14"/>
          <w:b w:val="1"/>
          <w:bCs w:val="1"/>
          <w:color w:val="00529B"/>
        </w:rPr>
        <w:t>COMPENSATION DECISIONS</w:t>
      </w:r>
      <w:r>
        <w:rPr>
          <w:sz w:val="20"/>
          <w:szCs w:val="20"/>
          <w:color w:val="auto"/>
        </w:rPr>
        <w:tab/>
      </w:r>
      <w:r>
        <w:rPr>
          <w:rFonts w:ascii="Arial" w:cs="Arial" w:eastAsia="Arial" w:hAnsi="Arial"/>
          <w:sz w:val="14"/>
          <w:szCs w:val="14"/>
          <w:b w:val="1"/>
          <w:bCs w:val="1"/>
          <w:color w:val="00529B"/>
        </w:rPr>
        <w:t>2022 TARGET COMPENSATION</w:t>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3"/>
          <w:szCs w:val="13"/>
          <w:color w:val="auto"/>
        </w:rPr>
        <w:t>($) in Thousands</w:t>
      </w:r>
    </w:p>
    <w:p>
      <w:pPr>
        <w:ind w:left="120" w:right="3180"/>
        <w:spacing w:after="0" w:line="231" w:lineRule="auto"/>
        <w:rPr>
          <w:sz w:val="20"/>
          <w:szCs w:val="20"/>
          <w:color w:val="auto"/>
        </w:rPr>
      </w:pPr>
      <w:r>
        <w:rPr>
          <w:rFonts w:ascii="Arial" w:cs="Arial" w:eastAsia="Arial" w:hAnsi="Arial"/>
          <w:sz w:val="13"/>
          <w:szCs w:val="13"/>
          <w:b w:val="1"/>
          <w:bCs w:val="1"/>
          <w:color w:val="808080"/>
        </w:rPr>
        <w:t xml:space="preserve">Base salary: </w:t>
      </w:r>
      <w:r>
        <w:rPr>
          <w:rFonts w:ascii="Arial" w:cs="Arial" w:eastAsia="Arial" w:hAnsi="Arial"/>
          <w:sz w:val="13"/>
          <w:szCs w:val="13"/>
          <w:color w:val="000000"/>
        </w:rPr>
        <w:t>Effective February 21, 2022, Mr. Peterson’s salary was increased by $60,000 to $710,000, which the Compensation Committee</w:t>
      </w:r>
      <w:r>
        <w:rPr>
          <w:rFonts w:ascii="Arial" w:cs="Arial" w:eastAsia="Arial" w:hAnsi="Arial"/>
          <w:sz w:val="13"/>
          <w:szCs w:val="13"/>
          <w:b w:val="1"/>
          <w:bCs w:val="1"/>
          <w:color w:val="808080"/>
        </w:rPr>
        <w:t xml:space="preserve"> </w:t>
      </w:r>
      <w:r>
        <w:rPr>
          <w:rFonts w:ascii="Arial" w:cs="Arial" w:eastAsia="Arial" w:hAnsi="Arial"/>
          <w:sz w:val="13"/>
          <w:szCs w:val="13"/>
          <w:color w:val="000000"/>
        </w:rPr>
        <w:t>determined was appropriate in light of his 2021 performance and scope of responsibilities.</w:t>
      </w:r>
    </w:p>
    <w:p>
      <w:pPr>
        <w:spacing w:after="0" w:line="92" w:lineRule="exact"/>
        <w:rPr>
          <w:sz w:val="20"/>
          <w:szCs w:val="20"/>
          <w:color w:val="auto"/>
        </w:rPr>
      </w:pPr>
    </w:p>
    <w:p>
      <w:pPr>
        <w:ind w:left="120" w:right="3160"/>
        <w:spacing w:after="0" w:line="233" w:lineRule="auto"/>
        <w:rPr>
          <w:sz w:val="20"/>
          <w:szCs w:val="20"/>
          <w:color w:val="auto"/>
        </w:rPr>
      </w:pPr>
      <w:r>
        <w:rPr>
          <w:rFonts w:ascii="Arial" w:cs="Arial" w:eastAsia="Arial" w:hAnsi="Arial"/>
          <w:sz w:val="13"/>
          <w:szCs w:val="13"/>
          <w:b w:val="1"/>
          <w:bCs w:val="1"/>
          <w:color w:val="93D8EE"/>
        </w:rPr>
        <w:t xml:space="preserve">Annual Cash Incentive: </w:t>
      </w:r>
      <w:r>
        <w:rPr>
          <w:rFonts w:ascii="Arial" w:cs="Arial" w:eastAsia="Arial" w:hAnsi="Arial"/>
          <w:sz w:val="13"/>
          <w:szCs w:val="13"/>
          <w:color w:val="000000"/>
        </w:rPr>
        <w:t>Mr. Peterson’s target ACI award opportunity was set at $700,000, an increase of $50,000 from 2021. Based on a</w:t>
      </w:r>
      <w:r>
        <w:rPr>
          <w:rFonts w:ascii="Arial" w:cs="Arial" w:eastAsia="Arial" w:hAnsi="Arial"/>
          <w:sz w:val="13"/>
          <w:szCs w:val="13"/>
          <w:b w:val="1"/>
          <w:bCs w:val="1"/>
          <w:color w:val="93D8EE"/>
        </w:rPr>
        <w:t xml:space="preserve"> </w:t>
      </w:r>
      <w:r>
        <w:rPr>
          <w:rFonts w:ascii="Arial" w:cs="Arial" w:eastAsia="Arial" w:hAnsi="Arial"/>
          <w:sz w:val="13"/>
          <w:szCs w:val="13"/>
          <w:color w:val="000000"/>
        </w:rPr>
        <w:t>review of Mr. Peterson’s individual performance, the Compensation Committee approved an ACI payout of 170% of target, consistent with the 170% payout for the company performance portion.</w:t>
      </w:r>
    </w:p>
    <w:p>
      <w:pPr>
        <w:spacing w:after="0" w:line="105" w:lineRule="exact"/>
        <w:rPr>
          <w:sz w:val="20"/>
          <w:szCs w:val="20"/>
          <w:color w:val="auto"/>
        </w:rPr>
      </w:pPr>
    </w:p>
    <w:p>
      <w:pPr>
        <w:ind w:left="120" w:right="3220"/>
        <w:spacing w:after="0" w:line="229" w:lineRule="auto"/>
        <w:rPr>
          <w:sz w:val="20"/>
          <w:szCs w:val="20"/>
          <w:color w:val="auto"/>
        </w:rPr>
      </w:pPr>
      <w:r>
        <w:rPr>
          <w:rFonts w:ascii="Arial" w:cs="Arial" w:eastAsia="Arial" w:hAnsi="Arial"/>
          <w:sz w:val="13"/>
          <w:szCs w:val="13"/>
          <w:b w:val="1"/>
          <w:bCs w:val="1"/>
          <w:color w:val="00529B"/>
        </w:rPr>
        <w:t xml:space="preserve">Long-Term Incentives: </w:t>
      </w:r>
      <w:r>
        <w:rPr>
          <w:rFonts w:ascii="Arial" w:cs="Arial" w:eastAsia="Arial" w:hAnsi="Arial"/>
          <w:sz w:val="13"/>
          <w:szCs w:val="13"/>
          <w:color w:val="000000"/>
        </w:rPr>
        <w:t>The target grant date value of Mr. Peterson’s long-term incentive award package for 2022 was $3,200,000, a 14.3%</w:t>
      </w:r>
      <w:r>
        <w:rPr>
          <w:rFonts w:ascii="Arial" w:cs="Arial" w:eastAsia="Arial" w:hAnsi="Arial"/>
          <w:sz w:val="13"/>
          <w:szCs w:val="13"/>
          <w:b w:val="1"/>
          <w:bCs w:val="1"/>
          <w:color w:val="00529B"/>
        </w:rPr>
        <w:t xml:space="preserve"> </w:t>
      </w:r>
      <w:r>
        <w:rPr>
          <w:rFonts w:ascii="Arial" w:cs="Arial" w:eastAsia="Arial" w:hAnsi="Arial"/>
          <w:sz w:val="13"/>
          <w:szCs w:val="13"/>
          <w:color w:val="000000"/>
        </w:rPr>
        <w:t>increase from 2021, which the Compensation Committee determined was appropriate in light of his 2021 performance and scope of responsibilities. For information regarding how the Compensation Committee determines individual long-term incentive award amounts, see “</w:t>
      </w:r>
      <w:r>
        <w:rPr>
          <w:rFonts w:ascii="Arial" w:cs="Arial" w:eastAsia="Arial" w:hAnsi="Arial"/>
          <w:sz w:val="13"/>
          <w:szCs w:val="13"/>
          <w:i w:val="1"/>
          <w:iCs w:val="1"/>
          <w:color w:val="000000"/>
        </w:rPr>
        <w:t>Elements of the 2022 Compensation Program – Long-Term Incentive Award Program</w:t>
      </w:r>
      <w:r>
        <w:rPr>
          <w:rFonts w:ascii="Arial" w:cs="Arial" w:eastAsia="Arial" w:hAnsi="Arial"/>
          <w:sz w:val="13"/>
          <w:szCs w:val="13"/>
          <w:color w:val="000000"/>
        </w:rPr>
        <w:t>” beginning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1037590</wp:posOffset>
            </wp:positionV>
            <wp:extent cx="7132320" cy="2743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371411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36130" cy="3714115"/>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PETER J. BENNETT | Vice President</w:t>
      </w:r>
    </w:p>
    <w:p>
      <w:pPr>
        <w:spacing w:after="0" w:line="177" w:lineRule="exact"/>
        <w:rPr>
          <w:sz w:val="20"/>
          <w:szCs w:val="20"/>
          <w:color w:val="auto"/>
        </w:rPr>
      </w:pPr>
    </w:p>
    <w:p>
      <w:pPr>
        <w:ind w:left="2080" w:right="240"/>
        <w:spacing w:after="0" w:line="233" w:lineRule="auto"/>
        <w:rPr>
          <w:sz w:val="20"/>
          <w:szCs w:val="20"/>
          <w:color w:val="auto"/>
        </w:rPr>
      </w:pPr>
      <w:r>
        <w:rPr>
          <w:rFonts w:ascii="Arial" w:cs="Arial" w:eastAsia="Arial" w:hAnsi="Arial"/>
          <w:sz w:val="13"/>
          <w:szCs w:val="13"/>
          <w:color w:val="auto"/>
        </w:rPr>
        <w:t>Mr. Bennett is a Vice President of Occidental and the U.S. Onshore Resources and Carbon Management – President, Commercial Development. In this role, Mr. Bennett is responsible for the strategic direction and capital placement for Occidental’s U.S. Onshore Resources and Carbon Management business. His responsibilities include securing partnerships to enhance the company’s portfolio while accelerating value from resource development.</w:t>
      </w:r>
    </w:p>
    <w:p>
      <w:pPr>
        <w:spacing w:after="0" w:line="186" w:lineRule="exact"/>
        <w:rPr>
          <w:sz w:val="20"/>
          <w:szCs w:val="20"/>
          <w:color w:val="auto"/>
        </w:rPr>
      </w:pPr>
    </w:p>
    <w:p>
      <w:pPr>
        <w:ind w:left="2080" w:right="120"/>
        <w:spacing w:after="0" w:line="243" w:lineRule="auto"/>
        <w:rPr>
          <w:sz w:val="20"/>
          <w:szCs w:val="20"/>
          <w:color w:val="auto"/>
        </w:rPr>
      </w:pPr>
      <w:r>
        <w:rPr>
          <w:rFonts w:ascii="Arial" w:cs="Arial" w:eastAsia="Arial" w:hAnsi="Arial"/>
          <w:sz w:val="13"/>
          <w:szCs w:val="13"/>
          <w:b w:val="1"/>
          <w:bCs w:val="1"/>
          <w:color w:val="auto"/>
        </w:rPr>
        <w:t xml:space="preserve">Tenure. </w:t>
      </w:r>
      <w:r>
        <w:rPr>
          <w:rFonts w:ascii="Arial" w:cs="Arial" w:eastAsia="Arial" w:hAnsi="Arial"/>
          <w:sz w:val="13"/>
          <w:szCs w:val="13"/>
          <w:color w:val="auto"/>
        </w:rPr>
        <w:t>Mr. Bennett joined Occidental more than 18 years ago and, before his appointment as Vice President in 2017, has held a variety of increasingly significant</w:t>
      </w:r>
      <w:r>
        <w:rPr>
          <w:rFonts w:ascii="Arial" w:cs="Arial" w:eastAsia="Arial" w:hAnsi="Arial"/>
          <w:sz w:val="13"/>
          <w:szCs w:val="13"/>
          <w:b w:val="1"/>
          <w:bCs w:val="1"/>
          <w:color w:val="auto"/>
        </w:rPr>
        <w:t xml:space="preserve"> </w:t>
      </w:r>
      <w:r>
        <w:rPr>
          <w:rFonts w:ascii="Arial" w:cs="Arial" w:eastAsia="Arial" w:hAnsi="Arial"/>
          <w:sz w:val="13"/>
          <w:szCs w:val="13"/>
          <w:color w:val="auto"/>
        </w:rPr>
        <w:t>leadership positions.</w:t>
      </w:r>
    </w:p>
    <w:p>
      <w:pPr>
        <w:spacing w:after="0" w:line="183" w:lineRule="exact"/>
        <w:rPr>
          <w:sz w:val="20"/>
          <w:szCs w:val="20"/>
          <w:color w:val="auto"/>
        </w:rPr>
      </w:pPr>
    </w:p>
    <w:p>
      <w:pPr>
        <w:ind w:left="2080" w:right="120"/>
        <w:spacing w:after="0" w:line="225" w:lineRule="auto"/>
        <w:rPr>
          <w:sz w:val="20"/>
          <w:szCs w:val="20"/>
          <w:color w:val="auto"/>
        </w:rPr>
      </w:pPr>
      <w:r>
        <w:rPr>
          <w:rFonts w:ascii="Arial" w:cs="Arial" w:eastAsia="Arial" w:hAnsi="Arial"/>
          <w:sz w:val="13"/>
          <w:szCs w:val="13"/>
          <w:b w:val="1"/>
          <w:bCs w:val="1"/>
          <w:color w:val="auto"/>
        </w:rPr>
        <w:t xml:space="preserve">Performance Assessment. </w:t>
      </w:r>
      <w:r>
        <w:rPr>
          <w:rFonts w:ascii="Arial" w:cs="Arial" w:eastAsia="Arial" w:hAnsi="Arial"/>
          <w:sz w:val="13"/>
          <w:szCs w:val="13"/>
          <w:color w:val="auto"/>
        </w:rPr>
        <w:t>In assessing Mr. Bennett’s performance, the Compensation Committee considered his commercial and portfolio management</w:t>
      </w:r>
      <w:r>
        <w:rPr>
          <w:rFonts w:ascii="Arial" w:cs="Arial" w:eastAsia="Arial" w:hAnsi="Arial"/>
          <w:sz w:val="13"/>
          <w:szCs w:val="13"/>
          <w:b w:val="1"/>
          <w:bCs w:val="1"/>
          <w:color w:val="auto"/>
        </w:rPr>
        <w:t xml:space="preserve"> </w:t>
      </w:r>
      <w:r>
        <w:rPr>
          <w:rFonts w:ascii="Arial" w:cs="Arial" w:eastAsia="Arial" w:hAnsi="Arial"/>
          <w:sz w:val="13"/>
          <w:szCs w:val="13"/>
          <w:color w:val="auto"/>
        </w:rPr>
        <w:t>contributions to increasing the value of Occidental’s oil and gas assets, including the renegotiation and expansion of our joint venture with Ecopetrol in the Permian Basin and the delivery of strong production and cash flow from our investment strategy. The Compensation Committee also considered Mr. Bennett’s contributions for OLCV, including enhancing the value of the company’s carbon portfolio and securing capitalization options and new technical and commercial partnerships to support DAC growth and commercialize multiple US Gulf Coast sequestration hubs. As Chairman of the Board of Western Midstream, LP (WES), Mr. Bennett provides strategic oversight of WES, which generated its highest net income in the partnership’s history in 2022.</w:t>
      </w:r>
    </w:p>
    <w:p>
      <w:pPr>
        <w:spacing w:after="0" w:line="261"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14"/>
          <w:szCs w:val="14"/>
          <w:b w:val="1"/>
          <w:bCs w:val="1"/>
          <w:color w:val="00529B"/>
        </w:rPr>
        <w:t>COMPENSATION DECISIONS</w:t>
      </w:r>
      <w:r>
        <w:rPr>
          <w:sz w:val="20"/>
          <w:szCs w:val="20"/>
          <w:color w:val="auto"/>
        </w:rPr>
        <w:tab/>
      </w:r>
      <w:r>
        <w:rPr>
          <w:rFonts w:ascii="Arial" w:cs="Arial" w:eastAsia="Arial" w:hAnsi="Arial"/>
          <w:sz w:val="14"/>
          <w:szCs w:val="14"/>
          <w:b w:val="1"/>
          <w:bCs w:val="1"/>
          <w:color w:val="00529B"/>
        </w:rPr>
        <w:t>2022 TARGET COMPENSATION</w:t>
      </w:r>
    </w:p>
    <w:p>
      <w:pPr>
        <w:ind w:left="8380"/>
        <w:spacing w:after="0" w:line="223" w:lineRule="auto"/>
        <w:rPr>
          <w:sz w:val="20"/>
          <w:szCs w:val="20"/>
          <w:color w:val="auto"/>
        </w:rPr>
      </w:pPr>
      <w:r>
        <w:rPr>
          <w:rFonts w:ascii="Arial" w:cs="Arial" w:eastAsia="Arial" w:hAnsi="Arial"/>
          <w:sz w:val="13"/>
          <w:szCs w:val="13"/>
          <w:color w:val="auto"/>
        </w:rPr>
        <w:t>($) in Thousands</w:t>
      </w:r>
    </w:p>
    <w:p>
      <w:pPr>
        <w:ind w:left="120" w:right="3340"/>
        <w:spacing w:after="0" w:line="231" w:lineRule="auto"/>
        <w:rPr>
          <w:sz w:val="20"/>
          <w:szCs w:val="20"/>
          <w:color w:val="auto"/>
        </w:rPr>
      </w:pPr>
      <w:r>
        <w:rPr>
          <w:rFonts w:ascii="Arial" w:cs="Arial" w:eastAsia="Arial" w:hAnsi="Arial"/>
          <w:sz w:val="13"/>
          <w:szCs w:val="13"/>
          <w:b w:val="1"/>
          <w:bCs w:val="1"/>
          <w:color w:val="808080"/>
        </w:rPr>
        <w:t xml:space="preserve">Base salary: </w:t>
      </w:r>
      <w:r>
        <w:rPr>
          <w:rFonts w:ascii="Arial" w:cs="Arial" w:eastAsia="Arial" w:hAnsi="Arial"/>
          <w:sz w:val="13"/>
          <w:szCs w:val="13"/>
          <w:color w:val="000000"/>
        </w:rPr>
        <w:t>Effective February 21, 2022, Mr. Bennett’s salary was increased by $35,000 to $610,000, which the Compensation Committee</w:t>
      </w:r>
      <w:r>
        <w:rPr>
          <w:rFonts w:ascii="Arial" w:cs="Arial" w:eastAsia="Arial" w:hAnsi="Arial"/>
          <w:sz w:val="13"/>
          <w:szCs w:val="13"/>
          <w:b w:val="1"/>
          <w:bCs w:val="1"/>
          <w:color w:val="808080"/>
        </w:rPr>
        <w:t xml:space="preserve"> </w:t>
      </w:r>
      <w:r>
        <w:rPr>
          <w:rFonts w:ascii="Arial" w:cs="Arial" w:eastAsia="Arial" w:hAnsi="Arial"/>
          <w:sz w:val="13"/>
          <w:szCs w:val="13"/>
          <w:color w:val="000000"/>
        </w:rPr>
        <w:t>determined was appropriate in light of his 2021 performance and scope of responsibilities.</w:t>
      </w:r>
    </w:p>
    <w:p>
      <w:pPr>
        <w:spacing w:after="0" w:line="105" w:lineRule="exact"/>
        <w:rPr>
          <w:sz w:val="20"/>
          <w:szCs w:val="20"/>
          <w:color w:val="auto"/>
        </w:rPr>
      </w:pPr>
    </w:p>
    <w:p>
      <w:pPr>
        <w:ind w:left="120" w:right="3100"/>
        <w:spacing w:after="0" w:line="233" w:lineRule="auto"/>
        <w:rPr>
          <w:sz w:val="20"/>
          <w:szCs w:val="20"/>
          <w:color w:val="auto"/>
        </w:rPr>
      </w:pPr>
      <w:r>
        <w:rPr>
          <w:rFonts w:ascii="Arial" w:cs="Arial" w:eastAsia="Arial" w:hAnsi="Arial"/>
          <w:sz w:val="13"/>
          <w:szCs w:val="13"/>
          <w:b w:val="1"/>
          <w:bCs w:val="1"/>
          <w:color w:val="93D8EE"/>
        </w:rPr>
        <w:t xml:space="preserve">Annual Cash Incentive: </w:t>
      </w:r>
      <w:r>
        <w:rPr>
          <w:rFonts w:ascii="Arial" w:cs="Arial" w:eastAsia="Arial" w:hAnsi="Arial"/>
          <w:sz w:val="13"/>
          <w:szCs w:val="13"/>
          <w:color w:val="000000"/>
        </w:rPr>
        <w:t>Mr. Bennett’s target ACI award opportunity was set at $ 600,000, an increase of $25,000 from 2021. Based on a review</w:t>
      </w:r>
      <w:r>
        <w:rPr>
          <w:rFonts w:ascii="Arial" w:cs="Arial" w:eastAsia="Arial" w:hAnsi="Arial"/>
          <w:sz w:val="13"/>
          <w:szCs w:val="13"/>
          <w:b w:val="1"/>
          <w:bCs w:val="1"/>
          <w:color w:val="93D8EE"/>
        </w:rPr>
        <w:t xml:space="preserve"> </w:t>
      </w:r>
      <w:r>
        <w:rPr>
          <w:rFonts w:ascii="Arial" w:cs="Arial" w:eastAsia="Arial" w:hAnsi="Arial"/>
          <w:sz w:val="13"/>
          <w:szCs w:val="13"/>
          <w:color w:val="000000"/>
        </w:rPr>
        <w:t>of Mr. Bennett’s individual performance, the Compensation Committee approved an ACI payout of 170% of target, consistent with the 170% payout for the company performance portion.</w:t>
      </w:r>
    </w:p>
    <w:p>
      <w:pPr>
        <w:spacing w:after="0" w:line="91" w:lineRule="exact"/>
        <w:rPr>
          <w:sz w:val="20"/>
          <w:szCs w:val="20"/>
          <w:color w:val="auto"/>
        </w:rPr>
      </w:pPr>
    </w:p>
    <w:p>
      <w:pPr>
        <w:ind w:left="120" w:right="3100"/>
        <w:spacing w:after="0" w:line="229" w:lineRule="auto"/>
        <w:rPr>
          <w:sz w:val="20"/>
          <w:szCs w:val="20"/>
          <w:color w:val="auto"/>
        </w:rPr>
      </w:pPr>
      <w:r>
        <w:rPr>
          <w:rFonts w:ascii="Arial" w:cs="Arial" w:eastAsia="Arial" w:hAnsi="Arial"/>
          <w:sz w:val="13"/>
          <w:szCs w:val="13"/>
          <w:b w:val="1"/>
          <w:bCs w:val="1"/>
          <w:color w:val="00529B"/>
        </w:rPr>
        <w:t xml:space="preserve">Long-Term Incentives: </w:t>
      </w:r>
      <w:r>
        <w:rPr>
          <w:rFonts w:ascii="Arial" w:cs="Arial" w:eastAsia="Arial" w:hAnsi="Arial"/>
          <w:sz w:val="13"/>
          <w:szCs w:val="13"/>
          <w:color w:val="000000"/>
        </w:rPr>
        <w:t>The target grant date value of Mr. Bennett’s long-term incentive award package for 2022 was $2,000,000, an</w:t>
      </w:r>
      <w:r>
        <w:rPr>
          <w:rFonts w:ascii="Arial" w:cs="Arial" w:eastAsia="Arial" w:hAnsi="Arial"/>
          <w:sz w:val="13"/>
          <w:szCs w:val="13"/>
          <w:b w:val="1"/>
          <w:bCs w:val="1"/>
          <w:color w:val="00529B"/>
        </w:rPr>
        <w:t xml:space="preserve"> </w:t>
      </w:r>
      <w:r>
        <w:rPr>
          <w:rFonts w:ascii="Arial" w:cs="Arial" w:eastAsia="Arial" w:hAnsi="Arial"/>
          <w:sz w:val="13"/>
          <w:szCs w:val="13"/>
          <w:color w:val="000000"/>
        </w:rPr>
        <w:t>approximate 14% increase from 2021, which the Compensation Committee determined was appropriate in light of his 2021 performance and scope of responsibilities. For information regarding how the Compensation Committee determines individual long-term incentive award amounts, see “</w:t>
      </w:r>
      <w:r>
        <w:rPr>
          <w:rFonts w:ascii="Arial" w:cs="Arial" w:eastAsia="Arial" w:hAnsi="Arial"/>
          <w:sz w:val="13"/>
          <w:szCs w:val="13"/>
          <w:i w:val="1"/>
          <w:iCs w:val="1"/>
          <w:color w:val="000000"/>
        </w:rPr>
        <w:t>Elements of the 2022 Compensation Program – Long-Term Incentive Award Program</w:t>
      </w:r>
      <w:r>
        <w:rPr>
          <w:rFonts w:ascii="Arial" w:cs="Arial" w:eastAsia="Arial" w:hAnsi="Arial"/>
          <w:sz w:val="13"/>
          <w:szCs w:val="13"/>
          <w:color w:val="000000"/>
        </w:rPr>
        <w:t>” beginning on page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379984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36130" cy="3799840"/>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KENNETH DILLON | Senior Vice President</w:t>
      </w:r>
    </w:p>
    <w:p>
      <w:pPr>
        <w:spacing w:after="0" w:line="177" w:lineRule="exact"/>
        <w:rPr>
          <w:sz w:val="20"/>
          <w:szCs w:val="20"/>
          <w:color w:val="auto"/>
        </w:rPr>
      </w:pPr>
    </w:p>
    <w:p>
      <w:pPr>
        <w:ind w:left="2080" w:right="60"/>
        <w:spacing w:after="0" w:line="233" w:lineRule="auto"/>
        <w:rPr>
          <w:sz w:val="20"/>
          <w:szCs w:val="20"/>
          <w:color w:val="auto"/>
        </w:rPr>
      </w:pPr>
      <w:r>
        <w:rPr>
          <w:rFonts w:ascii="Arial" w:cs="Arial" w:eastAsia="Arial" w:hAnsi="Arial"/>
          <w:sz w:val="13"/>
          <w:szCs w:val="13"/>
          <w:color w:val="auto"/>
        </w:rPr>
        <w:t>Mr. Dillon is a Senior Vice President of Occidental and the President of International Oil and Gas Operations for Occidental Oil and Gas Corporation, a subsidiary of Occidental. In this role, Mr. Dillon oversees the company’s operations in the Middle East, North Africa, South America and Gulf of Mexico, as well as Major Projects.</w:t>
      </w:r>
    </w:p>
    <w:p>
      <w:pPr>
        <w:spacing w:after="0" w:line="186" w:lineRule="exact"/>
        <w:rPr>
          <w:sz w:val="20"/>
          <w:szCs w:val="20"/>
          <w:color w:val="auto"/>
        </w:rPr>
      </w:pPr>
    </w:p>
    <w:p>
      <w:pPr>
        <w:ind w:left="2080" w:right="300"/>
        <w:spacing w:after="0" w:line="243" w:lineRule="auto"/>
        <w:rPr>
          <w:sz w:val="20"/>
          <w:szCs w:val="20"/>
          <w:color w:val="auto"/>
        </w:rPr>
      </w:pPr>
      <w:r>
        <w:rPr>
          <w:rFonts w:ascii="Arial" w:cs="Arial" w:eastAsia="Arial" w:hAnsi="Arial"/>
          <w:sz w:val="13"/>
          <w:szCs w:val="13"/>
          <w:b w:val="1"/>
          <w:bCs w:val="1"/>
          <w:color w:val="auto"/>
        </w:rPr>
        <w:t xml:space="preserve">Tenure. </w:t>
      </w:r>
      <w:r>
        <w:rPr>
          <w:rFonts w:ascii="Arial" w:cs="Arial" w:eastAsia="Arial" w:hAnsi="Arial"/>
          <w:sz w:val="13"/>
          <w:szCs w:val="13"/>
          <w:color w:val="auto"/>
        </w:rPr>
        <w:t>Mr. Dillon joined Occidental more than 30 years ago and, before his appointment as Senior Vice President in 2016, has held a variety of increasingly</w:t>
      </w:r>
      <w:r>
        <w:rPr>
          <w:rFonts w:ascii="Arial" w:cs="Arial" w:eastAsia="Arial" w:hAnsi="Arial"/>
          <w:sz w:val="13"/>
          <w:szCs w:val="13"/>
          <w:b w:val="1"/>
          <w:bCs w:val="1"/>
          <w:color w:val="auto"/>
        </w:rPr>
        <w:t xml:space="preserve"> </w:t>
      </w:r>
      <w:r>
        <w:rPr>
          <w:rFonts w:ascii="Arial" w:cs="Arial" w:eastAsia="Arial" w:hAnsi="Arial"/>
          <w:sz w:val="13"/>
          <w:szCs w:val="13"/>
          <w:color w:val="auto"/>
        </w:rPr>
        <w:t>significant leadership positions.</w:t>
      </w:r>
    </w:p>
    <w:p>
      <w:pPr>
        <w:spacing w:after="0" w:line="183" w:lineRule="exact"/>
        <w:rPr>
          <w:sz w:val="20"/>
          <w:szCs w:val="20"/>
          <w:color w:val="auto"/>
        </w:rPr>
      </w:pPr>
    </w:p>
    <w:p>
      <w:pPr>
        <w:ind w:left="2080"/>
        <w:spacing w:after="0" w:line="226" w:lineRule="auto"/>
        <w:rPr>
          <w:sz w:val="20"/>
          <w:szCs w:val="20"/>
          <w:color w:val="auto"/>
        </w:rPr>
      </w:pPr>
      <w:r>
        <w:rPr>
          <w:rFonts w:ascii="Arial" w:cs="Arial" w:eastAsia="Arial" w:hAnsi="Arial"/>
          <w:sz w:val="13"/>
          <w:szCs w:val="13"/>
          <w:b w:val="1"/>
          <w:bCs w:val="1"/>
          <w:color w:val="auto"/>
        </w:rPr>
        <w:t xml:space="preserve">Performance Assessment. </w:t>
      </w:r>
      <w:r>
        <w:rPr>
          <w:rFonts w:ascii="Arial" w:cs="Arial" w:eastAsia="Arial" w:hAnsi="Arial"/>
          <w:sz w:val="13"/>
          <w:szCs w:val="13"/>
          <w:color w:val="auto"/>
        </w:rPr>
        <w:t>In assessing Mr. Dillon’s performance, the Compensation Committee considered his contributions to the success of renegotiating and</w:t>
      </w:r>
      <w:r>
        <w:rPr>
          <w:rFonts w:ascii="Arial" w:cs="Arial" w:eastAsia="Arial" w:hAnsi="Arial"/>
          <w:sz w:val="13"/>
          <w:szCs w:val="13"/>
          <w:b w:val="1"/>
          <w:bCs w:val="1"/>
          <w:color w:val="auto"/>
        </w:rPr>
        <w:t xml:space="preserve"> </w:t>
      </w:r>
      <w:r>
        <w:rPr>
          <w:rFonts w:ascii="Arial" w:cs="Arial" w:eastAsia="Arial" w:hAnsi="Arial"/>
          <w:sz w:val="13"/>
          <w:szCs w:val="13"/>
          <w:color w:val="auto"/>
        </w:rPr>
        <w:t>signing long-term extensions of Occidental’s production contracts in Algeria, achieving record production in Block 9 in Oman after 40 years of operations, and record production at Al Hosn in Abu Dhabi following Phase One of the plant expansion. In Occidental’s Gulf of Mexico operations, significant projects at Horn Mountain and Caesar Tonga were brought into production ahead of schedule. In addition, Mr. Dillon’s support for OLCV led to meeting milestones in the development of new technologies at scale.</w:t>
      </w:r>
    </w:p>
    <w:p>
      <w:pPr>
        <w:spacing w:after="0" w:line="344"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14"/>
          <w:szCs w:val="14"/>
          <w:b w:val="1"/>
          <w:bCs w:val="1"/>
          <w:color w:val="00529B"/>
        </w:rPr>
        <w:t>COMPENSATION DECISIONS</w:t>
      </w:r>
      <w:r>
        <w:rPr>
          <w:sz w:val="20"/>
          <w:szCs w:val="20"/>
          <w:color w:val="auto"/>
        </w:rPr>
        <w:tab/>
      </w:r>
      <w:r>
        <w:rPr>
          <w:rFonts w:ascii="Arial" w:cs="Arial" w:eastAsia="Arial" w:hAnsi="Arial"/>
          <w:sz w:val="14"/>
          <w:szCs w:val="14"/>
          <w:b w:val="1"/>
          <w:bCs w:val="1"/>
          <w:color w:val="00529B"/>
        </w:rPr>
        <w:t>2022 TARGET COMPENSATION</w:t>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3"/>
          <w:szCs w:val="13"/>
          <w:color w:val="auto"/>
        </w:rPr>
        <w:t>($) in Thousands</w:t>
      </w:r>
    </w:p>
    <w:p>
      <w:pPr>
        <w:ind w:left="120" w:right="3320"/>
        <w:spacing w:after="0" w:line="231" w:lineRule="auto"/>
        <w:rPr>
          <w:sz w:val="20"/>
          <w:szCs w:val="20"/>
          <w:color w:val="auto"/>
        </w:rPr>
      </w:pPr>
      <w:r>
        <w:rPr>
          <w:rFonts w:ascii="Arial" w:cs="Arial" w:eastAsia="Arial" w:hAnsi="Arial"/>
          <w:sz w:val="13"/>
          <w:szCs w:val="13"/>
          <w:b w:val="1"/>
          <w:bCs w:val="1"/>
          <w:color w:val="808080"/>
        </w:rPr>
        <w:t xml:space="preserve">Base salary: </w:t>
      </w:r>
      <w:r>
        <w:rPr>
          <w:rFonts w:ascii="Arial" w:cs="Arial" w:eastAsia="Arial" w:hAnsi="Arial"/>
          <w:sz w:val="13"/>
          <w:szCs w:val="13"/>
          <w:color w:val="000000"/>
        </w:rPr>
        <w:t>Effective February 21, 2022, Mr. Dillon’s salary was increased by $35,000 to $710,000, which the Compensation Committee</w:t>
      </w:r>
      <w:r>
        <w:rPr>
          <w:rFonts w:ascii="Arial" w:cs="Arial" w:eastAsia="Arial" w:hAnsi="Arial"/>
          <w:sz w:val="13"/>
          <w:szCs w:val="13"/>
          <w:b w:val="1"/>
          <w:bCs w:val="1"/>
          <w:color w:val="808080"/>
        </w:rPr>
        <w:t xml:space="preserve"> </w:t>
      </w:r>
      <w:r>
        <w:rPr>
          <w:rFonts w:ascii="Arial" w:cs="Arial" w:eastAsia="Arial" w:hAnsi="Arial"/>
          <w:sz w:val="13"/>
          <w:szCs w:val="13"/>
          <w:color w:val="000000"/>
        </w:rPr>
        <w:t>determined was appropriate in light of his 2021 performance and scope of responsibilities.</w:t>
      </w:r>
    </w:p>
    <w:p>
      <w:pPr>
        <w:spacing w:after="0" w:line="92" w:lineRule="exact"/>
        <w:rPr>
          <w:sz w:val="20"/>
          <w:szCs w:val="20"/>
          <w:color w:val="auto"/>
        </w:rPr>
      </w:pPr>
    </w:p>
    <w:p>
      <w:pPr>
        <w:ind w:left="120" w:right="2940"/>
        <w:spacing w:after="0" w:line="233" w:lineRule="auto"/>
        <w:rPr>
          <w:sz w:val="20"/>
          <w:szCs w:val="20"/>
          <w:color w:val="auto"/>
        </w:rPr>
      </w:pPr>
      <w:r>
        <w:rPr>
          <w:rFonts w:ascii="Arial" w:cs="Arial" w:eastAsia="Arial" w:hAnsi="Arial"/>
          <w:sz w:val="13"/>
          <w:szCs w:val="13"/>
          <w:b w:val="1"/>
          <w:bCs w:val="1"/>
          <w:color w:val="93D8EE"/>
        </w:rPr>
        <w:t xml:space="preserve">Annual Cash Incentive: </w:t>
      </w:r>
      <w:r>
        <w:rPr>
          <w:rFonts w:ascii="Arial" w:cs="Arial" w:eastAsia="Arial" w:hAnsi="Arial"/>
          <w:sz w:val="13"/>
          <w:szCs w:val="13"/>
          <w:color w:val="000000"/>
        </w:rPr>
        <w:t>Mr. Dillon’s target ACI award opportunity was set at $825,000, an increase of $25,000 from 2021. Based on a review of</w:t>
      </w:r>
      <w:r>
        <w:rPr>
          <w:rFonts w:ascii="Arial" w:cs="Arial" w:eastAsia="Arial" w:hAnsi="Arial"/>
          <w:sz w:val="13"/>
          <w:szCs w:val="13"/>
          <w:b w:val="1"/>
          <w:bCs w:val="1"/>
          <w:color w:val="93D8EE"/>
        </w:rPr>
        <w:t xml:space="preserve"> </w:t>
      </w:r>
      <w:r>
        <w:rPr>
          <w:rFonts w:ascii="Arial" w:cs="Arial" w:eastAsia="Arial" w:hAnsi="Arial"/>
          <w:sz w:val="13"/>
          <w:szCs w:val="13"/>
          <w:color w:val="000000"/>
        </w:rPr>
        <w:t>Mr. Dillon’s individual performance, the Compensation Committee approved an ACI payout of 170% of target, consistent with the 170% payout for the company performance portion.</w:t>
      </w:r>
    </w:p>
    <w:p>
      <w:pPr>
        <w:spacing w:after="0" w:line="105" w:lineRule="exact"/>
        <w:rPr>
          <w:sz w:val="20"/>
          <w:szCs w:val="20"/>
          <w:color w:val="auto"/>
        </w:rPr>
      </w:pPr>
    </w:p>
    <w:p>
      <w:pPr>
        <w:ind w:left="120" w:right="2960"/>
        <w:spacing w:after="0" w:line="229" w:lineRule="auto"/>
        <w:rPr>
          <w:sz w:val="20"/>
          <w:szCs w:val="20"/>
          <w:color w:val="auto"/>
        </w:rPr>
      </w:pPr>
      <w:r>
        <w:rPr>
          <w:rFonts w:ascii="Arial" w:cs="Arial" w:eastAsia="Arial" w:hAnsi="Arial"/>
          <w:sz w:val="13"/>
          <w:szCs w:val="13"/>
          <w:b w:val="1"/>
          <w:bCs w:val="1"/>
          <w:color w:val="00529B"/>
        </w:rPr>
        <w:t xml:space="preserve">Long-Term Incentives: </w:t>
      </w:r>
      <w:r>
        <w:rPr>
          <w:rFonts w:ascii="Arial" w:cs="Arial" w:eastAsia="Arial" w:hAnsi="Arial"/>
          <w:sz w:val="13"/>
          <w:szCs w:val="13"/>
          <w:color w:val="000000"/>
        </w:rPr>
        <w:t>The target grant date value of Mr. Dillon’s long-term incentive award package for 2022 was $3,500,000, an approximate</w:t>
      </w:r>
      <w:r>
        <w:rPr>
          <w:rFonts w:ascii="Arial" w:cs="Arial" w:eastAsia="Arial" w:hAnsi="Arial"/>
          <w:sz w:val="13"/>
          <w:szCs w:val="13"/>
          <w:b w:val="1"/>
          <w:bCs w:val="1"/>
          <w:color w:val="00529B"/>
        </w:rPr>
        <w:t xml:space="preserve"> </w:t>
      </w:r>
      <w:r>
        <w:rPr>
          <w:rFonts w:ascii="Arial" w:cs="Arial" w:eastAsia="Arial" w:hAnsi="Arial"/>
          <w:sz w:val="13"/>
          <w:szCs w:val="13"/>
          <w:color w:val="000000"/>
        </w:rPr>
        <w:t>19% increase from 2021, which the Compensation Committee determined was appropriate in light of his 2021 performance and scope of responsibilities. For information regarding how the Compensation Committee determines individual long-term incentive award amounts, see “</w:t>
      </w:r>
      <w:r>
        <w:rPr>
          <w:rFonts w:ascii="Arial" w:cs="Arial" w:eastAsia="Arial" w:hAnsi="Arial"/>
          <w:sz w:val="13"/>
          <w:szCs w:val="13"/>
          <w:i w:val="1"/>
          <w:iCs w:val="1"/>
          <w:color w:val="000000"/>
        </w:rPr>
        <w:t>Elements of the 2022 Compensation Program – Long-Term Incentive Award Program</w:t>
      </w:r>
      <w:r>
        <w:rPr>
          <w:rFonts w:ascii="Arial" w:cs="Arial" w:eastAsia="Arial" w:hAnsi="Arial"/>
          <w:sz w:val="13"/>
          <w:szCs w:val="13"/>
          <w:color w:val="000000"/>
        </w:rPr>
        <w:t>” beginning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1115060</wp:posOffset>
            </wp:positionV>
            <wp:extent cx="7132320" cy="2743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39884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36130" cy="3988435"/>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RICHARD A. JACKSON | Senior Vice President</w:t>
      </w:r>
    </w:p>
    <w:p>
      <w:pPr>
        <w:spacing w:after="0" w:line="177" w:lineRule="exact"/>
        <w:rPr>
          <w:sz w:val="20"/>
          <w:szCs w:val="20"/>
          <w:color w:val="auto"/>
        </w:rPr>
      </w:pPr>
    </w:p>
    <w:p>
      <w:pPr>
        <w:ind w:left="2080" w:right="140"/>
        <w:spacing w:after="0" w:line="229" w:lineRule="auto"/>
        <w:rPr>
          <w:sz w:val="20"/>
          <w:szCs w:val="20"/>
          <w:color w:val="auto"/>
        </w:rPr>
      </w:pPr>
      <w:r>
        <w:rPr>
          <w:rFonts w:ascii="Arial" w:cs="Arial" w:eastAsia="Arial" w:hAnsi="Arial"/>
          <w:sz w:val="13"/>
          <w:szCs w:val="13"/>
          <w:color w:val="auto"/>
        </w:rPr>
        <w:t>Mr. Jackson is a Senior Vice President of Occidental and the U.S. Onshore Resources and Carbon Management – President, Operations. In this role, Mr. Jackson leads the development and operations of Occidental’s U.S. onshore oil and gas businesses while continuing to advance and integrate the company’s low-carbon technologies and opportunities. His responsibilities include accelerating subsurface innovation, delivering value-added resource development and advancing operational technologies and key low carbon innovations.</w:t>
      </w:r>
    </w:p>
    <w:p>
      <w:pPr>
        <w:spacing w:after="0" w:line="185" w:lineRule="exact"/>
        <w:rPr>
          <w:sz w:val="20"/>
          <w:szCs w:val="20"/>
          <w:color w:val="auto"/>
        </w:rPr>
      </w:pPr>
    </w:p>
    <w:p>
      <w:pPr>
        <w:ind w:left="2080" w:right="300"/>
        <w:spacing w:after="0" w:line="243" w:lineRule="auto"/>
        <w:rPr>
          <w:sz w:val="20"/>
          <w:szCs w:val="20"/>
          <w:color w:val="auto"/>
        </w:rPr>
      </w:pPr>
      <w:r>
        <w:rPr>
          <w:rFonts w:ascii="Arial" w:cs="Arial" w:eastAsia="Arial" w:hAnsi="Arial"/>
          <w:sz w:val="13"/>
          <w:szCs w:val="13"/>
          <w:b w:val="1"/>
          <w:bCs w:val="1"/>
          <w:color w:val="auto"/>
        </w:rPr>
        <w:t xml:space="preserve">Tenure. </w:t>
      </w:r>
      <w:r>
        <w:rPr>
          <w:rFonts w:ascii="Arial" w:cs="Arial" w:eastAsia="Arial" w:hAnsi="Arial"/>
          <w:sz w:val="13"/>
          <w:szCs w:val="13"/>
          <w:color w:val="auto"/>
        </w:rPr>
        <w:t>Mr. Jackson joined Occidental more than 19 years ago and, before his appointment as Senior Vice President in 2020, has held a variety of increasingly</w:t>
      </w:r>
      <w:r>
        <w:rPr>
          <w:rFonts w:ascii="Arial" w:cs="Arial" w:eastAsia="Arial" w:hAnsi="Arial"/>
          <w:sz w:val="13"/>
          <w:szCs w:val="13"/>
          <w:b w:val="1"/>
          <w:bCs w:val="1"/>
          <w:color w:val="auto"/>
        </w:rPr>
        <w:t xml:space="preserve"> </w:t>
      </w:r>
      <w:r>
        <w:rPr>
          <w:rFonts w:ascii="Arial" w:cs="Arial" w:eastAsia="Arial" w:hAnsi="Arial"/>
          <w:sz w:val="13"/>
          <w:szCs w:val="13"/>
          <w:color w:val="auto"/>
        </w:rPr>
        <w:t>significant leadership positions.</w:t>
      </w:r>
    </w:p>
    <w:p>
      <w:pPr>
        <w:spacing w:after="0" w:line="183" w:lineRule="exact"/>
        <w:rPr>
          <w:sz w:val="20"/>
          <w:szCs w:val="20"/>
          <w:color w:val="auto"/>
        </w:rPr>
      </w:pPr>
    </w:p>
    <w:p>
      <w:pPr>
        <w:ind w:left="2080" w:right="120"/>
        <w:spacing w:after="0" w:line="238" w:lineRule="auto"/>
        <w:rPr>
          <w:sz w:val="20"/>
          <w:szCs w:val="20"/>
          <w:color w:val="auto"/>
        </w:rPr>
      </w:pPr>
      <w:r>
        <w:rPr>
          <w:rFonts w:ascii="Arial" w:cs="Arial" w:eastAsia="Arial" w:hAnsi="Arial"/>
          <w:sz w:val="12"/>
          <w:szCs w:val="12"/>
          <w:b w:val="1"/>
          <w:bCs w:val="1"/>
          <w:color w:val="auto"/>
        </w:rPr>
        <w:t xml:space="preserve">Performance Assessment. </w:t>
      </w:r>
      <w:r>
        <w:rPr>
          <w:rFonts w:ascii="Arial" w:cs="Arial" w:eastAsia="Arial" w:hAnsi="Arial"/>
          <w:sz w:val="12"/>
          <w:szCs w:val="12"/>
          <w:color w:val="auto"/>
        </w:rPr>
        <w:t>In assessing Mr. Jackson’s performance, the Compensation Committee considered his contributions to the success of Occidental’s</w:t>
      </w:r>
      <w:r>
        <w:rPr>
          <w:rFonts w:ascii="Arial" w:cs="Arial" w:eastAsia="Arial" w:hAnsi="Arial"/>
          <w:sz w:val="12"/>
          <w:szCs w:val="12"/>
          <w:b w:val="1"/>
          <w:bCs w:val="1"/>
          <w:color w:val="auto"/>
        </w:rPr>
        <w:t xml:space="preserve"> </w:t>
      </w:r>
      <w:r>
        <w:rPr>
          <w:rFonts w:ascii="Arial" w:cs="Arial" w:eastAsia="Arial" w:hAnsi="Arial"/>
          <w:sz w:val="12"/>
          <w:szCs w:val="12"/>
          <w:color w:val="auto"/>
        </w:rPr>
        <w:t>U.S. Onshore Resources (Oil and Gas) and OLCV technical and business progress. U.S. Onshore Oil and Gas business results included continued advancements in safety system and organization, strong production and cash flow delivery driven from significant Permian production growth and cost management while ramping up operational resources. Low-carbon advancements included significant operational emissions reduction through key projects and reaching zero routine flaring across the company’s U.S. onshore operations, completing DAC 1 FEED and beginning initial construction, securing more than 400 square miles of pore</w:t>
      </w:r>
    </w:p>
    <w:p>
      <w:pPr>
        <w:spacing w:after="0" w:line="3" w:lineRule="exact"/>
        <w:rPr>
          <w:sz w:val="20"/>
          <w:szCs w:val="20"/>
          <w:color w:val="auto"/>
        </w:rPr>
      </w:pPr>
    </w:p>
    <w:p>
      <w:pPr>
        <w:ind w:left="120" w:right="100"/>
        <w:spacing w:after="0" w:line="231" w:lineRule="auto"/>
        <w:rPr>
          <w:sz w:val="20"/>
          <w:szCs w:val="20"/>
          <w:color w:val="auto"/>
        </w:rPr>
      </w:pPr>
      <w:r>
        <w:rPr>
          <w:rFonts w:ascii="Arial" w:cs="Arial" w:eastAsia="Arial" w:hAnsi="Arial"/>
          <w:sz w:val="13"/>
          <w:szCs w:val="13"/>
          <w:color w:val="auto"/>
        </w:rPr>
        <w:t>space and land in multiple locations along the Gulf Coast with storage capacity expected to accommodate up to 50 DAC plants in addition to point source emissions projects, accelerating NET Power zero-emission power through support of new technical and commercial partnerships and milestones and carbon market advancement through carbon dioxide removal sales.</w:t>
      </w:r>
    </w:p>
    <w:p>
      <w:pPr>
        <w:spacing w:after="0" w:line="343"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14"/>
          <w:szCs w:val="14"/>
          <w:b w:val="1"/>
          <w:bCs w:val="1"/>
          <w:color w:val="00529B"/>
        </w:rPr>
        <w:t>COMPENSATION DECISIONS</w:t>
      </w:r>
      <w:r>
        <w:rPr>
          <w:sz w:val="20"/>
          <w:szCs w:val="20"/>
          <w:color w:val="auto"/>
        </w:rPr>
        <w:tab/>
      </w:r>
      <w:r>
        <w:rPr>
          <w:rFonts w:ascii="Arial" w:cs="Arial" w:eastAsia="Arial" w:hAnsi="Arial"/>
          <w:sz w:val="14"/>
          <w:szCs w:val="14"/>
          <w:b w:val="1"/>
          <w:bCs w:val="1"/>
          <w:color w:val="00529B"/>
        </w:rPr>
        <w:t>2022 TARGET COMPENSATION</w:t>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3"/>
          <w:szCs w:val="13"/>
          <w:color w:val="auto"/>
        </w:rPr>
        <w:t>($) in Thousands</w:t>
      </w:r>
    </w:p>
    <w:p>
      <w:pPr>
        <w:ind w:left="120" w:right="3320"/>
        <w:spacing w:after="0" w:line="231" w:lineRule="auto"/>
        <w:rPr>
          <w:sz w:val="20"/>
          <w:szCs w:val="20"/>
          <w:color w:val="auto"/>
        </w:rPr>
      </w:pPr>
      <w:r>
        <w:rPr>
          <w:rFonts w:ascii="Arial" w:cs="Arial" w:eastAsia="Arial" w:hAnsi="Arial"/>
          <w:sz w:val="13"/>
          <w:szCs w:val="13"/>
          <w:b w:val="1"/>
          <w:bCs w:val="1"/>
          <w:color w:val="808080"/>
        </w:rPr>
        <w:t xml:space="preserve">Base salary: </w:t>
      </w:r>
      <w:r>
        <w:rPr>
          <w:rFonts w:ascii="Arial" w:cs="Arial" w:eastAsia="Arial" w:hAnsi="Arial"/>
          <w:sz w:val="13"/>
          <w:szCs w:val="13"/>
          <w:color w:val="000000"/>
        </w:rPr>
        <w:t>Effective February 21, 2022, Mr. Jackson’s salary was increased by $60,000 to $710,000, which the Compensation Committee</w:t>
      </w:r>
      <w:r>
        <w:rPr>
          <w:rFonts w:ascii="Arial" w:cs="Arial" w:eastAsia="Arial" w:hAnsi="Arial"/>
          <w:sz w:val="13"/>
          <w:szCs w:val="13"/>
          <w:b w:val="1"/>
          <w:bCs w:val="1"/>
          <w:color w:val="808080"/>
        </w:rPr>
        <w:t xml:space="preserve"> </w:t>
      </w:r>
      <w:r>
        <w:rPr>
          <w:rFonts w:ascii="Arial" w:cs="Arial" w:eastAsia="Arial" w:hAnsi="Arial"/>
          <w:sz w:val="13"/>
          <w:szCs w:val="13"/>
          <w:color w:val="000000"/>
        </w:rPr>
        <w:t>determined was appropriate in light of his 2021 performance and scope of responsibilities.</w:t>
      </w:r>
    </w:p>
    <w:p>
      <w:pPr>
        <w:spacing w:after="0" w:line="92" w:lineRule="exact"/>
        <w:rPr>
          <w:sz w:val="20"/>
          <w:szCs w:val="20"/>
          <w:color w:val="auto"/>
        </w:rPr>
      </w:pPr>
    </w:p>
    <w:p>
      <w:pPr>
        <w:ind w:left="120" w:right="3080"/>
        <w:spacing w:after="0" w:line="233" w:lineRule="auto"/>
        <w:rPr>
          <w:sz w:val="20"/>
          <w:szCs w:val="20"/>
          <w:color w:val="auto"/>
        </w:rPr>
      </w:pPr>
      <w:r>
        <w:rPr>
          <w:rFonts w:ascii="Arial" w:cs="Arial" w:eastAsia="Arial" w:hAnsi="Arial"/>
          <w:sz w:val="13"/>
          <w:szCs w:val="13"/>
          <w:b w:val="1"/>
          <w:bCs w:val="1"/>
          <w:color w:val="93D8EE"/>
        </w:rPr>
        <w:t xml:space="preserve">Annual Cash Incentive: </w:t>
      </w:r>
      <w:r>
        <w:rPr>
          <w:rFonts w:ascii="Arial" w:cs="Arial" w:eastAsia="Arial" w:hAnsi="Arial"/>
          <w:sz w:val="13"/>
          <w:szCs w:val="13"/>
          <w:color w:val="000000"/>
        </w:rPr>
        <w:t>Mr. Jackson’s target ACI award opportunity was set at $ 700,000, an increase of $50,000 from 2021. Based on a review</w:t>
      </w:r>
      <w:r>
        <w:rPr>
          <w:rFonts w:ascii="Arial" w:cs="Arial" w:eastAsia="Arial" w:hAnsi="Arial"/>
          <w:sz w:val="13"/>
          <w:szCs w:val="13"/>
          <w:b w:val="1"/>
          <w:bCs w:val="1"/>
          <w:color w:val="93D8EE"/>
        </w:rPr>
        <w:t xml:space="preserve"> </w:t>
      </w:r>
      <w:r>
        <w:rPr>
          <w:rFonts w:ascii="Arial" w:cs="Arial" w:eastAsia="Arial" w:hAnsi="Arial"/>
          <w:sz w:val="13"/>
          <w:szCs w:val="13"/>
          <w:color w:val="000000"/>
        </w:rPr>
        <w:t>of Mr. Jackson’s individual performance, the Compensation Committee approved an ACI payout of 170% of target, consistent with the 170% payout for the company performance portion.</w:t>
      </w:r>
    </w:p>
    <w:p>
      <w:pPr>
        <w:spacing w:after="0" w:line="105" w:lineRule="exact"/>
        <w:rPr>
          <w:sz w:val="20"/>
          <w:szCs w:val="20"/>
          <w:color w:val="auto"/>
        </w:rPr>
      </w:pPr>
    </w:p>
    <w:p>
      <w:pPr>
        <w:ind w:left="120" w:right="3360"/>
        <w:spacing w:after="0" w:line="229" w:lineRule="auto"/>
        <w:rPr>
          <w:sz w:val="20"/>
          <w:szCs w:val="20"/>
          <w:color w:val="auto"/>
        </w:rPr>
      </w:pPr>
      <w:r>
        <w:rPr>
          <w:rFonts w:ascii="Arial" w:cs="Arial" w:eastAsia="Arial" w:hAnsi="Arial"/>
          <w:sz w:val="13"/>
          <w:szCs w:val="13"/>
          <w:b w:val="1"/>
          <w:bCs w:val="1"/>
          <w:color w:val="00529B"/>
        </w:rPr>
        <w:t xml:space="preserve">Long-Term Incentives: </w:t>
      </w:r>
      <w:r>
        <w:rPr>
          <w:rFonts w:ascii="Arial" w:cs="Arial" w:eastAsia="Arial" w:hAnsi="Arial"/>
          <w:sz w:val="13"/>
          <w:szCs w:val="13"/>
          <w:color w:val="000000"/>
        </w:rPr>
        <w:t>The target grant date value of Mr. Jackson’s long-term incentive award package for 2022 was $3,200,000, a 14.3%</w:t>
      </w:r>
      <w:r>
        <w:rPr>
          <w:rFonts w:ascii="Arial" w:cs="Arial" w:eastAsia="Arial" w:hAnsi="Arial"/>
          <w:sz w:val="13"/>
          <w:szCs w:val="13"/>
          <w:b w:val="1"/>
          <w:bCs w:val="1"/>
          <w:color w:val="00529B"/>
        </w:rPr>
        <w:t xml:space="preserve"> </w:t>
      </w:r>
      <w:r>
        <w:rPr>
          <w:rFonts w:ascii="Arial" w:cs="Arial" w:eastAsia="Arial" w:hAnsi="Arial"/>
          <w:sz w:val="13"/>
          <w:szCs w:val="13"/>
          <w:color w:val="000000"/>
        </w:rPr>
        <w:t>increase from 2021, which the Compensation Committee determined was appropriate in light of his 2021 performance and scope of responsibilities. For information regarding how the Compensation Committee determines individual long-term incentive award amounts, see “</w:t>
      </w:r>
      <w:r>
        <w:rPr>
          <w:rFonts w:ascii="Arial" w:cs="Arial" w:eastAsia="Arial" w:hAnsi="Arial"/>
          <w:sz w:val="13"/>
          <w:szCs w:val="13"/>
          <w:i w:val="1"/>
          <w:iCs w:val="1"/>
          <w:color w:val="000000"/>
        </w:rPr>
        <w:t>Elements of the 2022 Compensation Program – Long-Term Incentive Award Program</w:t>
      </w:r>
      <w:r>
        <w:rPr>
          <w:rFonts w:ascii="Arial" w:cs="Arial" w:eastAsia="Arial" w:hAnsi="Arial"/>
          <w:sz w:val="13"/>
          <w:szCs w:val="13"/>
          <w:color w:val="000000"/>
        </w:rPr>
        <w:t>” beginning on page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403987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36130" cy="4039870"/>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MARCIA E. BACKUS | Former Senior Vice President, General Counsel and Chief Compliance Officer</w:t>
      </w:r>
    </w:p>
    <w:p>
      <w:pPr>
        <w:spacing w:after="0" w:line="177" w:lineRule="exact"/>
        <w:rPr>
          <w:sz w:val="20"/>
          <w:szCs w:val="20"/>
          <w:color w:val="auto"/>
        </w:rPr>
      </w:pPr>
    </w:p>
    <w:p>
      <w:pPr>
        <w:ind w:left="2080" w:right="140"/>
        <w:spacing w:after="0" w:line="233" w:lineRule="auto"/>
        <w:rPr>
          <w:sz w:val="20"/>
          <w:szCs w:val="20"/>
          <w:color w:val="auto"/>
        </w:rPr>
      </w:pPr>
      <w:r>
        <w:rPr>
          <w:rFonts w:ascii="Arial" w:cs="Arial" w:eastAsia="Arial" w:hAnsi="Arial"/>
          <w:sz w:val="13"/>
          <w:szCs w:val="13"/>
          <w:color w:val="auto"/>
        </w:rPr>
        <w:t>As part of her retirement from Occidental, Ms. Backus ceased being an executive officer as of October 3, 2022, stepped down from her role as Senior Vice President, General Counsel and Chief Compliance Officer of Occidental effective as of December 31, 2022 and terminated employment effective as of March 1, 2023. Ms. Backus has agreed to provide transition services to Occidental on a consulting basis through June 30, 2024.</w:t>
      </w:r>
    </w:p>
    <w:p>
      <w:pPr>
        <w:spacing w:after="0" w:line="186" w:lineRule="exact"/>
        <w:rPr>
          <w:sz w:val="20"/>
          <w:szCs w:val="20"/>
          <w:color w:val="auto"/>
        </w:rPr>
      </w:pPr>
    </w:p>
    <w:p>
      <w:pPr>
        <w:ind w:left="2080" w:right="320"/>
        <w:spacing w:after="0" w:line="243" w:lineRule="auto"/>
        <w:rPr>
          <w:sz w:val="20"/>
          <w:szCs w:val="20"/>
          <w:color w:val="auto"/>
        </w:rPr>
      </w:pPr>
      <w:r>
        <w:rPr>
          <w:rFonts w:ascii="Arial" w:cs="Arial" w:eastAsia="Arial" w:hAnsi="Arial"/>
          <w:sz w:val="13"/>
          <w:szCs w:val="13"/>
          <w:color w:val="auto"/>
        </w:rPr>
        <w:t>Ms. Backus previously served as General Counsel since 2013, Senior Vice President since 2014 and Chief Compliance Officer since 2015. Ms. Backus was responsible for overseeing Occidental’s legal and compliance departments.</w:t>
      </w:r>
    </w:p>
    <w:p>
      <w:pPr>
        <w:spacing w:after="0" w:line="183" w:lineRule="exact"/>
        <w:rPr>
          <w:sz w:val="20"/>
          <w:szCs w:val="20"/>
          <w:color w:val="auto"/>
        </w:rPr>
      </w:pPr>
    </w:p>
    <w:p>
      <w:pPr>
        <w:ind w:left="2080"/>
        <w:spacing w:after="0"/>
        <w:rPr>
          <w:sz w:val="20"/>
          <w:szCs w:val="20"/>
          <w:color w:val="auto"/>
        </w:rPr>
      </w:pPr>
      <w:r>
        <w:rPr>
          <w:rFonts w:ascii="Arial" w:cs="Arial" w:eastAsia="Arial" w:hAnsi="Arial"/>
          <w:sz w:val="13"/>
          <w:szCs w:val="13"/>
          <w:b w:val="1"/>
          <w:bCs w:val="1"/>
          <w:color w:val="auto"/>
        </w:rPr>
        <w:t xml:space="preserve">Tenure. </w:t>
      </w:r>
      <w:r>
        <w:rPr>
          <w:rFonts w:ascii="Arial" w:cs="Arial" w:eastAsia="Arial" w:hAnsi="Arial"/>
          <w:sz w:val="13"/>
          <w:szCs w:val="13"/>
          <w:color w:val="auto"/>
        </w:rPr>
        <w:t>Ms. Backus joined Occidental in 2013.</w:t>
      </w:r>
    </w:p>
    <w:p>
      <w:pPr>
        <w:spacing w:after="0" w:line="202"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auto"/>
        </w:rPr>
        <w:t xml:space="preserve">Performance Assessment. </w:t>
      </w:r>
      <w:r>
        <w:rPr>
          <w:rFonts w:ascii="Arial" w:cs="Arial" w:eastAsia="Arial" w:hAnsi="Arial"/>
          <w:sz w:val="12"/>
          <w:szCs w:val="12"/>
          <w:color w:val="auto"/>
        </w:rPr>
        <w:t>In assessing Ms. Backus’ performance, the Compensation Committee considered her leadership and management of her areas of</w:t>
      </w:r>
      <w:r>
        <w:rPr>
          <w:rFonts w:ascii="Arial" w:cs="Arial" w:eastAsia="Arial" w:hAnsi="Arial"/>
          <w:sz w:val="12"/>
          <w:szCs w:val="12"/>
          <w:b w:val="1"/>
          <w:bCs w:val="1"/>
          <w:color w:val="auto"/>
        </w:rPr>
        <w:t xml:space="preserve"> </w:t>
      </w:r>
      <w:r>
        <w:rPr>
          <w:rFonts w:ascii="Arial" w:cs="Arial" w:eastAsia="Arial" w:hAnsi="Arial"/>
          <w:sz w:val="12"/>
          <w:szCs w:val="12"/>
          <w:color w:val="auto"/>
        </w:rPr>
        <w:t>responsibility, as well as her support for Occidental’s overall strategic business goals and performance objectives. Ms. Backus’ efforts included her instrumental involvement in the company’s successful balance sheet improvement efforts through repurchases of $3 billion of common equity and repaying over $ 10.5 billion in debt. Ms. Backus also demonstrated superior performance in handling litigation matters, developed and implemented proven litigation strategies and achieved</w:t>
      </w:r>
    </w:p>
    <w:p>
      <w:pPr>
        <w:ind w:left="120"/>
        <w:spacing w:after="0"/>
        <w:rPr>
          <w:sz w:val="20"/>
          <w:szCs w:val="20"/>
          <w:color w:val="auto"/>
        </w:rPr>
      </w:pPr>
      <w:r>
        <w:rPr>
          <w:rFonts w:ascii="Arial" w:cs="Arial" w:eastAsia="Arial" w:hAnsi="Arial"/>
          <w:sz w:val="13"/>
          <w:szCs w:val="13"/>
          <w:color w:val="auto"/>
        </w:rPr>
        <w:t>successful outcomes.</w:t>
      </w:r>
    </w:p>
    <w:p>
      <w:pPr>
        <w:spacing w:after="0" w:line="347"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14"/>
          <w:szCs w:val="14"/>
          <w:b w:val="1"/>
          <w:bCs w:val="1"/>
          <w:color w:val="00529B"/>
        </w:rPr>
        <w:t>COMPENSATION DECISIONS</w:t>
      </w:r>
      <w:r>
        <w:rPr>
          <w:sz w:val="20"/>
          <w:szCs w:val="20"/>
          <w:color w:val="auto"/>
        </w:rPr>
        <w:tab/>
      </w:r>
      <w:r>
        <w:rPr>
          <w:rFonts w:ascii="Arial" w:cs="Arial" w:eastAsia="Arial" w:hAnsi="Arial"/>
          <w:sz w:val="14"/>
          <w:szCs w:val="14"/>
          <w:b w:val="1"/>
          <w:bCs w:val="1"/>
          <w:color w:val="00529B"/>
        </w:rPr>
        <w:t>2022 TARGET COMPENSATION</w:t>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3"/>
          <w:szCs w:val="13"/>
          <w:color w:val="auto"/>
        </w:rPr>
        <w:t>($) in Thousands</w:t>
      </w:r>
    </w:p>
    <w:p>
      <w:pPr>
        <w:ind w:left="120" w:right="3200"/>
        <w:spacing w:after="0" w:line="231" w:lineRule="auto"/>
        <w:rPr>
          <w:sz w:val="20"/>
          <w:szCs w:val="20"/>
          <w:color w:val="auto"/>
        </w:rPr>
      </w:pPr>
      <w:r>
        <w:rPr>
          <w:rFonts w:ascii="Arial" w:cs="Arial" w:eastAsia="Arial" w:hAnsi="Arial"/>
          <w:sz w:val="13"/>
          <w:szCs w:val="13"/>
          <w:b w:val="1"/>
          <w:bCs w:val="1"/>
          <w:color w:val="808080"/>
        </w:rPr>
        <w:t xml:space="preserve">Base salary: </w:t>
      </w:r>
      <w:r>
        <w:rPr>
          <w:rFonts w:ascii="Arial" w:cs="Arial" w:eastAsia="Arial" w:hAnsi="Arial"/>
          <w:sz w:val="13"/>
          <w:szCs w:val="13"/>
          <w:color w:val="000000"/>
        </w:rPr>
        <w:t>Effective February 21, 2022, Mr. Backus’s salary was increased by $20,000 to $750,000, which the Compensation Committee</w:t>
      </w:r>
      <w:r>
        <w:rPr>
          <w:rFonts w:ascii="Arial" w:cs="Arial" w:eastAsia="Arial" w:hAnsi="Arial"/>
          <w:sz w:val="13"/>
          <w:szCs w:val="13"/>
          <w:b w:val="1"/>
          <w:bCs w:val="1"/>
          <w:color w:val="808080"/>
        </w:rPr>
        <w:t xml:space="preserve"> </w:t>
      </w:r>
      <w:r>
        <w:rPr>
          <w:rFonts w:ascii="Arial" w:cs="Arial" w:eastAsia="Arial" w:hAnsi="Arial"/>
          <w:sz w:val="13"/>
          <w:szCs w:val="13"/>
          <w:color w:val="000000"/>
        </w:rPr>
        <w:t>determined was appropriate in light of her 2021 performance and scope of responsibilities.</w:t>
      </w:r>
    </w:p>
    <w:p>
      <w:pPr>
        <w:spacing w:after="0" w:line="92" w:lineRule="exact"/>
        <w:rPr>
          <w:sz w:val="20"/>
          <w:szCs w:val="20"/>
          <w:color w:val="auto"/>
        </w:rPr>
      </w:pPr>
    </w:p>
    <w:p>
      <w:pPr>
        <w:ind w:left="120" w:right="2940"/>
        <w:spacing w:after="0" w:line="233" w:lineRule="auto"/>
        <w:rPr>
          <w:sz w:val="20"/>
          <w:szCs w:val="20"/>
          <w:color w:val="auto"/>
        </w:rPr>
      </w:pPr>
      <w:r>
        <w:rPr>
          <w:rFonts w:ascii="Arial" w:cs="Arial" w:eastAsia="Arial" w:hAnsi="Arial"/>
          <w:sz w:val="13"/>
          <w:szCs w:val="13"/>
          <w:b w:val="1"/>
          <w:bCs w:val="1"/>
          <w:color w:val="93D8EE"/>
        </w:rPr>
        <w:t xml:space="preserve">Annual Cash Incentive: </w:t>
      </w:r>
      <w:r>
        <w:rPr>
          <w:rFonts w:ascii="Arial" w:cs="Arial" w:eastAsia="Arial" w:hAnsi="Arial"/>
          <w:sz w:val="13"/>
          <w:szCs w:val="13"/>
          <w:color w:val="000000"/>
        </w:rPr>
        <w:t>Ms. Backus’s target ACI award opportunity was set at $ 825,000, an increase of $25,000 from 2021. Based on a review</w:t>
      </w:r>
      <w:r>
        <w:rPr>
          <w:rFonts w:ascii="Arial" w:cs="Arial" w:eastAsia="Arial" w:hAnsi="Arial"/>
          <w:sz w:val="13"/>
          <w:szCs w:val="13"/>
          <w:b w:val="1"/>
          <w:bCs w:val="1"/>
          <w:color w:val="93D8EE"/>
        </w:rPr>
        <w:t xml:space="preserve"> </w:t>
      </w:r>
      <w:r>
        <w:rPr>
          <w:rFonts w:ascii="Arial" w:cs="Arial" w:eastAsia="Arial" w:hAnsi="Arial"/>
          <w:sz w:val="13"/>
          <w:szCs w:val="13"/>
          <w:color w:val="000000"/>
        </w:rPr>
        <w:t>of Ms. Backus’s individual performance, the Compensation Committee approved an ACI payout of 170% of target, consistent with the 170% payout for the company performance portion.</w:t>
      </w:r>
    </w:p>
    <w:p>
      <w:pPr>
        <w:spacing w:after="0" w:line="105" w:lineRule="exact"/>
        <w:rPr>
          <w:sz w:val="20"/>
          <w:szCs w:val="20"/>
          <w:color w:val="auto"/>
        </w:rPr>
      </w:pPr>
    </w:p>
    <w:p>
      <w:pPr>
        <w:ind w:left="120" w:right="2940"/>
        <w:spacing w:after="0" w:line="229" w:lineRule="auto"/>
        <w:rPr>
          <w:sz w:val="20"/>
          <w:szCs w:val="20"/>
          <w:color w:val="auto"/>
        </w:rPr>
      </w:pPr>
      <w:r>
        <w:rPr>
          <w:rFonts w:ascii="Arial" w:cs="Arial" w:eastAsia="Arial" w:hAnsi="Arial"/>
          <w:sz w:val="13"/>
          <w:szCs w:val="13"/>
          <w:b w:val="1"/>
          <w:bCs w:val="1"/>
          <w:color w:val="00529B"/>
        </w:rPr>
        <w:t xml:space="preserve">Long-Term Incentives: </w:t>
      </w:r>
      <w:r>
        <w:rPr>
          <w:rFonts w:ascii="Arial" w:cs="Arial" w:eastAsia="Arial" w:hAnsi="Arial"/>
          <w:sz w:val="13"/>
          <w:szCs w:val="13"/>
          <w:color w:val="000000"/>
        </w:rPr>
        <w:t>The target grant date value of Ms. Backus’s long-term incentive award package for 2022 was $3,400,000, an</w:t>
      </w:r>
      <w:r>
        <w:rPr>
          <w:rFonts w:ascii="Arial" w:cs="Arial" w:eastAsia="Arial" w:hAnsi="Arial"/>
          <w:sz w:val="13"/>
          <w:szCs w:val="13"/>
          <w:b w:val="1"/>
          <w:bCs w:val="1"/>
          <w:color w:val="00529B"/>
        </w:rPr>
        <w:t xml:space="preserve"> </w:t>
      </w:r>
      <w:r>
        <w:rPr>
          <w:rFonts w:ascii="Arial" w:cs="Arial" w:eastAsia="Arial" w:hAnsi="Arial"/>
          <w:sz w:val="13"/>
          <w:szCs w:val="13"/>
          <w:color w:val="000000"/>
        </w:rPr>
        <w:t>approximate 13% increase from 2021, which the Compensation Committee determined was appropriate in light of her 2021 performance and scope of responsibilities. For information regarding how the Compensation Committee determines individual long-term incentive award amounts, see “</w:t>
      </w:r>
      <w:r>
        <w:rPr>
          <w:rFonts w:ascii="Arial" w:cs="Arial" w:eastAsia="Arial" w:hAnsi="Arial"/>
          <w:sz w:val="13"/>
          <w:szCs w:val="13"/>
          <w:i w:val="1"/>
          <w:iCs w:val="1"/>
          <w:color w:val="000000"/>
        </w:rPr>
        <w:t>Elements of the 2022 Compensation Program – Long-Term Incentive Award Program”</w:t>
      </w:r>
      <w:r>
        <w:rPr>
          <w:rFonts w:ascii="Arial" w:cs="Arial" w:eastAsia="Arial" w:hAnsi="Arial"/>
          <w:sz w:val="13"/>
          <w:szCs w:val="13"/>
          <w:color w:val="000000"/>
        </w:rPr>
        <w:t xml:space="preserve"> beginning on page 48.</w:t>
      </w:r>
    </w:p>
    <w:p>
      <w:pPr>
        <w:spacing w:after="0" w:line="91" w:lineRule="exact"/>
        <w:rPr>
          <w:sz w:val="20"/>
          <w:szCs w:val="20"/>
          <w:color w:val="auto"/>
        </w:rPr>
      </w:pPr>
    </w:p>
    <w:p>
      <w:pPr>
        <w:jc w:val="both"/>
        <w:ind w:left="120" w:right="3020"/>
        <w:spacing w:after="0" w:line="259" w:lineRule="auto"/>
        <w:rPr>
          <w:sz w:val="20"/>
          <w:szCs w:val="20"/>
          <w:color w:val="auto"/>
        </w:rPr>
      </w:pPr>
      <w:r>
        <w:rPr>
          <w:rFonts w:ascii="Arial" w:cs="Arial" w:eastAsia="Arial" w:hAnsi="Arial"/>
          <w:sz w:val="12"/>
          <w:szCs w:val="12"/>
          <w:color w:val="auto"/>
        </w:rPr>
        <w:t>In connection with her transition to a consulting role, Occidental entered into a Transition Services and Separation Agreement with Ms. Backus pursuant to which she is entitled to certain payments and acceleration of time-based equity awards. See “</w:t>
      </w:r>
      <w:r>
        <w:rPr>
          <w:rFonts w:ascii="Arial" w:cs="Arial" w:eastAsia="Arial" w:hAnsi="Arial"/>
          <w:sz w:val="12"/>
          <w:szCs w:val="12"/>
          <w:i w:val="1"/>
          <w:iCs w:val="1"/>
          <w:color w:val="auto"/>
        </w:rPr>
        <w:t>Potential Payments upon Termination</w:t>
      </w:r>
      <w:r>
        <w:rPr>
          <w:rFonts w:ascii="Arial" w:cs="Arial" w:eastAsia="Arial" w:hAnsi="Arial"/>
          <w:sz w:val="12"/>
          <w:szCs w:val="12"/>
          <w:color w:val="auto"/>
        </w:rPr>
        <w:t xml:space="preserve"> </w:t>
      </w:r>
      <w:r>
        <w:rPr>
          <w:rFonts w:ascii="Arial" w:cs="Arial" w:eastAsia="Arial" w:hAnsi="Arial"/>
          <w:sz w:val="12"/>
          <w:szCs w:val="12"/>
          <w:i w:val="1"/>
          <w:iCs w:val="1"/>
          <w:color w:val="auto"/>
        </w:rPr>
        <w:t>or Change in Control – Payments to Former Officer</w:t>
      </w:r>
      <w:r>
        <w:rPr>
          <w:rFonts w:ascii="Arial" w:cs="Arial" w:eastAsia="Arial" w:hAnsi="Arial"/>
          <w:sz w:val="12"/>
          <w:szCs w:val="12"/>
          <w:color w:val="auto"/>
        </w:rPr>
        <w:t>” beginning on page 74 for a more detailed description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2743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Additional Compensation Policies and Practices</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Stock Ownership Guidelines</w:t>
      </w:r>
    </w:p>
    <w:p>
      <w:pPr>
        <w:spacing w:after="0" w:line="239" w:lineRule="exact"/>
        <w:rPr>
          <w:sz w:val="20"/>
          <w:szCs w:val="20"/>
          <w:color w:val="auto"/>
        </w:rPr>
      </w:pPr>
    </w:p>
    <w:p>
      <w:pPr>
        <w:ind w:right="500"/>
        <w:spacing w:after="0" w:line="264" w:lineRule="auto"/>
        <w:rPr>
          <w:sz w:val="20"/>
          <w:szCs w:val="20"/>
          <w:color w:val="auto"/>
        </w:rPr>
      </w:pPr>
      <w:r>
        <w:rPr>
          <w:rFonts w:ascii="Arial" w:cs="Arial" w:eastAsia="Arial" w:hAnsi="Arial"/>
          <w:sz w:val="15"/>
          <w:szCs w:val="15"/>
          <w:color w:val="auto"/>
        </w:rPr>
        <w:t>Occidental’s stock ownership guidelines are intended to more closely align the interests of the NEOs with those of the company’s shareholders. The ownership guidelines range from two-to-six times the officer’s annual base salary, based on position, as illustrated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Position</w:t>
            </w:r>
          </w:p>
        </w:tc>
        <w:tc>
          <w:tcPr>
            <w:tcW w:w="5680" w:type="dxa"/>
            <w:vAlign w:val="bottom"/>
            <w:tcBorders>
              <w:bottom w:val="single" w:sz="8" w:color="00529B"/>
            </w:tcBorders>
          </w:tcPr>
          <w:p>
            <w:pPr>
              <w:jc w:val="right"/>
              <w:spacing w:after="0"/>
              <w:rPr>
                <w:sz w:val="20"/>
                <w:szCs w:val="20"/>
                <w:color w:val="auto"/>
              </w:rPr>
            </w:pPr>
            <w:r>
              <w:rPr>
                <w:rFonts w:ascii="Arial" w:cs="Arial" w:eastAsia="Arial" w:hAnsi="Arial"/>
                <w:sz w:val="14"/>
                <w:szCs w:val="14"/>
                <w:b w:val="1"/>
                <w:bCs w:val="1"/>
                <w:color w:val="00529B"/>
              </w:rPr>
              <w:t>Multiple of Base Salary</w:t>
            </w:r>
          </w:p>
        </w:tc>
      </w:tr>
      <w:tr>
        <w:trPr>
          <w:trHeight w:val="162"/>
        </w:trPr>
        <w:tc>
          <w:tcPr>
            <w:tcW w:w="556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Chief Executive Officer</w:t>
            </w:r>
          </w:p>
        </w:tc>
        <w:tc>
          <w:tcPr>
            <w:tcW w:w="56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6</w:t>
            </w:r>
          </w:p>
        </w:tc>
      </w:tr>
      <w:tr>
        <w:trPr>
          <w:trHeight w:val="156"/>
        </w:trPr>
        <w:tc>
          <w:tcPr>
            <w:tcW w:w="5560" w:type="dxa"/>
            <w:vAlign w:val="bottom"/>
            <w:tcBorders>
              <w:bottom w:val="single" w:sz="8" w:color="D1D2D4"/>
            </w:tcBorders>
          </w:tcPr>
          <w:p>
            <w:pPr>
              <w:ind w:left="60"/>
              <w:spacing w:after="0" w:line="155" w:lineRule="exact"/>
              <w:rPr>
                <w:sz w:val="20"/>
                <w:szCs w:val="20"/>
                <w:color w:val="auto"/>
              </w:rPr>
            </w:pPr>
            <w:r>
              <w:rPr>
                <w:rFonts w:ascii="Arial" w:cs="Arial" w:eastAsia="Arial" w:hAnsi="Arial"/>
                <w:sz w:val="14"/>
                <w:szCs w:val="14"/>
                <w:color w:val="auto"/>
              </w:rPr>
              <w:t>Chief Financial Officer</w:t>
            </w:r>
          </w:p>
        </w:tc>
        <w:tc>
          <w:tcPr>
            <w:tcW w:w="5680" w:type="dxa"/>
            <w:vAlign w:val="bottom"/>
            <w:tcBorders>
              <w:bottom w:val="single" w:sz="8" w:color="D1D2D4"/>
            </w:tcBorders>
          </w:tcPr>
          <w:p>
            <w:pPr>
              <w:jc w:val="right"/>
              <w:spacing w:after="0" w:line="155" w:lineRule="exact"/>
              <w:rPr>
                <w:sz w:val="20"/>
                <w:szCs w:val="20"/>
                <w:color w:val="auto"/>
              </w:rPr>
            </w:pPr>
            <w:r>
              <w:rPr>
                <w:rFonts w:ascii="Arial" w:cs="Arial" w:eastAsia="Arial" w:hAnsi="Arial"/>
                <w:sz w:val="14"/>
                <w:szCs w:val="14"/>
                <w:color w:val="auto"/>
              </w:rPr>
              <w:t>4</w:t>
            </w:r>
          </w:p>
        </w:tc>
      </w:tr>
      <w:tr>
        <w:trPr>
          <w:trHeight w:val="155"/>
        </w:trPr>
        <w:tc>
          <w:tcPr>
            <w:tcW w:w="5560" w:type="dxa"/>
            <w:vAlign w:val="bottom"/>
            <w:tcBorders>
              <w:bottom w:val="single" w:sz="8" w:color="D1D2D4"/>
            </w:tcBorders>
          </w:tcPr>
          <w:p>
            <w:pPr>
              <w:ind w:left="60"/>
              <w:spacing w:after="0" w:line="155" w:lineRule="exact"/>
              <w:rPr>
                <w:sz w:val="20"/>
                <w:szCs w:val="20"/>
                <w:color w:val="auto"/>
              </w:rPr>
            </w:pPr>
            <w:r>
              <w:rPr>
                <w:rFonts w:ascii="Arial" w:cs="Arial" w:eastAsia="Arial" w:hAnsi="Arial"/>
                <w:sz w:val="14"/>
                <w:szCs w:val="14"/>
                <w:color w:val="auto"/>
              </w:rPr>
              <w:t>Senior Vice Presidents</w:t>
            </w:r>
          </w:p>
        </w:tc>
        <w:tc>
          <w:tcPr>
            <w:tcW w:w="5680" w:type="dxa"/>
            <w:vAlign w:val="bottom"/>
            <w:tcBorders>
              <w:bottom w:val="single" w:sz="8" w:color="D1D2D4"/>
            </w:tcBorders>
          </w:tcPr>
          <w:p>
            <w:pPr>
              <w:jc w:val="right"/>
              <w:spacing w:after="0" w:line="155" w:lineRule="exact"/>
              <w:rPr>
                <w:sz w:val="20"/>
                <w:szCs w:val="20"/>
                <w:color w:val="auto"/>
              </w:rPr>
            </w:pPr>
            <w:r>
              <w:rPr>
                <w:rFonts w:ascii="Arial" w:cs="Arial" w:eastAsia="Arial" w:hAnsi="Arial"/>
                <w:sz w:val="14"/>
                <w:szCs w:val="14"/>
                <w:color w:val="auto"/>
              </w:rPr>
              <w:t>3</w:t>
            </w:r>
          </w:p>
        </w:tc>
      </w:tr>
      <w:tr>
        <w:trPr>
          <w:trHeight w:val="163"/>
        </w:trPr>
        <w:tc>
          <w:tcPr>
            <w:tcW w:w="5560" w:type="dxa"/>
            <w:vAlign w:val="bottom"/>
            <w:tcBorders>
              <w:bottom w:val="single" w:sz="8" w:color="00529B"/>
            </w:tcBorders>
          </w:tcPr>
          <w:p>
            <w:pPr>
              <w:ind w:left="60"/>
              <w:spacing w:after="0" w:line="155" w:lineRule="exact"/>
              <w:rPr>
                <w:sz w:val="20"/>
                <w:szCs w:val="20"/>
                <w:color w:val="auto"/>
              </w:rPr>
            </w:pPr>
            <w:r>
              <w:rPr>
                <w:rFonts w:ascii="Arial" w:cs="Arial" w:eastAsia="Arial" w:hAnsi="Arial"/>
                <w:sz w:val="14"/>
                <w:szCs w:val="14"/>
                <w:color w:val="auto"/>
              </w:rPr>
              <w:t>Vice Presidents</w:t>
            </w:r>
          </w:p>
        </w:tc>
        <w:tc>
          <w:tcPr>
            <w:tcW w:w="5680" w:type="dxa"/>
            <w:vAlign w:val="bottom"/>
            <w:tcBorders>
              <w:bottom w:val="single" w:sz="8" w:color="00529B"/>
            </w:tcBorders>
          </w:tcPr>
          <w:p>
            <w:pPr>
              <w:jc w:val="right"/>
              <w:spacing w:after="0" w:line="155" w:lineRule="exact"/>
              <w:rPr>
                <w:sz w:val="20"/>
                <w:szCs w:val="20"/>
                <w:color w:val="auto"/>
              </w:rPr>
            </w:pPr>
            <w:r>
              <w:rPr>
                <w:rFonts w:ascii="Arial" w:cs="Arial" w:eastAsia="Arial" w:hAnsi="Arial"/>
                <w:sz w:val="14"/>
                <w:szCs w:val="14"/>
                <w:color w:val="auto"/>
              </w:rPr>
              <w:t>2</w:t>
            </w:r>
          </w:p>
        </w:tc>
      </w:tr>
    </w:tbl>
    <w:p>
      <w:pPr>
        <w:spacing w:after="0" w:line="131"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An officer who does not meet the minimum ownership guidelines may not sell any shares of Occidental common stock until he or she meets the ownership guidelines and would continue to meet the ownership guidelines following any such sale. Unvested performance-based stock awards, unvested performance-based stock units and unexercised stock options do not count toward satisfaction of the stock ownership guidelines. Officers subject to the guidelines are expected to comply within five years from the later of the effective date of the guidelines or the date the individual is named to a participating position.</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Equity Grant Practices</w:t>
      </w:r>
    </w:p>
    <w:p>
      <w:pPr>
        <w:spacing w:after="0" w:line="239" w:lineRule="exact"/>
        <w:rPr>
          <w:sz w:val="20"/>
          <w:szCs w:val="20"/>
          <w:color w:val="auto"/>
        </w:rPr>
      </w:pPr>
    </w:p>
    <w:p>
      <w:pPr>
        <w:ind w:right="120"/>
        <w:spacing w:after="0" w:line="234" w:lineRule="auto"/>
        <w:rPr>
          <w:sz w:val="20"/>
          <w:szCs w:val="20"/>
          <w:color w:val="auto"/>
        </w:rPr>
      </w:pPr>
      <w:r>
        <w:rPr>
          <w:rFonts w:ascii="Arial" w:cs="Arial" w:eastAsia="Arial" w:hAnsi="Arial"/>
          <w:sz w:val="15"/>
          <w:szCs w:val="15"/>
          <w:color w:val="auto"/>
        </w:rPr>
        <w:t>The Compensation Committee made equity grants pursuant to the long-term incentive program at its regularly scheduled February 2022 meeting. The grant date fair value of each of the CROCE and RSU awards was based on the closing price of Occidental’s common stock on the NYSE on the day the Compensation Committee granted the awards, and the grant date fair value of the TSR award also incorporates the estimated payout percentage of the award as of the grant date. The fair value of the NQSO awards is estimated using a Black Scholes model. As specifically authorized by the terms of the 2015 LTIP, the Board, upon the recommendation of the Compensation Committee, has delegated to Ms. Hollub the authority to grant equity awards in certain circumstances to new employees and to grant equity awards to Occidental’s employees who are not executive officers within specified limits.</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Potential Recoupment of Compensation Due to Misconduct</w:t>
      </w:r>
    </w:p>
    <w:p>
      <w:pPr>
        <w:spacing w:after="0" w:line="239" w:lineRule="exact"/>
        <w:rPr>
          <w:sz w:val="20"/>
          <w:szCs w:val="20"/>
          <w:color w:val="auto"/>
        </w:rPr>
      </w:pPr>
    </w:p>
    <w:p>
      <w:pPr>
        <w:jc w:val="both"/>
        <w:ind w:right="20"/>
        <w:spacing w:after="0" w:line="236" w:lineRule="auto"/>
        <w:rPr>
          <w:sz w:val="20"/>
          <w:szCs w:val="20"/>
          <w:color w:val="auto"/>
        </w:rPr>
      </w:pPr>
      <w:r>
        <w:rPr>
          <w:rFonts w:ascii="Arial" w:cs="Arial" w:eastAsia="Arial" w:hAnsi="Arial"/>
          <w:sz w:val="15"/>
          <w:szCs w:val="15"/>
          <w:color w:val="auto"/>
        </w:rPr>
        <w:t>Occidental may recoup certain compensation from executive officers in the event of misconduct pursuant to the terms of Occidental’s Code of Business Conduct, the terms of the ACI awards and the 2015 LTIP. Occidental’s Code of Business Conduct prohibits any officer, employee or director from violating or circumventing any law of the United States or a foreign country or engaging in unethical conduct during the course of his or her employment. The Audit Committee oversees compliance with the Code of Business Conduct and has put in place procedures, including a compliance hotline, to encourage prompt reporting of violations or suspected violations of the Code of Business Conduct, without fear of retaliation. In general, misconduct may have several consequences, including:</w:t>
      </w:r>
    </w:p>
    <w:p>
      <w:pPr>
        <w:spacing w:after="0" w:line="178" w:lineRule="exact"/>
        <w:rPr>
          <w:sz w:val="20"/>
          <w:szCs w:val="20"/>
          <w:color w:val="auto"/>
        </w:rPr>
      </w:pPr>
    </w:p>
    <w:p>
      <w:pPr>
        <w:ind w:left="280" w:hanging="272"/>
        <w:spacing w:after="0" w:line="189" w:lineRule="auto"/>
        <w:tabs>
          <w:tab w:leader="none" w:pos="280" w:val="left"/>
        </w:tabs>
        <w:numPr>
          <w:ilvl w:val="0"/>
          <w:numId w:val="60"/>
        </w:numPr>
        <w:rPr>
          <w:rFonts w:ascii="Arial" w:cs="Arial" w:eastAsia="Arial" w:hAnsi="Arial"/>
          <w:sz w:val="25"/>
          <w:szCs w:val="25"/>
          <w:b w:val="1"/>
          <w:bCs w:val="1"/>
          <w:color w:val="00529B"/>
          <w:vertAlign w:val="superscript"/>
        </w:rPr>
      </w:pPr>
      <w:r>
        <w:rPr>
          <w:rFonts w:ascii="Arial" w:cs="Arial" w:eastAsia="Arial" w:hAnsi="Arial"/>
          <w:sz w:val="15"/>
          <w:szCs w:val="15"/>
          <w:color w:val="auto"/>
        </w:rPr>
        <w:t>Disciplinary action, which may include termination, referral for criminal prosecution and reimbursement to Occidental or others for any losses or damages resulting from the violation.</w:t>
      </w:r>
    </w:p>
    <w:p>
      <w:pPr>
        <w:ind w:left="280" w:hanging="272"/>
        <w:spacing w:after="0" w:line="202" w:lineRule="auto"/>
        <w:tabs>
          <w:tab w:leader="none" w:pos="280" w:val="left"/>
        </w:tabs>
        <w:numPr>
          <w:ilvl w:val="0"/>
          <w:numId w:val="60"/>
        </w:numPr>
        <w:rPr>
          <w:rFonts w:ascii="Arial" w:cs="Arial" w:eastAsia="Arial" w:hAnsi="Arial"/>
          <w:sz w:val="25"/>
          <w:szCs w:val="25"/>
          <w:b w:val="1"/>
          <w:bCs w:val="1"/>
          <w:color w:val="00529B"/>
          <w:vertAlign w:val="superscript"/>
        </w:rPr>
      </w:pPr>
      <w:r>
        <w:rPr>
          <w:rFonts w:ascii="Arial" w:cs="Arial" w:eastAsia="Arial" w:hAnsi="Arial"/>
          <w:sz w:val="15"/>
          <w:szCs w:val="15"/>
          <w:color w:val="auto"/>
        </w:rPr>
        <w:t>Forfeiture of stock awards, in whole or in part, in the case of an employee’s termination for cause.</w:t>
      </w:r>
    </w:p>
    <w:p>
      <w:pPr>
        <w:spacing w:after="0" w:line="57" w:lineRule="exact"/>
        <w:rPr>
          <w:rFonts w:ascii="Arial" w:cs="Arial" w:eastAsia="Arial" w:hAnsi="Arial"/>
          <w:sz w:val="25"/>
          <w:szCs w:val="25"/>
          <w:b w:val="1"/>
          <w:bCs w:val="1"/>
          <w:color w:val="00529B"/>
          <w:vertAlign w:val="superscript"/>
        </w:rPr>
      </w:pPr>
    </w:p>
    <w:p>
      <w:pPr>
        <w:ind w:left="280" w:hanging="272"/>
        <w:spacing w:after="0" w:line="185" w:lineRule="auto"/>
        <w:tabs>
          <w:tab w:leader="none" w:pos="280" w:val="left"/>
        </w:tabs>
        <w:numPr>
          <w:ilvl w:val="0"/>
          <w:numId w:val="60"/>
        </w:numPr>
        <w:rPr>
          <w:rFonts w:ascii="Arial" w:cs="Arial" w:eastAsia="Arial" w:hAnsi="Arial"/>
          <w:sz w:val="21"/>
          <w:szCs w:val="21"/>
          <w:b w:val="1"/>
          <w:bCs w:val="1"/>
          <w:color w:val="00529B"/>
          <w:vertAlign w:val="superscript"/>
        </w:rPr>
      </w:pPr>
      <w:r>
        <w:rPr>
          <w:rFonts w:ascii="Arial" w:cs="Arial" w:eastAsia="Arial" w:hAnsi="Arial"/>
          <w:sz w:val="13"/>
          <w:szCs w:val="13"/>
          <w:color w:val="auto"/>
        </w:rPr>
        <w:t>Forfeiture or reduction of the ACI award for violations of the Code of Business Conduct or related policies.</w:t>
      </w:r>
    </w:p>
    <w:p>
      <w:pPr>
        <w:spacing w:after="0" w:line="138"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In addition, the 2015 LTIP includes a provision that gives Occidental the contractual right to recoup awards (i) where a participant has breached Occidental’s Business Code of Conduct by violating applicable law or company policy or engaging in unethical conduct or (ii) pursuant to a policy to be adopted by Occidental to comply with Section 954 of the Dodd-Frank Wall Street Reform and Consumer Protection Act, which will generally require recoupment of incentive-based compensation if Occidental is required to prepare an accounting restatement due to material noncompliance with any financial reporting requirement.</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 Assessment of Compensation Policies and Practices</w:t>
      </w:r>
    </w:p>
    <w:p>
      <w:pPr>
        <w:spacing w:after="0" w:line="24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Although the majority of the executive compensation program is performance-based, the Compensation Committee believes Occidental’s compensation programs do not encourage unnecessary or excessive risk-taking. In reaching its conclusion, the Compensation Committee reviewed the findings of a risk-taking analysis performed by its independent compensation consultant, Meridian. The Compensation Committee concurred with Meridian’s finding that Occidental’s compensation programs include multiple features that appropriately mitigate excessive risk-taking and that the compensation programs do not encourage excessive risk-taking. With respect to the executive compensation program, the compensation features that are indicative of appropriate risk-taking include:</w:t>
      </w:r>
    </w:p>
    <w:p>
      <w:pPr>
        <w:spacing w:after="0" w:line="99"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25"/>
          <w:szCs w:val="25"/>
          <w:b w:val="1"/>
          <w:bCs w:val="1"/>
          <w:color w:val="00529B"/>
          <w:vertAlign w:val="superscript"/>
        </w:rPr>
      </w:pPr>
      <w:r>
        <w:rPr>
          <w:rFonts w:ascii="Arial" w:cs="Arial" w:eastAsia="Arial" w:hAnsi="Arial"/>
          <w:sz w:val="15"/>
          <w:szCs w:val="15"/>
          <w:b w:val="1"/>
          <w:bCs w:val="1"/>
          <w:color w:val="auto"/>
        </w:rPr>
        <w:t xml:space="preserve">Diversified Performance Metrics. </w:t>
      </w:r>
      <w:r>
        <w:rPr>
          <w:rFonts w:ascii="Arial" w:cs="Arial" w:eastAsia="Arial" w:hAnsi="Arial"/>
          <w:sz w:val="15"/>
          <w:szCs w:val="15"/>
          <w:color w:val="auto"/>
        </w:rPr>
        <w:t>The ACI award and long-term incentive awards consider multiple performance criteria, rather than a single metric.</w:t>
      </w:r>
    </w:p>
    <w:p>
      <w:pPr>
        <w:spacing w:after="0" w:line="48" w:lineRule="exact"/>
        <w:rPr>
          <w:rFonts w:ascii="Arial" w:cs="Arial" w:eastAsia="Arial" w:hAnsi="Arial"/>
          <w:sz w:val="25"/>
          <w:szCs w:val="25"/>
          <w:b w:val="1"/>
          <w:bCs w:val="1"/>
          <w:color w:val="00529B"/>
          <w:vertAlign w:val="superscript"/>
        </w:rPr>
      </w:pPr>
    </w:p>
    <w:p>
      <w:pPr>
        <w:ind w:left="280" w:hanging="272"/>
        <w:spacing w:after="0" w:line="184" w:lineRule="auto"/>
        <w:tabs>
          <w:tab w:leader="none" w:pos="280" w:val="left"/>
        </w:tabs>
        <w:numPr>
          <w:ilvl w:val="0"/>
          <w:numId w:val="61"/>
        </w:numPr>
        <w:rPr>
          <w:rFonts w:ascii="Arial" w:cs="Arial" w:eastAsia="Arial" w:hAnsi="Arial"/>
          <w:sz w:val="22"/>
          <w:szCs w:val="22"/>
          <w:b w:val="1"/>
          <w:bCs w:val="1"/>
          <w:color w:val="00529B"/>
          <w:vertAlign w:val="superscript"/>
        </w:rPr>
      </w:pPr>
      <w:r>
        <w:rPr>
          <w:rFonts w:ascii="Arial" w:cs="Arial" w:eastAsia="Arial" w:hAnsi="Arial"/>
          <w:sz w:val="14"/>
          <w:szCs w:val="14"/>
          <w:b w:val="1"/>
          <w:bCs w:val="1"/>
          <w:color w:val="auto"/>
        </w:rPr>
        <w:t xml:space="preserve">Balanced Pay Mix. </w:t>
      </w:r>
      <w:r>
        <w:rPr>
          <w:rFonts w:ascii="Arial" w:cs="Arial" w:eastAsia="Arial" w:hAnsi="Arial"/>
          <w:sz w:val="14"/>
          <w:szCs w:val="14"/>
          <w:color w:val="auto"/>
        </w:rPr>
        <w:t>The total compensation opportunity features an effective balance between short- and long-term compensation components.</w:t>
      </w:r>
    </w:p>
    <w:p>
      <w:pPr>
        <w:spacing w:after="0" w:line="49" w:lineRule="exact"/>
        <w:rPr>
          <w:rFonts w:ascii="Arial" w:cs="Arial" w:eastAsia="Arial" w:hAnsi="Arial"/>
          <w:sz w:val="22"/>
          <w:szCs w:val="22"/>
          <w:b w:val="1"/>
          <w:bCs w:val="1"/>
          <w:color w:val="00529B"/>
          <w:vertAlign w:val="superscript"/>
        </w:rPr>
      </w:pPr>
    </w:p>
    <w:p>
      <w:pPr>
        <w:ind w:left="280" w:right="500" w:hanging="272"/>
        <w:spacing w:after="0" w:line="181" w:lineRule="auto"/>
        <w:tabs>
          <w:tab w:leader="none" w:pos="280" w:val="left"/>
        </w:tabs>
        <w:numPr>
          <w:ilvl w:val="0"/>
          <w:numId w:val="61"/>
        </w:numPr>
        <w:rPr>
          <w:rFonts w:ascii="Arial" w:cs="Arial" w:eastAsia="Arial" w:hAnsi="Arial"/>
          <w:sz w:val="25"/>
          <w:szCs w:val="25"/>
          <w:b w:val="1"/>
          <w:bCs w:val="1"/>
          <w:color w:val="00529B"/>
          <w:vertAlign w:val="superscript"/>
        </w:rPr>
      </w:pPr>
      <w:r>
        <w:rPr>
          <w:rFonts w:ascii="Arial" w:cs="Arial" w:eastAsia="Arial" w:hAnsi="Arial"/>
          <w:sz w:val="15"/>
          <w:szCs w:val="15"/>
          <w:b w:val="1"/>
          <w:bCs w:val="1"/>
          <w:color w:val="auto"/>
        </w:rPr>
        <w:t xml:space="preserve">Capped Awards. </w:t>
      </w:r>
      <w:r>
        <w:rPr>
          <w:rFonts w:ascii="Arial" w:cs="Arial" w:eastAsia="Arial" w:hAnsi="Arial"/>
          <w:sz w:val="15"/>
          <w:szCs w:val="15"/>
          <w:color w:val="auto"/>
        </w:rPr>
        <w:t>Performance-based stock awards and the ACI award are capped as a percentage of the targeted award and payout of the TSR award is</w:t>
      </w:r>
      <w:r>
        <w:rPr>
          <w:rFonts w:ascii="Arial" w:cs="Arial" w:eastAsia="Arial" w:hAnsi="Arial"/>
          <w:sz w:val="15"/>
          <w:szCs w:val="15"/>
          <w:b w:val="1"/>
          <w:bCs w:val="1"/>
          <w:color w:val="auto"/>
        </w:rPr>
        <w:t xml:space="preserve"> </w:t>
      </w:r>
      <w:r>
        <w:rPr>
          <w:rFonts w:ascii="Arial" w:cs="Arial" w:eastAsia="Arial" w:hAnsi="Arial"/>
          <w:sz w:val="15"/>
          <w:szCs w:val="15"/>
          <w:color w:val="auto"/>
        </w:rPr>
        <w:t>capped at target if Occidental’s absolute TSR is negative over the performance period.</w:t>
      </w:r>
    </w:p>
    <w:p>
      <w:pPr>
        <w:spacing w:after="0" w:line="42" w:lineRule="exact"/>
        <w:rPr>
          <w:rFonts w:ascii="Arial" w:cs="Arial" w:eastAsia="Arial" w:hAnsi="Arial"/>
          <w:sz w:val="25"/>
          <w:szCs w:val="25"/>
          <w:b w:val="1"/>
          <w:bCs w:val="1"/>
          <w:color w:val="00529B"/>
          <w:vertAlign w:val="superscript"/>
        </w:rPr>
      </w:pPr>
    </w:p>
    <w:p>
      <w:pPr>
        <w:ind w:left="280" w:right="300" w:hanging="272"/>
        <w:spacing w:after="0" w:line="190" w:lineRule="auto"/>
        <w:tabs>
          <w:tab w:leader="none" w:pos="280" w:val="left"/>
        </w:tabs>
        <w:numPr>
          <w:ilvl w:val="0"/>
          <w:numId w:val="61"/>
        </w:numPr>
        <w:rPr>
          <w:rFonts w:ascii="Arial" w:cs="Arial" w:eastAsia="Arial" w:hAnsi="Arial"/>
          <w:sz w:val="25"/>
          <w:szCs w:val="25"/>
          <w:b w:val="1"/>
          <w:bCs w:val="1"/>
          <w:color w:val="00529B"/>
          <w:vertAlign w:val="superscript"/>
        </w:rPr>
      </w:pPr>
      <w:r>
        <w:rPr>
          <w:rFonts w:ascii="Arial" w:cs="Arial" w:eastAsia="Arial" w:hAnsi="Arial"/>
          <w:sz w:val="15"/>
          <w:szCs w:val="15"/>
          <w:b w:val="1"/>
          <w:bCs w:val="1"/>
          <w:color w:val="auto"/>
        </w:rPr>
        <w:t xml:space="preserve">Stock Ownership Guidelines and Holding Periods. </w:t>
      </w:r>
      <w:r>
        <w:rPr>
          <w:rFonts w:ascii="Arial" w:cs="Arial" w:eastAsia="Arial" w:hAnsi="Arial"/>
          <w:sz w:val="15"/>
          <w:szCs w:val="15"/>
          <w:color w:val="auto"/>
        </w:rPr>
        <w:t>Meaningful stock ownership guidelines and holding requirements for executives encourage a long-term</w:t>
      </w:r>
      <w:r>
        <w:rPr>
          <w:rFonts w:ascii="Arial" w:cs="Arial" w:eastAsia="Arial" w:hAnsi="Arial"/>
          <w:sz w:val="15"/>
          <w:szCs w:val="15"/>
          <w:b w:val="1"/>
          <w:bCs w:val="1"/>
          <w:color w:val="auto"/>
        </w:rPr>
        <w:t xml:space="preserve"> </w:t>
      </w:r>
      <w:r>
        <w:rPr>
          <w:rFonts w:ascii="Arial" w:cs="Arial" w:eastAsia="Arial" w:hAnsi="Arial"/>
          <w:sz w:val="15"/>
          <w:szCs w:val="15"/>
          <w:color w:val="auto"/>
        </w:rPr>
        <w:t>perspective and require holding stock for extended periods.</w:t>
      </w:r>
    </w:p>
    <w:p>
      <w:pPr>
        <w:spacing w:after="0" w:line="40" w:lineRule="exact"/>
        <w:rPr>
          <w:rFonts w:ascii="Arial" w:cs="Arial" w:eastAsia="Arial" w:hAnsi="Arial"/>
          <w:sz w:val="25"/>
          <w:szCs w:val="25"/>
          <w:b w:val="1"/>
          <w:bCs w:val="1"/>
          <w:color w:val="00529B"/>
          <w:vertAlign w:val="superscript"/>
        </w:rPr>
      </w:pPr>
    </w:p>
    <w:p>
      <w:pPr>
        <w:ind w:left="280" w:right="300" w:hanging="272"/>
        <w:spacing w:after="0" w:line="190" w:lineRule="auto"/>
        <w:tabs>
          <w:tab w:leader="none" w:pos="280" w:val="left"/>
        </w:tabs>
        <w:numPr>
          <w:ilvl w:val="0"/>
          <w:numId w:val="61"/>
        </w:numPr>
        <w:rPr>
          <w:rFonts w:ascii="Arial" w:cs="Arial" w:eastAsia="Arial" w:hAnsi="Arial"/>
          <w:sz w:val="25"/>
          <w:szCs w:val="25"/>
          <w:b w:val="1"/>
          <w:bCs w:val="1"/>
          <w:color w:val="00529B"/>
          <w:vertAlign w:val="superscript"/>
        </w:rPr>
      </w:pPr>
      <w:r>
        <w:rPr>
          <w:rFonts w:ascii="Arial" w:cs="Arial" w:eastAsia="Arial" w:hAnsi="Arial"/>
          <w:sz w:val="15"/>
          <w:szCs w:val="15"/>
          <w:b w:val="1"/>
          <w:bCs w:val="1"/>
          <w:color w:val="auto"/>
        </w:rPr>
        <w:t xml:space="preserve">Clawback Provisions. </w:t>
      </w:r>
      <w:r>
        <w:rPr>
          <w:rFonts w:ascii="Arial" w:cs="Arial" w:eastAsia="Arial" w:hAnsi="Arial"/>
          <w:sz w:val="15"/>
          <w:szCs w:val="15"/>
          <w:color w:val="auto"/>
        </w:rPr>
        <w:t>The ACI award and long-term incentive awards are subject to clawback provisions beyond legal requirements, including forfeiture and</w:t>
      </w:r>
      <w:r>
        <w:rPr>
          <w:rFonts w:ascii="Arial" w:cs="Arial" w:eastAsia="Arial" w:hAnsi="Arial"/>
          <w:sz w:val="15"/>
          <w:szCs w:val="15"/>
          <w:b w:val="1"/>
          <w:bCs w:val="1"/>
          <w:color w:val="auto"/>
        </w:rPr>
        <w:t xml:space="preserve"> </w:t>
      </w:r>
      <w:r>
        <w:rPr>
          <w:rFonts w:ascii="Arial" w:cs="Arial" w:eastAsia="Arial" w:hAnsi="Arial"/>
          <w:sz w:val="15"/>
          <w:szCs w:val="15"/>
          <w:color w:val="auto"/>
        </w:rPr>
        <w:t>recoupment provisions of awards in the event of violations of Occidental’s Code of Business Conduct.</w:t>
      </w:r>
    </w:p>
    <w:p>
      <w:pPr>
        <w:spacing w:after="0" w:line="40" w:lineRule="exact"/>
        <w:rPr>
          <w:rFonts w:ascii="Arial" w:cs="Arial" w:eastAsia="Arial" w:hAnsi="Arial"/>
          <w:sz w:val="25"/>
          <w:szCs w:val="25"/>
          <w:b w:val="1"/>
          <w:bCs w:val="1"/>
          <w:color w:val="00529B"/>
          <w:vertAlign w:val="superscript"/>
        </w:rPr>
      </w:pPr>
    </w:p>
    <w:p>
      <w:pPr>
        <w:ind w:left="280" w:right="20" w:hanging="272"/>
        <w:spacing w:after="0" w:line="199" w:lineRule="auto"/>
        <w:tabs>
          <w:tab w:leader="none" w:pos="280" w:val="left"/>
        </w:tabs>
        <w:numPr>
          <w:ilvl w:val="0"/>
          <w:numId w:val="61"/>
        </w:numPr>
        <w:rPr>
          <w:rFonts w:ascii="Arial" w:cs="Arial" w:eastAsia="Arial" w:hAnsi="Arial"/>
          <w:sz w:val="25"/>
          <w:szCs w:val="25"/>
          <w:b w:val="1"/>
          <w:bCs w:val="1"/>
          <w:color w:val="00529B"/>
          <w:vertAlign w:val="superscript"/>
        </w:rPr>
      </w:pPr>
      <w:r>
        <w:rPr>
          <w:rFonts w:ascii="Arial" w:cs="Arial" w:eastAsia="Arial" w:hAnsi="Arial"/>
          <w:sz w:val="15"/>
          <w:szCs w:val="15"/>
          <w:b w:val="1"/>
          <w:bCs w:val="1"/>
          <w:color w:val="auto"/>
        </w:rPr>
        <w:t xml:space="preserve">Anti-Hedging Provisions. </w:t>
      </w:r>
      <w:r>
        <w:rPr>
          <w:rFonts w:ascii="Arial" w:cs="Arial" w:eastAsia="Arial" w:hAnsi="Arial"/>
          <w:sz w:val="15"/>
          <w:szCs w:val="15"/>
          <w:color w:val="auto"/>
        </w:rPr>
        <w:t>Occidental’s executive officers, directors and other employees are prohibited from purchasing financial instruments (including prepaid</w:t>
      </w:r>
      <w:r>
        <w:rPr>
          <w:rFonts w:ascii="Arial" w:cs="Arial" w:eastAsia="Arial" w:hAnsi="Arial"/>
          <w:sz w:val="15"/>
          <w:szCs w:val="15"/>
          <w:b w:val="1"/>
          <w:bCs w:val="1"/>
          <w:color w:val="auto"/>
        </w:rPr>
        <w:t xml:space="preserve"> </w:t>
      </w:r>
      <w:r>
        <w:rPr>
          <w:rFonts w:ascii="Arial" w:cs="Arial" w:eastAsia="Arial" w:hAnsi="Arial"/>
          <w:sz w:val="15"/>
          <w:szCs w:val="15"/>
          <w:color w:val="auto"/>
        </w:rPr>
        <w:t>variable forward contracts, equity swaps, collars and exchange funds) or otherwise engaging in transactions that are designed to, or have the effect of, hedging or offsetting any decrease in the market value of Occidental’s securities.</w:t>
      </w:r>
    </w:p>
    <w:p>
      <w:pPr>
        <w:spacing w:after="0" w:line="1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Committee Report</w:t>
      </w:r>
    </w:p>
    <w:p>
      <w:pPr>
        <w:spacing w:after="0" w:line="241" w:lineRule="exact"/>
        <w:rPr>
          <w:sz w:val="20"/>
          <w:szCs w:val="20"/>
          <w:color w:val="auto"/>
        </w:rPr>
      </w:pPr>
    </w:p>
    <w:p>
      <w:pPr>
        <w:ind w:right="420"/>
        <w:spacing w:after="0" w:line="244" w:lineRule="auto"/>
        <w:rPr>
          <w:sz w:val="20"/>
          <w:szCs w:val="20"/>
          <w:color w:val="auto"/>
        </w:rPr>
      </w:pPr>
      <w:r>
        <w:rPr>
          <w:rFonts w:ascii="Arial" w:cs="Arial" w:eastAsia="Arial" w:hAnsi="Arial"/>
          <w:sz w:val="15"/>
          <w:szCs w:val="15"/>
          <w:color w:val="auto"/>
        </w:rPr>
        <w:t>The Compensation Committee has reviewed and discussed with management the preceding Compensation Discussion and Analysis section for the year ended December 31, 2022. Based on these reviews and discussions, the Compensation Committee recommended to the Board of Directors that the Compensation Discussion and Analysis be included in the proxy statement for the 2023 Annual Meeting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EXECUTIVE COMPENSATION COMMITTEE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Jack B. Moore (Chair)</w:t>
      </w:r>
    </w:p>
    <w:p>
      <w:pPr>
        <w:spacing w:after="0" w:line="230" w:lineRule="auto"/>
        <w:rPr>
          <w:sz w:val="20"/>
          <w:szCs w:val="20"/>
          <w:color w:val="auto"/>
        </w:rPr>
      </w:pPr>
      <w:r>
        <w:rPr>
          <w:rFonts w:ascii="Arial" w:cs="Arial" w:eastAsia="Arial" w:hAnsi="Arial"/>
          <w:sz w:val="15"/>
          <w:szCs w:val="15"/>
          <w:color w:val="auto"/>
        </w:rPr>
        <w:t>William R. Klesse</w:t>
      </w:r>
    </w:p>
    <w:p>
      <w:pPr>
        <w:spacing w:after="0"/>
        <w:rPr>
          <w:sz w:val="20"/>
          <w:szCs w:val="20"/>
          <w:color w:val="auto"/>
        </w:rPr>
      </w:pPr>
      <w:r>
        <w:rPr>
          <w:rFonts w:ascii="Arial" w:cs="Arial" w:eastAsia="Arial" w:hAnsi="Arial"/>
          <w:sz w:val="15"/>
          <w:szCs w:val="15"/>
          <w:color w:val="auto"/>
        </w:rPr>
        <w:t>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2743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Executive Compensation Tables</w:t>
      </w:r>
    </w:p>
    <w:p>
      <w:pPr>
        <w:spacing w:after="0" w:line="2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Summary Compensation</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529B"/>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00529B"/>
                <w:w w:val="96"/>
              </w:rPr>
              <w:t>Nonqualified</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60"/>
              <w:spacing w:after="0"/>
              <w:rPr>
                <w:sz w:val="20"/>
                <w:szCs w:val="20"/>
                <w:color w:val="auto"/>
              </w:rPr>
            </w:pPr>
            <w:r>
              <w:rPr>
                <w:rFonts w:ascii="Arial" w:cs="Arial" w:eastAsia="Arial" w:hAnsi="Arial"/>
                <w:sz w:val="13"/>
                <w:szCs w:val="13"/>
                <w:b w:val="1"/>
                <w:bCs w:val="1"/>
                <w:color w:val="00529B"/>
              </w:rPr>
              <w:t>Name and</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00529B"/>
              </w:rPr>
              <w:t>Stock</w:t>
            </w:r>
          </w:p>
        </w:tc>
        <w:tc>
          <w:tcPr>
            <w:tcW w:w="200" w:type="dxa"/>
            <w:vAlign w:val="bottom"/>
          </w:tcPr>
          <w:p>
            <w:pPr>
              <w:spacing w:after="0"/>
              <w:rPr>
                <w:sz w:val="14"/>
                <w:szCs w:val="14"/>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00529B"/>
              </w:rPr>
              <w:t>Option</w:t>
            </w:r>
          </w:p>
        </w:tc>
        <w:tc>
          <w:tcPr>
            <w:tcW w:w="120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00529B"/>
              </w:rPr>
              <w:t>Non-Equity</w:t>
            </w:r>
          </w:p>
        </w:tc>
        <w:tc>
          <w:tcPr>
            <w:tcW w:w="126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00529B"/>
              </w:rPr>
              <w:t>Deferred</w:t>
            </w:r>
          </w:p>
        </w:tc>
        <w:tc>
          <w:tcPr>
            <w:tcW w:w="13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00529B"/>
              </w:rPr>
              <w:t>All Other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60"/>
              <w:spacing w:after="0" w:line="135" w:lineRule="exact"/>
              <w:rPr>
                <w:sz w:val="20"/>
                <w:szCs w:val="20"/>
                <w:color w:val="auto"/>
              </w:rPr>
            </w:pPr>
            <w:r>
              <w:rPr>
                <w:rFonts w:ascii="Arial" w:cs="Arial" w:eastAsia="Arial" w:hAnsi="Arial"/>
                <w:sz w:val="13"/>
                <w:szCs w:val="13"/>
                <w:b w:val="1"/>
                <w:bCs w:val="1"/>
                <w:color w:val="00529B"/>
              </w:rPr>
              <w:t>Principal</w:t>
            </w:r>
          </w:p>
        </w:tc>
        <w:tc>
          <w:tcPr>
            <w:tcW w:w="180" w:type="dxa"/>
            <w:vAlign w:val="bottom"/>
          </w:tcPr>
          <w:p>
            <w:pPr>
              <w:spacing w:after="0"/>
              <w:rPr>
                <w:sz w:val="11"/>
                <w:szCs w:val="11"/>
                <w:color w:val="auto"/>
              </w:rPr>
            </w:pPr>
          </w:p>
        </w:tc>
        <w:tc>
          <w:tcPr>
            <w:tcW w:w="4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00529B"/>
                <w:w w:val="92"/>
              </w:rPr>
              <w:t>Year</w:t>
            </w:r>
          </w:p>
        </w:tc>
        <w:tc>
          <w:tcPr>
            <w:tcW w:w="220" w:type="dxa"/>
            <w:vAlign w:val="bottom"/>
          </w:tcPr>
          <w:p>
            <w:pPr>
              <w:spacing w:after="0"/>
              <w:rPr>
                <w:sz w:val="11"/>
                <w:szCs w:val="11"/>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00529B"/>
              </w:rPr>
              <w:t>Salary</w:t>
            </w: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00529B"/>
              </w:rPr>
              <w:t>Bonus</w:t>
            </w:r>
            <w:r>
              <w:rPr>
                <w:rFonts w:ascii="Arial" w:cs="Arial" w:eastAsia="Arial" w:hAnsi="Arial"/>
                <w:sz w:val="20"/>
                <w:szCs w:val="20"/>
                <w:b w:val="1"/>
                <w:bCs w:val="1"/>
                <w:color w:val="00529B"/>
                <w:vertAlign w:val="superscript"/>
              </w:rPr>
              <w:t>(1)</w:t>
            </w: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0" w:type="dxa"/>
            <w:vAlign w:val="bottom"/>
            <w:gridSpan w:val="2"/>
          </w:tcPr>
          <w:p>
            <w:pPr>
              <w:jc w:val="right"/>
              <w:ind w:right="77"/>
              <w:spacing w:after="0" w:line="135" w:lineRule="exact"/>
              <w:rPr>
                <w:sz w:val="20"/>
                <w:szCs w:val="20"/>
                <w:color w:val="auto"/>
              </w:rPr>
            </w:pPr>
            <w:r>
              <w:rPr>
                <w:rFonts w:ascii="Arial" w:cs="Arial" w:eastAsia="Arial" w:hAnsi="Arial"/>
                <w:sz w:val="13"/>
                <w:szCs w:val="13"/>
                <w:b w:val="1"/>
                <w:bCs w:val="1"/>
                <w:color w:val="00529B"/>
              </w:rPr>
              <w:t>Incentive Plan</w:t>
            </w:r>
          </w:p>
        </w:tc>
        <w:tc>
          <w:tcPr>
            <w:tcW w:w="126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00529B"/>
              </w:rPr>
              <w:t>Compensation</w:t>
            </w:r>
          </w:p>
        </w:tc>
        <w:tc>
          <w:tcPr>
            <w:tcW w:w="13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00529B"/>
              </w:rPr>
              <w:t>Total</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Position</w:t>
            </w:r>
          </w:p>
        </w:tc>
        <w:tc>
          <w:tcPr>
            <w:tcW w:w="180" w:type="dxa"/>
            <w:vAlign w:val="bottom"/>
            <w:tcBorders>
              <w:bottom w:val="single" w:sz="8" w:color="00529B"/>
            </w:tcBorders>
          </w:tcPr>
          <w:p>
            <w:pPr>
              <w:spacing w:after="0"/>
              <w:rPr>
                <w:sz w:val="17"/>
                <w:szCs w:val="17"/>
                <w:color w:val="auto"/>
              </w:rPr>
            </w:pPr>
          </w:p>
        </w:tc>
        <w:tc>
          <w:tcPr>
            <w:tcW w:w="420" w:type="dxa"/>
            <w:vAlign w:val="bottom"/>
            <w:tcBorders>
              <w:bottom w:val="single" w:sz="8" w:color="00529B"/>
            </w:tcBorders>
            <w:vMerge w:val="continue"/>
          </w:tcPr>
          <w:p>
            <w:pPr>
              <w:spacing w:after="0"/>
              <w:rPr>
                <w:sz w:val="17"/>
                <w:szCs w:val="17"/>
                <w:color w:val="auto"/>
              </w:rPr>
            </w:pPr>
          </w:p>
        </w:tc>
        <w:tc>
          <w:tcPr>
            <w:tcW w:w="220" w:type="dxa"/>
            <w:vAlign w:val="bottom"/>
            <w:tcBorders>
              <w:bottom w:val="single" w:sz="8" w:color="00529B"/>
            </w:tcBorders>
          </w:tcPr>
          <w:p>
            <w:pPr>
              <w:spacing w:after="0"/>
              <w:rPr>
                <w:sz w:val="17"/>
                <w:szCs w:val="17"/>
                <w:color w:val="auto"/>
              </w:rPr>
            </w:pPr>
          </w:p>
        </w:tc>
        <w:tc>
          <w:tcPr>
            <w:tcW w:w="700" w:type="dxa"/>
            <w:vAlign w:val="bottom"/>
            <w:tcBorders>
              <w:bottom w:val="single" w:sz="8" w:color="00529B"/>
            </w:tcBorders>
            <w:vMerge w:val="continue"/>
          </w:tcPr>
          <w:p>
            <w:pPr>
              <w:spacing w:after="0"/>
              <w:rPr>
                <w:sz w:val="17"/>
                <w:szCs w:val="17"/>
                <w:color w:val="auto"/>
              </w:rPr>
            </w:pPr>
          </w:p>
        </w:tc>
        <w:tc>
          <w:tcPr>
            <w:tcW w:w="820" w:type="dxa"/>
            <w:vAlign w:val="bottom"/>
            <w:tcBorders>
              <w:bottom w:val="single" w:sz="8" w:color="00529B"/>
            </w:tcBorders>
            <w:gridSpan w:val="2"/>
            <w:vMerge w:val="continue"/>
          </w:tcPr>
          <w:p>
            <w:pPr>
              <w:spacing w:after="0"/>
              <w:rPr>
                <w:sz w:val="17"/>
                <w:szCs w:val="17"/>
                <w:color w:val="auto"/>
              </w:rPr>
            </w:pPr>
          </w:p>
        </w:tc>
        <w:tc>
          <w:tcPr>
            <w:tcW w:w="920" w:type="dxa"/>
            <w:vAlign w:val="bottom"/>
            <w:tcBorders>
              <w:bottom w:val="single" w:sz="8" w:color="00529B"/>
            </w:tcBorders>
          </w:tcPr>
          <w:p>
            <w:pPr>
              <w:jc w:val="right"/>
              <w:ind w:right="97"/>
              <w:spacing w:after="0" w:line="189" w:lineRule="exact"/>
              <w:rPr>
                <w:sz w:val="20"/>
                <w:szCs w:val="20"/>
                <w:color w:val="auto"/>
              </w:rPr>
            </w:pPr>
            <w:r>
              <w:rPr>
                <w:rFonts w:ascii="Arial" w:cs="Arial" w:eastAsia="Arial" w:hAnsi="Arial"/>
                <w:sz w:val="13"/>
                <w:szCs w:val="13"/>
                <w:b w:val="1"/>
                <w:bCs w:val="1"/>
                <w:color w:val="00529B"/>
              </w:rPr>
              <w:t>Awards</w:t>
            </w:r>
            <w:r>
              <w:rPr>
                <w:rFonts w:ascii="Arial" w:cs="Arial" w:eastAsia="Arial" w:hAnsi="Arial"/>
                <w:sz w:val="20"/>
                <w:szCs w:val="20"/>
                <w:b w:val="1"/>
                <w:bCs w:val="1"/>
                <w:color w:val="00529B"/>
                <w:vertAlign w:val="superscript"/>
              </w:rPr>
              <w:t>(2)</w:t>
            </w:r>
          </w:p>
        </w:tc>
        <w:tc>
          <w:tcPr>
            <w:tcW w:w="840" w:type="dxa"/>
            <w:vAlign w:val="bottom"/>
            <w:tcBorders>
              <w:bottom w:val="single" w:sz="8" w:color="00529B"/>
            </w:tcBorders>
            <w:gridSpan w:val="2"/>
          </w:tcPr>
          <w:p>
            <w:pPr>
              <w:jc w:val="right"/>
              <w:ind w:right="17"/>
              <w:spacing w:after="0" w:line="189" w:lineRule="exact"/>
              <w:rPr>
                <w:sz w:val="20"/>
                <w:szCs w:val="20"/>
                <w:color w:val="auto"/>
              </w:rPr>
            </w:pPr>
            <w:r>
              <w:rPr>
                <w:rFonts w:ascii="Arial" w:cs="Arial" w:eastAsia="Arial" w:hAnsi="Arial"/>
                <w:sz w:val="13"/>
                <w:szCs w:val="13"/>
                <w:b w:val="1"/>
                <w:bCs w:val="1"/>
                <w:color w:val="00529B"/>
              </w:rPr>
              <w:t>Awards</w:t>
            </w:r>
            <w:r>
              <w:rPr>
                <w:rFonts w:ascii="Arial" w:cs="Arial" w:eastAsia="Arial" w:hAnsi="Arial"/>
                <w:sz w:val="20"/>
                <w:szCs w:val="20"/>
                <w:b w:val="1"/>
                <w:bCs w:val="1"/>
                <w:color w:val="00529B"/>
                <w:vertAlign w:val="superscript"/>
              </w:rPr>
              <w:t>(3)</w:t>
            </w:r>
          </w:p>
        </w:tc>
        <w:tc>
          <w:tcPr>
            <w:tcW w:w="1200" w:type="dxa"/>
            <w:vAlign w:val="bottom"/>
            <w:tcBorders>
              <w:bottom w:val="single" w:sz="8" w:color="00529B"/>
            </w:tcBorders>
            <w:gridSpan w:val="2"/>
          </w:tcPr>
          <w:p>
            <w:pPr>
              <w:jc w:val="right"/>
              <w:ind w:right="77"/>
              <w:spacing w:after="0" w:line="189" w:lineRule="exact"/>
              <w:rPr>
                <w:sz w:val="20"/>
                <w:szCs w:val="20"/>
                <w:color w:val="auto"/>
              </w:rPr>
            </w:pPr>
            <w:r>
              <w:rPr>
                <w:rFonts w:ascii="Arial" w:cs="Arial" w:eastAsia="Arial" w:hAnsi="Arial"/>
                <w:sz w:val="13"/>
                <w:szCs w:val="13"/>
                <w:b w:val="1"/>
                <w:bCs w:val="1"/>
                <w:color w:val="00529B"/>
                <w:w w:val="97"/>
              </w:rPr>
              <w:t>Compensation</w:t>
            </w:r>
            <w:r>
              <w:rPr>
                <w:rFonts w:ascii="Arial" w:cs="Arial" w:eastAsia="Arial" w:hAnsi="Arial"/>
                <w:sz w:val="20"/>
                <w:szCs w:val="20"/>
                <w:b w:val="1"/>
                <w:bCs w:val="1"/>
                <w:color w:val="00529B"/>
                <w:w w:val="97"/>
                <w:vertAlign w:val="superscript"/>
              </w:rPr>
              <w:t>(4)</w:t>
            </w:r>
          </w:p>
        </w:tc>
        <w:tc>
          <w:tcPr>
            <w:tcW w:w="1260" w:type="dxa"/>
            <w:vAlign w:val="bottom"/>
            <w:tcBorders>
              <w:bottom w:val="single" w:sz="8" w:color="00529B"/>
            </w:tcBorders>
            <w:gridSpan w:val="2"/>
          </w:tcPr>
          <w:p>
            <w:pPr>
              <w:jc w:val="right"/>
              <w:ind w:right="137"/>
              <w:spacing w:after="0" w:line="189" w:lineRule="exact"/>
              <w:rPr>
                <w:sz w:val="20"/>
                <w:szCs w:val="20"/>
                <w:color w:val="auto"/>
              </w:rPr>
            </w:pPr>
            <w:r>
              <w:rPr>
                <w:rFonts w:ascii="Arial" w:cs="Arial" w:eastAsia="Arial" w:hAnsi="Arial"/>
                <w:sz w:val="13"/>
                <w:szCs w:val="13"/>
                <w:b w:val="1"/>
                <w:bCs w:val="1"/>
                <w:color w:val="00529B"/>
              </w:rPr>
              <w:t>Earnings</w:t>
            </w:r>
            <w:r>
              <w:rPr>
                <w:rFonts w:ascii="Arial" w:cs="Arial" w:eastAsia="Arial" w:hAnsi="Arial"/>
                <w:sz w:val="20"/>
                <w:szCs w:val="20"/>
                <w:b w:val="1"/>
                <w:bCs w:val="1"/>
                <w:color w:val="00529B"/>
                <w:vertAlign w:val="superscript"/>
              </w:rPr>
              <w:t>(5)</w:t>
            </w:r>
          </w:p>
        </w:tc>
        <w:tc>
          <w:tcPr>
            <w:tcW w:w="1320" w:type="dxa"/>
            <w:vAlign w:val="bottom"/>
            <w:tcBorders>
              <w:bottom w:val="single" w:sz="8" w:color="00529B"/>
            </w:tcBorders>
          </w:tcPr>
          <w:p>
            <w:pPr>
              <w:jc w:val="right"/>
              <w:ind w:right="77"/>
              <w:spacing w:after="0" w:line="189" w:lineRule="exact"/>
              <w:rPr>
                <w:sz w:val="20"/>
                <w:szCs w:val="20"/>
                <w:color w:val="auto"/>
              </w:rPr>
            </w:pPr>
            <w:r>
              <w:rPr>
                <w:rFonts w:ascii="Arial" w:cs="Arial" w:eastAsia="Arial" w:hAnsi="Arial"/>
                <w:sz w:val="13"/>
                <w:szCs w:val="13"/>
                <w:b w:val="1"/>
                <w:bCs w:val="1"/>
                <w:color w:val="00529B"/>
              </w:rPr>
              <w:t>Compensation</w:t>
            </w:r>
            <w:r>
              <w:rPr>
                <w:rFonts w:ascii="Arial" w:cs="Arial" w:eastAsia="Arial" w:hAnsi="Arial"/>
                <w:sz w:val="20"/>
                <w:szCs w:val="20"/>
                <w:b w:val="1"/>
                <w:bCs w:val="1"/>
                <w:color w:val="00529B"/>
                <w:vertAlign w:val="superscript"/>
              </w:rPr>
              <w:t>(6)</w:t>
            </w:r>
          </w:p>
        </w:tc>
        <w:tc>
          <w:tcPr>
            <w:tcW w:w="220" w:type="dxa"/>
            <w:vAlign w:val="bottom"/>
            <w:tcBorders>
              <w:bottom w:val="single" w:sz="8" w:color="00529B"/>
            </w:tcBorders>
          </w:tcPr>
          <w:p>
            <w:pPr>
              <w:spacing w:after="0"/>
              <w:rPr>
                <w:sz w:val="17"/>
                <w:szCs w:val="17"/>
                <w:color w:val="auto"/>
              </w:rPr>
            </w:pPr>
          </w:p>
        </w:tc>
        <w:tc>
          <w:tcPr>
            <w:tcW w:w="720" w:type="dxa"/>
            <w:vAlign w:val="bottom"/>
            <w:tcBorders>
              <w:bottom w:val="single" w:sz="8" w:color="00529B"/>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420" w:type="dxa"/>
            <w:vAlign w:val="bottom"/>
          </w:tcPr>
          <w:p>
            <w:pPr>
              <w:ind w:left="60"/>
              <w:spacing w:after="0" w:line="144" w:lineRule="exact"/>
              <w:rPr>
                <w:sz w:val="20"/>
                <w:szCs w:val="20"/>
                <w:color w:val="auto"/>
              </w:rPr>
            </w:pPr>
            <w:r>
              <w:rPr>
                <w:rFonts w:ascii="Arial" w:cs="Arial" w:eastAsia="Arial" w:hAnsi="Arial"/>
                <w:sz w:val="13"/>
                <w:szCs w:val="13"/>
                <w:b w:val="1"/>
                <w:bCs w:val="1"/>
                <w:color w:val="00529B"/>
              </w:rPr>
              <w:t>Vicki Hollub</w:t>
            </w:r>
          </w:p>
        </w:tc>
        <w:tc>
          <w:tcPr>
            <w:tcW w:w="600" w:type="dxa"/>
            <w:vAlign w:val="bottom"/>
            <w:gridSpan w:val="2"/>
          </w:tcPr>
          <w:p>
            <w:pPr>
              <w:jc w:val="right"/>
              <w:ind w:right="77"/>
              <w:spacing w:after="0" w:line="144" w:lineRule="exact"/>
              <w:rPr>
                <w:sz w:val="20"/>
                <w:szCs w:val="20"/>
                <w:color w:val="auto"/>
              </w:rPr>
            </w:pPr>
            <w:r>
              <w:rPr>
                <w:rFonts w:ascii="Arial" w:cs="Arial" w:eastAsia="Arial" w:hAnsi="Arial"/>
                <w:sz w:val="13"/>
                <w:szCs w:val="13"/>
                <w:color w:val="auto"/>
              </w:rPr>
              <w:t>2022</w:t>
            </w: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w w:val="93"/>
              </w:rPr>
              <w:t>1,258,082</w:t>
            </w:r>
          </w:p>
        </w:tc>
        <w:tc>
          <w:tcPr>
            <w:tcW w:w="220" w:type="dxa"/>
            <w:vAlign w:val="bottom"/>
          </w:tcPr>
          <w:p>
            <w:pPr>
              <w:ind w:left="140"/>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line="144" w:lineRule="exact"/>
              <w:rPr>
                <w:sz w:val="20"/>
                <w:szCs w:val="20"/>
                <w:color w:val="auto"/>
              </w:rPr>
            </w:pPr>
            <w:r>
              <w:rPr>
                <w:rFonts w:ascii="Arial" w:cs="Arial" w:eastAsia="Arial" w:hAnsi="Arial"/>
                <w:sz w:val="13"/>
                <w:szCs w:val="13"/>
                <w:color w:val="auto"/>
                <w:w w:val="93"/>
              </w:rPr>
              <w:t>312,000</w:t>
            </w:r>
          </w:p>
        </w:tc>
        <w:tc>
          <w:tcPr>
            <w:tcW w:w="9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$7,312,830</w:t>
            </w: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4" w:lineRule="exact"/>
              <w:rPr>
                <w:sz w:val="20"/>
                <w:szCs w:val="20"/>
                <w:color w:val="auto"/>
              </w:rPr>
            </w:pPr>
            <w:r>
              <w:rPr>
                <w:rFonts w:ascii="Arial" w:cs="Arial" w:eastAsia="Arial" w:hAnsi="Arial"/>
                <w:sz w:val="13"/>
                <w:szCs w:val="13"/>
                <w:color w:val="auto"/>
                <w:w w:val="93"/>
              </w:rPr>
              <w:t>2,437,542</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w w:val="93"/>
              </w:rPr>
              <w:t>3,003,000</w:t>
            </w:r>
          </w:p>
        </w:tc>
        <w:tc>
          <w:tcPr>
            <w:tcW w:w="680" w:type="dxa"/>
            <w:vAlign w:val="bottom"/>
          </w:tcPr>
          <w:p>
            <w:pPr>
              <w:jc w:val="center"/>
              <w:ind w:left="537"/>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7"/>
              <w:spacing w:after="0" w:line="144" w:lineRule="exact"/>
              <w:rPr>
                <w:sz w:val="20"/>
                <w:szCs w:val="20"/>
                <w:color w:val="auto"/>
              </w:rPr>
            </w:pPr>
            <w:r>
              <w:rPr>
                <w:rFonts w:ascii="Arial" w:cs="Arial" w:eastAsia="Arial" w:hAnsi="Arial"/>
                <w:sz w:val="13"/>
                <w:szCs w:val="13"/>
                <w:color w:val="auto"/>
                <w:w w:val="90"/>
              </w:rPr>
              <w:t>96,545</w:t>
            </w:r>
          </w:p>
        </w:tc>
        <w:tc>
          <w:tcPr>
            <w:tcW w:w="13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$549,511</w:t>
            </w:r>
          </w:p>
        </w:tc>
        <w:tc>
          <w:tcPr>
            <w:tcW w:w="2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b w:val="1"/>
                <w:bCs w:val="1"/>
                <w:color w:val="auto"/>
                <w:w w:val="92"/>
              </w:rPr>
              <w:t>14,969,510</w:t>
            </w:r>
          </w:p>
        </w:tc>
        <w:tc>
          <w:tcPr>
            <w:tcW w:w="0" w:type="dxa"/>
            <w:vAlign w:val="bottom"/>
          </w:tcPr>
          <w:p>
            <w:pPr>
              <w:spacing w:after="0"/>
              <w:rPr>
                <w:sz w:val="1"/>
                <w:szCs w:val="1"/>
                <w:color w:val="auto"/>
              </w:rPr>
            </w:pPr>
          </w:p>
        </w:tc>
      </w:tr>
      <w:tr>
        <w:trPr>
          <w:trHeight w:val="45"/>
        </w:trPr>
        <w:tc>
          <w:tcPr>
            <w:tcW w:w="2420" w:type="dxa"/>
            <w:vAlign w:val="bottom"/>
            <w:vMerge w:val="restart"/>
          </w:tcPr>
          <w:p>
            <w:pPr>
              <w:ind w:left="60"/>
              <w:spacing w:after="0"/>
              <w:rPr>
                <w:sz w:val="20"/>
                <w:szCs w:val="20"/>
                <w:color w:val="auto"/>
              </w:rPr>
            </w:pPr>
            <w:r>
              <w:rPr>
                <w:rFonts w:ascii="Arial" w:cs="Arial" w:eastAsia="Arial" w:hAnsi="Arial"/>
                <w:sz w:val="13"/>
                <w:szCs w:val="13"/>
                <w:color w:val="auto"/>
              </w:rPr>
              <w:t>President and Chief Executive Officer</w:t>
            </w:r>
          </w:p>
        </w:tc>
        <w:tc>
          <w:tcPr>
            <w:tcW w:w="180" w:type="dxa"/>
            <w:vAlign w:val="bottom"/>
            <w:tcBorders>
              <w:bottom w:val="single" w:sz="8" w:color="D1D2D4"/>
            </w:tcBorders>
          </w:tcPr>
          <w:p>
            <w:pPr>
              <w:spacing w:after="0"/>
              <w:rPr>
                <w:sz w:val="3"/>
                <w:szCs w:val="3"/>
                <w:color w:val="auto"/>
              </w:rPr>
            </w:pPr>
          </w:p>
        </w:tc>
        <w:tc>
          <w:tcPr>
            <w:tcW w:w="4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00" w:type="dxa"/>
            <w:vAlign w:val="bottom"/>
            <w:tcBorders>
              <w:bottom w:val="single" w:sz="8" w:color="D1D2D4"/>
            </w:tcBorders>
          </w:tcPr>
          <w:p>
            <w:pPr>
              <w:spacing w:after="0"/>
              <w:rPr>
                <w:sz w:val="3"/>
                <w:szCs w:val="3"/>
                <w:color w:val="auto"/>
              </w:rPr>
            </w:pPr>
          </w:p>
        </w:tc>
        <w:tc>
          <w:tcPr>
            <w:tcW w:w="920" w:type="dxa"/>
            <w:vAlign w:val="bottom"/>
            <w:tcBorders>
              <w:bottom w:val="single" w:sz="8" w:color="D1D2D4"/>
            </w:tcBorders>
          </w:tcPr>
          <w:p>
            <w:pPr>
              <w:spacing w:after="0"/>
              <w:rPr>
                <w:sz w:val="3"/>
                <w:szCs w:val="3"/>
                <w:color w:val="auto"/>
              </w:rPr>
            </w:pPr>
          </w:p>
        </w:tc>
        <w:tc>
          <w:tcPr>
            <w:tcW w:w="200" w:type="dxa"/>
            <w:vAlign w:val="bottom"/>
            <w:tcBorders>
              <w:bottom w:val="single" w:sz="8" w:color="D1D2D4"/>
            </w:tcBorders>
          </w:tcPr>
          <w:p>
            <w:pPr>
              <w:spacing w:after="0"/>
              <w:rPr>
                <w:sz w:val="3"/>
                <w:szCs w:val="3"/>
                <w:color w:val="auto"/>
              </w:rPr>
            </w:pPr>
          </w:p>
        </w:tc>
        <w:tc>
          <w:tcPr>
            <w:tcW w:w="640" w:type="dxa"/>
            <w:vAlign w:val="bottom"/>
            <w:tcBorders>
              <w:bottom w:val="single" w:sz="8" w:color="D1D2D4"/>
            </w:tcBorders>
          </w:tcPr>
          <w:p>
            <w:pPr>
              <w:spacing w:after="0"/>
              <w:rPr>
                <w:sz w:val="3"/>
                <w:szCs w:val="3"/>
                <w:color w:val="auto"/>
              </w:rPr>
            </w:pPr>
          </w:p>
        </w:tc>
        <w:tc>
          <w:tcPr>
            <w:tcW w:w="50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680" w:type="dxa"/>
            <w:vAlign w:val="bottom"/>
            <w:tcBorders>
              <w:bottom w:val="single" w:sz="8" w:color="D1D2D4"/>
            </w:tcBorders>
          </w:tcPr>
          <w:p>
            <w:pPr>
              <w:spacing w:after="0"/>
              <w:rPr>
                <w:sz w:val="3"/>
                <w:szCs w:val="3"/>
                <w:color w:val="auto"/>
              </w:rPr>
            </w:pPr>
          </w:p>
        </w:tc>
        <w:tc>
          <w:tcPr>
            <w:tcW w:w="580" w:type="dxa"/>
            <w:vAlign w:val="bottom"/>
            <w:tcBorders>
              <w:bottom w:val="single" w:sz="8" w:color="D1D2D4"/>
            </w:tcBorders>
          </w:tcPr>
          <w:p>
            <w:pPr>
              <w:spacing w:after="0"/>
              <w:rPr>
                <w:sz w:val="3"/>
                <w:szCs w:val="3"/>
                <w:color w:val="auto"/>
              </w:rPr>
            </w:pPr>
          </w:p>
        </w:tc>
        <w:tc>
          <w:tcPr>
            <w:tcW w:w="13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20" w:type="dxa"/>
            <w:vAlign w:val="bottom"/>
            <w:tcBorders>
              <w:bottom w:val="single" w:sz="8" w:color="D1D2D4"/>
            </w:tcBorders>
          </w:tcPr>
          <w:p>
            <w:pPr>
              <w:spacing w:after="0"/>
              <w:rPr>
                <w:sz w:val="3"/>
                <w:szCs w:val="3"/>
                <w:color w:val="auto"/>
              </w:rPr>
            </w:pPr>
          </w:p>
        </w:tc>
        <w:tc>
          <w:tcPr>
            <w:tcW w:w="100" w:type="dxa"/>
            <w:vAlign w:val="bottom"/>
            <w:tcBorders>
              <w:bottom w:val="single" w:sz="8" w:color="D1D2D4"/>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1,000,000</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$5,512,829</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w w:val="93"/>
              </w:rPr>
              <w:t>1,837,511</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2,400,000</w:t>
            </w:r>
          </w:p>
        </w:tc>
        <w:tc>
          <w:tcPr>
            <w:tcW w:w="680" w:type="dxa"/>
            <w:vAlign w:val="bottom"/>
            <w:vMerge w:val="restart"/>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7"/>
              <w:spacing w:after="0"/>
              <w:rPr>
                <w:sz w:val="20"/>
                <w:szCs w:val="20"/>
                <w:color w:val="auto"/>
              </w:rPr>
            </w:pPr>
            <w:r>
              <w:rPr>
                <w:rFonts w:ascii="Arial" w:cs="Arial" w:eastAsia="Arial" w:hAnsi="Arial"/>
                <w:sz w:val="13"/>
                <w:szCs w:val="13"/>
                <w:color w:val="auto"/>
              </w:rPr>
              <w:t>$318,199</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11,068,539</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600" w:type="dxa"/>
            <w:vAlign w:val="bottom"/>
            <w:tcBorders>
              <w:bottom w:val="single" w:sz="8" w:color="D1D2D4"/>
            </w:tcBorders>
            <w:gridSpan w:val="2"/>
            <w:vMerge w:val="continue"/>
          </w:tcPr>
          <w:p>
            <w:pPr>
              <w:spacing w:after="0"/>
              <w:rPr>
                <w:sz w:val="6"/>
                <w:szCs w:val="6"/>
                <w:color w:val="auto"/>
              </w:rPr>
            </w:pPr>
          </w:p>
        </w:tc>
        <w:tc>
          <w:tcPr>
            <w:tcW w:w="220" w:type="dxa"/>
            <w:vAlign w:val="bottom"/>
            <w:tcBorders>
              <w:bottom w:val="single" w:sz="8" w:color="D1D2D4"/>
            </w:tcBorders>
            <w:vMerge w:val="continue"/>
          </w:tcPr>
          <w:p>
            <w:pPr>
              <w:spacing w:after="0"/>
              <w:rPr>
                <w:sz w:val="6"/>
                <w:szCs w:val="6"/>
                <w:color w:val="auto"/>
              </w:rPr>
            </w:pPr>
          </w:p>
        </w:tc>
        <w:tc>
          <w:tcPr>
            <w:tcW w:w="700" w:type="dxa"/>
            <w:vAlign w:val="bottom"/>
            <w:tcBorders>
              <w:bottom w:val="single" w:sz="8" w:color="D1D2D4"/>
            </w:tcBorders>
            <w:vMerge w:val="continue"/>
          </w:tcPr>
          <w:p>
            <w:pPr>
              <w:spacing w:after="0"/>
              <w:rPr>
                <w:sz w:val="6"/>
                <w:szCs w:val="6"/>
                <w:color w:val="auto"/>
              </w:rPr>
            </w:pPr>
          </w:p>
        </w:tc>
        <w:tc>
          <w:tcPr>
            <w:tcW w:w="220" w:type="dxa"/>
            <w:vAlign w:val="bottom"/>
            <w:tcBorders>
              <w:bottom w:val="single" w:sz="8" w:color="D1D2D4"/>
            </w:tcBorders>
            <w:vMerge w:val="continue"/>
          </w:tcPr>
          <w:p>
            <w:pPr>
              <w:spacing w:after="0"/>
              <w:rPr>
                <w:sz w:val="6"/>
                <w:szCs w:val="6"/>
                <w:color w:val="auto"/>
              </w:rPr>
            </w:pPr>
          </w:p>
        </w:tc>
        <w:tc>
          <w:tcPr>
            <w:tcW w:w="600" w:type="dxa"/>
            <w:vAlign w:val="bottom"/>
            <w:tcBorders>
              <w:bottom w:val="single" w:sz="8" w:color="D1D2D4"/>
            </w:tcBorders>
            <w:vMerge w:val="continue"/>
          </w:tcPr>
          <w:p>
            <w:pPr>
              <w:spacing w:after="0"/>
              <w:rPr>
                <w:sz w:val="6"/>
                <w:szCs w:val="6"/>
                <w:color w:val="auto"/>
              </w:rPr>
            </w:pPr>
          </w:p>
        </w:tc>
        <w:tc>
          <w:tcPr>
            <w:tcW w:w="920" w:type="dxa"/>
            <w:vAlign w:val="bottom"/>
            <w:tcBorders>
              <w:bottom w:val="single" w:sz="8" w:color="D1D2D4"/>
            </w:tcBorders>
            <w:vMerge w:val="continue"/>
          </w:tcPr>
          <w:p>
            <w:pPr>
              <w:spacing w:after="0"/>
              <w:rPr>
                <w:sz w:val="6"/>
                <w:szCs w:val="6"/>
                <w:color w:val="auto"/>
              </w:rPr>
            </w:pPr>
          </w:p>
        </w:tc>
        <w:tc>
          <w:tcPr>
            <w:tcW w:w="200" w:type="dxa"/>
            <w:vAlign w:val="bottom"/>
            <w:tcBorders>
              <w:bottom w:val="single" w:sz="8" w:color="D1D2D4"/>
            </w:tcBorders>
            <w:vMerge w:val="continue"/>
          </w:tcPr>
          <w:p>
            <w:pPr>
              <w:spacing w:after="0"/>
              <w:rPr>
                <w:sz w:val="6"/>
                <w:szCs w:val="6"/>
                <w:color w:val="auto"/>
              </w:rPr>
            </w:pPr>
          </w:p>
        </w:tc>
        <w:tc>
          <w:tcPr>
            <w:tcW w:w="640" w:type="dxa"/>
            <w:vAlign w:val="bottom"/>
            <w:tcBorders>
              <w:bottom w:val="single" w:sz="8" w:color="D1D2D4"/>
            </w:tcBorders>
            <w:vMerge w:val="continue"/>
          </w:tcPr>
          <w:p>
            <w:pPr>
              <w:spacing w:after="0"/>
              <w:rPr>
                <w:sz w:val="6"/>
                <w:szCs w:val="6"/>
                <w:color w:val="auto"/>
              </w:rPr>
            </w:pPr>
          </w:p>
        </w:tc>
        <w:tc>
          <w:tcPr>
            <w:tcW w:w="500" w:type="dxa"/>
            <w:vAlign w:val="bottom"/>
            <w:tcBorders>
              <w:bottom w:val="single" w:sz="8" w:color="D1D2D4"/>
            </w:tcBorders>
            <w:vMerge w:val="continue"/>
          </w:tcPr>
          <w:p>
            <w:pPr>
              <w:spacing w:after="0"/>
              <w:rPr>
                <w:sz w:val="6"/>
                <w:szCs w:val="6"/>
                <w:color w:val="auto"/>
              </w:rPr>
            </w:pPr>
          </w:p>
        </w:tc>
        <w:tc>
          <w:tcPr>
            <w:tcW w:w="700" w:type="dxa"/>
            <w:vAlign w:val="bottom"/>
            <w:tcBorders>
              <w:bottom w:val="single" w:sz="8" w:color="D1D2D4"/>
            </w:tcBorders>
            <w:vMerge w:val="continue"/>
          </w:tcPr>
          <w:p>
            <w:pPr>
              <w:spacing w:after="0"/>
              <w:rPr>
                <w:sz w:val="6"/>
                <w:szCs w:val="6"/>
                <w:color w:val="auto"/>
              </w:rPr>
            </w:pPr>
          </w:p>
        </w:tc>
        <w:tc>
          <w:tcPr>
            <w:tcW w:w="680" w:type="dxa"/>
            <w:vAlign w:val="bottom"/>
            <w:tcBorders>
              <w:bottom w:val="single" w:sz="8" w:color="D1D2D4"/>
            </w:tcBorders>
            <w:vMerge w:val="continue"/>
          </w:tcPr>
          <w:p>
            <w:pPr>
              <w:spacing w:after="0"/>
              <w:rPr>
                <w:sz w:val="6"/>
                <w:szCs w:val="6"/>
                <w:color w:val="auto"/>
              </w:rPr>
            </w:pPr>
          </w:p>
        </w:tc>
        <w:tc>
          <w:tcPr>
            <w:tcW w:w="580" w:type="dxa"/>
            <w:vAlign w:val="bottom"/>
            <w:tcBorders>
              <w:bottom w:val="single" w:sz="8" w:color="D1D2D4"/>
            </w:tcBorders>
            <w:vMerge w:val="continue"/>
          </w:tcPr>
          <w:p>
            <w:pPr>
              <w:spacing w:after="0"/>
              <w:rPr>
                <w:sz w:val="6"/>
                <w:szCs w:val="6"/>
                <w:color w:val="auto"/>
              </w:rPr>
            </w:pPr>
          </w:p>
        </w:tc>
        <w:tc>
          <w:tcPr>
            <w:tcW w:w="1320" w:type="dxa"/>
            <w:vAlign w:val="bottom"/>
            <w:tcBorders>
              <w:bottom w:val="single" w:sz="8" w:color="D1D2D4"/>
            </w:tcBorders>
            <w:vMerge w:val="continue"/>
          </w:tcPr>
          <w:p>
            <w:pPr>
              <w:spacing w:after="0"/>
              <w:rPr>
                <w:sz w:val="6"/>
                <w:szCs w:val="6"/>
                <w:color w:val="auto"/>
              </w:rPr>
            </w:pPr>
          </w:p>
        </w:tc>
        <w:tc>
          <w:tcPr>
            <w:tcW w:w="220" w:type="dxa"/>
            <w:vAlign w:val="bottom"/>
            <w:tcBorders>
              <w:bottom w:val="single" w:sz="8" w:color="D1D2D4"/>
            </w:tcBorders>
            <w:vMerge w:val="continue"/>
          </w:tcPr>
          <w:p>
            <w:pPr>
              <w:spacing w:after="0"/>
              <w:rPr>
                <w:sz w:val="6"/>
                <w:szCs w:val="6"/>
                <w:color w:val="auto"/>
              </w:rPr>
            </w:pPr>
          </w:p>
        </w:tc>
        <w:tc>
          <w:tcPr>
            <w:tcW w:w="720" w:type="dxa"/>
            <w:vAlign w:val="bottom"/>
            <w:tcBorders>
              <w:bottom w:val="single" w:sz="8" w:color="D1D2D4"/>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gridSpan w:val="2"/>
          </w:tcPr>
          <w:p>
            <w:pPr>
              <w:jc w:val="right"/>
              <w:ind w:right="77"/>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616,966</w:t>
            </w:r>
          </w:p>
        </w:tc>
        <w:tc>
          <w:tcPr>
            <w:tcW w:w="220" w:type="dxa"/>
            <w:vAlign w:val="bottom"/>
            <w:tcBorders>
              <w:bottom w:val="single" w:sz="8" w:color="D1D2D4"/>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$9,650,069</w:t>
            </w:r>
          </w:p>
        </w:tc>
        <w:tc>
          <w:tcPr>
            <w:tcW w:w="2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w w:val="93"/>
              </w:rPr>
              <w:t>2,625,002</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w w:val="93"/>
              </w:rPr>
              <w:t>1,012,500</w:t>
            </w:r>
          </w:p>
        </w:tc>
        <w:tc>
          <w:tcPr>
            <w:tcW w:w="680" w:type="dxa"/>
            <w:vAlign w:val="bottom"/>
            <w:tcBorders>
              <w:bottom w:val="single" w:sz="8" w:color="D1D2D4"/>
            </w:tcBorders>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$260,914</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gridSpan w:val="2"/>
          </w:tcPr>
          <w:p>
            <w:pPr>
              <w:jc w:val="right"/>
              <w:ind w:right="100"/>
              <w:spacing w:after="0"/>
              <w:rPr>
                <w:sz w:val="20"/>
                <w:szCs w:val="20"/>
                <w:color w:val="auto"/>
              </w:rPr>
            </w:pPr>
            <w:r>
              <w:rPr>
                <w:rFonts w:ascii="Arial" w:cs="Arial" w:eastAsia="Arial" w:hAnsi="Arial"/>
                <w:sz w:val="13"/>
                <w:szCs w:val="13"/>
                <w:color w:val="auto"/>
                <w:w w:val="92"/>
              </w:rPr>
              <w:t>14,165,451</w:t>
            </w:r>
          </w:p>
        </w:tc>
        <w:tc>
          <w:tcPr>
            <w:tcW w:w="0" w:type="dxa"/>
            <w:vAlign w:val="bottom"/>
          </w:tcPr>
          <w:p>
            <w:pPr>
              <w:spacing w:after="0"/>
              <w:rPr>
                <w:sz w:val="1"/>
                <w:szCs w:val="1"/>
                <w:color w:val="auto"/>
              </w:rPr>
            </w:pPr>
          </w:p>
        </w:tc>
      </w:tr>
      <w:tr>
        <w:trPr>
          <w:trHeight w:val="144"/>
        </w:trPr>
        <w:tc>
          <w:tcPr>
            <w:tcW w:w="2420" w:type="dxa"/>
            <w:vAlign w:val="bottom"/>
          </w:tcPr>
          <w:p>
            <w:pPr>
              <w:ind w:left="60"/>
              <w:spacing w:after="0" w:line="144" w:lineRule="exact"/>
              <w:rPr>
                <w:sz w:val="20"/>
                <w:szCs w:val="20"/>
                <w:color w:val="auto"/>
              </w:rPr>
            </w:pPr>
            <w:r>
              <w:rPr>
                <w:rFonts w:ascii="Arial" w:cs="Arial" w:eastAsia="Arial" w:hAnsi="Arial"/>
                <w:sz w:val="13"/>
                <w:szCs w:val="13"/>
                <w:b w:val="1"/>
                <w:bCs w:val="1"/>
                <w:color w:val="00529B"/>
              </w:rPr>
              <w:t>Robert L. Peterson</w:t>
            </w:r>
          </w:p>
        </w:tc>
        <w:tc>
          <w:tcPr>
            <w:tcW w:w="600" w:type="dxa"/>
            <w:vAlign w:val="bottom"/>
            <w:gridSpan w:val="2"/>
          </w:tcPr>
          <w:p>
            <w:pPr>
              <w:jc w:val="right"/>
              <w:ind w:right="77"/>
              <w:spacing w:after="0" w:line="144" w:lineRule="exact"/>
              <w:rPr>
                <w:sz w:val="20"/>
                <w:szCs w:val="20"/>
                <w:color w:val="auto"/>
              </w:rPr>
            </w:pPr>
            <w:r>
              <w:rPr>
                <w:rFonts w:ascii="Arial" w:cs="Arial" w:eastAsia="Arial" w:hAnsi="Arial"/>
                <w:sz w:val="13"/>
                <w:szCs w:val="13"/>
                <w:color w:val="auto"/>
              </w:rPr>
              <w:t>2022</w:t>
            </w: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701,616</w:t>
            </w:r>
          </w:p>
        </w:tc>
        <w:tc>
          <w:tcPr>
            <w:tcW w:w="220" w:type="dxa"/>
            <w:vAlign w:val="bottom"/>
          </w:tcPr>
          <w:p>
            <w:pPr>
              <w:ind w:left="140"/>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84,000</w:t>
            </w:r>
          </w:p>
        </w:tc>
        <w:tc>
          <w:tcPr>
            <w:tcW w:w="9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$2,400,147</w:t>
            </w: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800,032</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w w:val="93"/>
              </w:rPr>
              <w:t>1,106,000</w:t>
            </w:r>
          </w:p>
        </w:tc>
        <w:tc>
          <w:tcPr>
            <w:tcW w:w="680" w:type="dxa"/>
            <w:vAlign w:val="bottom"/>
          </w:tcPr>
          <w:p>
            <w:pPr>
              <w:jc w:val="center"/>
              <w:ind w:left="537"/>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7"/>
              <w:spacing w:after="0" w:line="144" w:lineRule="exact"/>
              <w:rPr>
                <w:sz w:val="20"/>
                <w:szCs w:val="20"/>
                <w:color w:val="auto"/>
              </w:rPr>
            </w:pPr>
            <w:r>
              <w:rPr>
                <w:rFonts w:ascii="Arial" w:cs="Arial" w:eastAsia="Arial" w:hAnsi="Arial"/>
                <w:sz w:val="13"/>
                <w:szCs w:val="13"/>
                <w:color w:val="auto"/>
                <w:w w:val="90"/>
              </w:rPr>
              <w:t>46,113</w:t>
            </w:r>
          </w:p>
        </w:tc>
        <w:tc>
          <w:tcPr>
            <w:tcW w:w="13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$271,909</w:t>
            </w:r>
          </w:p>
        </w:tc>
        <w:tc>
          <w:tcPr>
            <w:tcW w:w="2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b w:val="1"/>
                <w:bCs w:val="1"/>
                <w:color w:val="auto"/>
              </w:rPr>
              <w:t>5,409,817</w:t>
            </w:r>
          </w:p>
        </w:tc>
        <w:tc>
          <w:tcPr>
            <w:tcW w:w="0" w:type="dxa"/>
            <w:vAlign w:val="bottom"/>
          </w:tcPr>
          <w:p>
            <w:pPr>
              <w:spacing w:after="0"/>
              <w:rPr>
                <w:sz w:val="1"/>
                <w:szCs w:val="1"/>
                <w:color w:val="auto"/>
              </w:rPr>
            </w:pPr>
          </w:p>
        </w:tc>
      </w:tr>
      <w:tr>
        <w:trPr>
          <w:trHeight w:val="45"/>
        </w:trPr>
        <w:tc>
          <w:tcPr>
            <w:tcW w:w="242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Senior Vice President and Chief</w:t>
            </w:r>
          </w:p>
        </w:tc>
        <w:tc>
          <w:tcPr>
            <w:tcW w:w="180" w:type="dxa"/>
            <w:vAlign w:val="bottom"/>
            <w:tcBorders>
              <w:bottom w:val="single" w:sz="8" w:color="D1D2D4"/>
            </w:tcBorders>
          </w:tcPr>
          <w:p>
            <w:pPr>
              <w:spacing w:after="0"/>
              <w:rPr>
                <w:sz w:val="3"/>
                <w:szCs w:val="3"/>
                <w:color w:val="auto"/>
              </w:rPr>
            </w:pPr>
          </w:p>
        </w:tc>
        <w:tc>
          <w:tcPr>
            <w:tcW w:w="4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00" w:type="dxa"/>
            <w:vAlign w:val="bottom"/>
            <w:tcBorders>
              <w:bottom w:val="single" w:sz="8" w:color="D1D2D4"/>
            </w:tcBorders>
          </w:tcPr>
          <w:p>
            <w:pPr>
              <w:spacing w:after="0"/>
              <w:rPr>
                <w:sz w:val="3"/>
                <w:szCs w:val="3"/>
                <w:color w:val="auto"/>
              </w:rPr>
            </w:pPr>
          </w:p>
        </w:tc>
        <w:tc>
          <w:tcPr>
            <w:tcW w:w="920" w:type="dxa"/>
            <w:vAlign w:val="bottom"/>
            <w:tcBorders>
              <w:bottom w:val="single" w:sz="8" w:color="D1D2D4"/>
            </w:tcBorders>
          </w:tcPr>
          <w:p>
            <w:pPr>
              <w:spacing w:after="0"/>
              <w:rPr>
                <w:sz w:val="3"/>
                <w:szCs w:val="3"/>
                <w:color w:val="auto"/>
              </w:rPr>
            </w:pPr>
          </w:p>
        </w:tc>
        <w:tc>
          <w:tcPr>
            <w:tcW w:w="200" w:type="dxa"/>
            <w:vAlign w:val="bottom"/>
            <w:tcBorders>
              <w:bottom w:val="single" w:sz="8" w:color="D1D2D4"/>
            </w:tcBorders>
          </w:tcPr>
          <w:p>
            <w:pPr>
              <w:spacing w:after="0"/>
              <w:rPr>
                <w:sz w:val="3"/>
                <w:szCs w:val="3"/>
                <w:color w:val="auto"/>
              </w:rPr>
            </w:pPr>
          </w:p>
        </w:tc>
        <w:tc>
          <w:tcPr>
            <w:tcW w:w="640" w:type="dxa"/>
            <w:vAlign w:val="bottom"/>
            <w:tcBorders>
              <w:bottom w:val="single" w:sz="8" w:color="D1D2D4"/>
            </w:tcBorders>
          </w:tcPr>
          <w:p>
            <w:pPr>
              <w:spacing w:after="0"/>
              <w:rPr>
                <w:sz w:val="3"/>
                <w:szCs w:val="3"/>
                <w:color w:val="auto"/>
              </w:rPr>
            </w:pPr>
          </w:p>
        </w:tc>
        <w:tc>
          <w:tcPr>
            <w:tcW w:w="50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680" w:type="dxa"/>
            <w:vAlign w:val="bottom"/>
            <w:tcBorders>
              <w:bottom w:val="single" w:sz="8" w:color="D1D2D4"/>
            </w:tcBorders>
          </w:tcPr>
          <w:p>
            <w:pPr>
              <w:spacing w:after="0"/>
              <w:rPr>
                <w:sz w:val="3"/>
                <w:szCs w:val="3"/>
                <w:color w:val="auto"/>
              </w:rPr>
            </w:pPr>
          </w:p>
        </w:tc>
        <w:tc>
          <w:tcPr>
            <w:tcW w:w="580" w:type="dxa"/>
            <w:vAlign w:val="bottom"/>
            <w:tcBorders>
              <w:bottom w:val="single" w:sz="8" w:color="D1D2D4"/>
            </w:tcBorders>
          </w:tcPr>
          <w:p>
            <w:pPr>
              <w:spacing w:after="0"/>
              <w:rPr>
                <w:sz w:val="3"/>
                <w:szCs w:val="3"/>
                <w:color w:val="auto"/>
              </w:rPr>
            </w:pPr>
          </w:p>
        </w:tc>
        <w:tc>
          <w:tcPr>
            <w:tcW w:w="13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20" w:type="dxa"/>
            <w:vAlign w:val="bottom"/>
            <w:tcBorders>
              <w:bottom w:val="single" w:sz="8" w:color="D1D2D4"/>
            </w:tcBorders>
          </w:tcPr>
          <w:p>
            <w:pPr>
              <w:spacing w:after="0"/>
              <w:rPr>
                <w:sz w:val="3"/>
                <w:szCs w:val="3"/>
                <w:color w:val="auto"/>
              </w:rPr>
            </w:pPr>
          </w:p>
        </w:tc>
        <w:tc>
          <w:tcPr>
            <w:tcW w:w="100" w:type="dxa"/>
            <w:vAlign w:val="bottom"/>
            <w:tcBorders>
              <w:bottom w:val="single" w:sz="8" w:color="D1D2D4"/>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420" w:type="dxa"/>
            <w:vAlign w:val="bottom"/>
            <w:vMerge w:val="continue"/>
          </w:tcPr>
          <w:p>
            <w:pPr>
              <w:spacing w:after="0"/>
              <w:rPr>
                <w:sz w:val="6"/>
                <w:szCs w:val="6"/>
                <w:color w:val="auto"/>
              </w:rPr>
            </w:pPr>
          </w:p>
        </w:tc>
        <w:tc>
          <w:tcPr>
            <w:tcW w:w="6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650,000</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$2,100,135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700,003</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1,040,000</w:t>
            </w:r>
          </w:p>
        </w:tc>
        <w:tc>
          <w:tcPr>
            <w:tcW w:w="680" w:type="dxa"/>
            <w:vAlign w:val="bottom"/>
            <w:vMerge w:val="restart"/>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7"/>
              <w:spacing w:after="0"/>
              <w:rPr>
                <w:sz w:val="20"/>
                <w:szCs w:val="20"/>
                <w:color w:val="auto"/>
              </w:rPr>
            </w:pPr>
            <w:r>
              <w:rPr>
                <w:rFonts w:ascii="Arial" w:cs="Arial" w:eastAsia="Arial" w:hAnsi="Arial"/>
                <w:sz w:val="13"/>
                <w:szCs w:val="13"/>
                <w:color w:val="auto"/>
              </w:rPr>
              <w:t>$170,980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4,661,118</w:t>
            </w:r>
          </w:p>
        </w:tc>
        <w:tc>
          <w:tcPr>
            <w:tcW w:w="0" w:type="dxa"/>
            <w:vAlign w:val="bottom"/>
          </w:tcPr>
          <w:p>
            <w:pPr>
              <w:spacing w:after="0"/>
              <w:rPr>
                <w:sz w:val="1"/>
                <w:szCs w:val="1"/>
                <w:color w:val="auto"/>
              </w:rPr>
            </w:pPr>
          </w:p>
        </w:tc>
      </w:tr>
      <w:tr>
        <w:trPr>
          <w:trHeight w:val="111"/>
        </w:trPr>
        <w:tc>
          <w:tcPr>
            <w:tcW w:w="2420" w:type="dxa"/>
            <w:vAlign w:val="bottom"/>
          </w:tcPr>
          <w:p>
            <w:pPr>
              <w:ind w:left="60"/>
              <w:spacing w:after="0" w:line="106" w:lineRule="exact"/>
              <w:rPr>
                <w:sz w:val="20"/>
                <w:szCs w:val="20"/>
                <w:color w:val="auto"/>
              </w:rPr>
            </w:pPr>
            <w:r>
              <w:rPr>
                <w:rFonts w:ascii="Arial" w:cs="Arial" w:eastAsia="Arial" w:hAnsi="Arial"/>
                <w:sz w:val="12"/>
                <w:szCs w:val="12"/>
                <w:color w:val="auto"/>
              </w:rPr>
              <w:t>Financial Officer</w:t>
            </w:r>
          </w:p>
        </w:tc>
        <w:tc>
          <w:tcPr>
            <w:tcW w:w="600" w:type="dxa"/>
            <w:vAlign w:val="bottom"/>
            <w:tcBorders>
              <w:bottom w:val="single" w:sz="8" w:color="D1D2D4"/>
            </w:tcBorders>
            <w:gridSpan w:val="2"/>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600" w:type="dxa"/>
            <w:vAlign w:val="bottom"/>
            <w:tcBorders>
              <w:bottom w:val="single" w:sz="8" w:color="D1D2D4"/>
            </w:tcBorders>
            <w:vMerge w:val="continue"/>
          </w:tcPr>
          <w:p>
            <w:pPr>
              <w:spacing w:after="0"/>
              <w:rPr>
                <w:sz w:val="9"/>
                <w:szCs w:val="9"/>
                <w:color w:val="auto"/>
              </w:rPr>
            </w:pPr>
          </w:p>
        </w:tc>
        <w:tc>
          <w:tcPr>
            <w:tcW w:w="920" w:type="dxa"/>
            <w:vAlign w:val="bottom"/>
            <w:tcBorders>
              <w:bottom w:val="single" w:sz="8" w:color="D1D2D4"/>
            </w:tcBorders>
            <w:vMerge w:val="continue"/>
          </w:tcPr>
          <w:p>
            <w:pPr>
              <w:spacing w:after="0"/>
              <w:rPr>
                <w:sz w:val="9"/>
                <w:szCs w:val="9"/>
                <w:color w:val="auto"/>
              </w:rPr>
            </w:pPr>
          </w:p>
        </w:tc>
        <w:tc>
          <w:tcPr>
            <w:tcW w:w="200" w:type="dxa"/>
            <w:vAlign w:val="bottom"/>
            <w:tcBorders>
              <w:bottom w:val="single" w:sz="8" w:color="D1D2D4"/>
            </w:tcBorders>
            <w:vMerge w:val="continue"/>
          </w:tcPr>
          <w:p>
            <w:pPr>
              <w:spacing w:after="0"/>
              <w:rPr>
                <w:sz w:val="9"/>
                <w:szCs w:val="9"/>
                <w:color w:val="auto"/>
              </w:rPr>
            </w:pPr>
          </w:p>
        </w:tc>
        <w:tc>
          <w:tcPr>
            <w:tcW w:w="640" w:type="dxa"/>
            <w:vAlign w:val="bottom"/>
            <w:tcBorders>
              <w:bottom w:val="single" w:sz="8" w:color="D1D2D4"/>
            </w:tcBorders>
            <w:vMerge w:val="continue"/>
          </w:tcPr>
          <w:p>
            <w:pPr>
              <w:spacing w:after="0"/>
              <w:rPr>
                <w:sz w:val="9"/>
                <w:szCs w:val="9"/>
                <w:color w:val="auto"/>
              </w:rPr>
            </w:pPr>
          </w:p>
        </w:tc>
        <w:tc>
          <w:tcPr>
            <w:tcW w:w="50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680" w:type="dxa"/>
            <w:vAlign w:val="bottom"/>
            <w:tcBorders>
              <w:bottom w:val="single" w:sz="8" w:color="D1D2D4"/>
            </w:tcBorders>
            <w:vMerge w:val="continue"/>
          </w:tcPr>
          <w:p>
            <w:pPr>
              <w:spacing w:after="0"/>
              <w:rPr>
                <w:sz w:val="9"/>
                <w:szCs w:val="9"/>
                <w:color w:val="auto"/>
              </w:rPr>
            </w:pPr>
          </w:p>
        </w:tc>
        <w:tc>
          <w:tcPr>
            <w:tcW w:w="580" w:type="dxa"/>
            <w:vAlign w:val="bottom"/>
            <w:tcBorders>
              <w:bottom w:val="single" w:sz="8" w:color="D1D2D4"/>
            </w:tcBorders>
            <w:vMerge w:val="continue"/>
          </w:tcPr>
          <w:p>
            <w:pPr>
              <w:spacing w:after="0"/>
              <w:rPr>
                <w:sz w:val="9"/>
                <w:szCs w:val="9"/>
                <w:color w:val="auto"/>
              </w:rPr>
            </w:pPr>
          </w:p>
        </w:tc>
        <w:tc>
          <w:tcPr>
            <w:tcW w:w="132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20" w:type="dxa"/>
            <w:vAlign w:val="bottom"/>
            <w:tcBorders>
              <w:bottom w:val="single" w:sz="8" w:color="D1D2D4"/>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gridSpan w:val="2"/>
          </w:tcPr>
          <w:p>
            <w:pPr>
              <w:jc w:val="right"/>
              <w:ind w:right="77"/>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511,644</w:t>
            </w:r>
          </w:p>
        </w:tc>
        <w:tc>
          <w:tcPr>
            <w:tcW w:w="220" w:type="dxa"/>
            <w:vAlign w:val="bottom"/>
            <w:tcBorders>
              <w:bottom w:val="single" w:sz="8" w:color="D1D2D4"/>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$2,854,296</w:t>
            </w:r>
          </w:p>
        </w:tc>
        <w:tc>
          <w:tcPr>
            <w:tcW w:w="2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300,000</w:t>
            </w:r>
          </w:p>
        </w:tc>
        <w:tc>
          <w:tcPr>
            <w:tcW w:w="680" w:type="dxa"/>
            <w:vAlign w:val="bottom"/>
            <w:tcBorders>
              <w:bottom w:val="single" w:sz="8" w:color="D1D2D4"/>
            </w:tcBorders>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$246,764</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gridSpan w:val="2"/>
          </w:tcPr>
          <w:p>
            <w:pPr>
              <w:jc w:val="right"/>
              <w:ind w:right="100"/>
              <w:spacing w:after="0"/>
              <w:rPr>
                <w:sz w:val="20"/>
                <w:szCs w:val="20"/>
                <w:color w:val="auto"/>
              </w:rPr>
            </w:pPr>
            <w:r>
              <w:rPr>
                <w:rFonts w:ascii="Arial" w:cs="Arial" w:eastAsia="Arial" w:hAnsi="Arial"/>
                <w:sz w:val="13"/>
                <w:szCs w:val="13"/>
                <w:color w:val="auto"/>
              </w:rPr>
              <w:t>3,912,704</w:t>
            </w:r>
          </w:p>
        </w:tc>
        <w:tc>
          <w:tcPr>
            <w:tcW w:w="0" w:type="dxa"/>
            <w:vAlign w:val="bottom"/>
          </w:tcPr>
          <w:p>
            <w:pPr>
              <w:spacing w:after="0"/>
              <w:rPr>
                <w:sz w:val="1"/>
                <w:szCs w:val="1"/>
                <w:color w:val="auto"/>
              </w:rPr>
            </w:pPr>
          </w:p>
        </w:tc>
      </w:tr>
      <w:tr>
        <w:trPr>
          <w:trHeight w:val="144"/>
        </w:trPr>
        <w:tc>
          <w:tcPr>
            <w:tcW w:w="2420" w:type="dxa"/>
            <w:vAlign w:val="bottom"/>
          </w:tcPr>
          <w:p>
            <w:pPr>
              <w:ind w:left="60"/>
              <w:spacing w:after="0" w:line="144" w:lineRule="exact"/>
              <w:rPr>
                <w:sz w:val="20"/>
                <w:szCs w:val="20"/>
                <w:color w:val="auto"/>
              </w:rPr>
            </w:pPr>
            <w:r>
              <w:rPr>
                <w:rFonts w:ascii="Arial" w:cs="Arial" w:eastAsia="Arial" w:hAnsi="Arial"/>
                <w:sz w:val="13"/>
                <w:szCs w:val="13"/>
                <w:b w:val="1"/>
                <w:bCs w:val="1"/>
                <w:color w:val="00529B"/>
              </w:rPr>
              <w:t>Peter. J. Bennett</w:t>
            </w:r>
          </w:p>
        </w:tc>
        <w:tc>
          <w:tcPr>
            <w:tcW w:w="600" w:type="dxa"/>
            <w:vAlign w:val="bottom"/>
            <w:gridSpan w:val="2"/>
          </w:tcPr>
          <w:p>
            <w:pPr>
              <w:jc w:val="right"/>
              <w:ind w:right="77"/>
              <w:spacing w:after="0" w:line="144" w:lineRule="exact"/>
              <w:rPr>
                <w:sz w:val="20"/>
                <w:szCs w:val="20"/>
                <w:color w:val="auto"/>
              </w:rPr>
            </w:pPr>
            <w:r>
              <w:rPr>
                <w:rFonts w:ascii="Arial" w:cs="Arial" w:eastAsia="Arial" w:hAnsi="Arial"/>
                <w:sz w:val="13"/>
                <w:szCs w:val="13"/>
                <w:color w:val="auto"/>
              </w:rPr>
              <w:t>2022</w:t>
            </w: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605,110</w:t>
            </w:r>
          </w:p>
        </w:tc>
        <w:tc>
          <w:tcPr>
            <w:tcW w:w="220" w:type="dxa"/>
            <w:vAlign w:val="bottom"/>
          </w:tcPr>
          <w:p>
            <w:pPr>
              <w:ind w:left="140"/>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72,000</w:t>
            </w:r>
          </w:p>
        </w:tc>
        <w:tc>
          <w:tcPr>
            <w:tcW w:w="9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$1,500,120</w:t>
            </w: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500,008</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948,000</w:t>
            </w:r>
          </w:p>
        </w:tc>
        <w:tc>
          <w:tcPr>
            <w:tcW w:w="680" w:type="dxa"/>
            <w:vAlign w:val="bottom"/>
          </w:tcPr>
          <w:p>
            <w:pPr>
              <w:jc w:val="center"/>
              <w:ind w:left="537"/>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7"/>
              <w:spacing w:after="0" w:line="144" w:lineRule="exact"/>
              <w:rPr>
                <w:sz w:val="20"/>
                <w:szCs w:val="20"/>
                <w:color w:val="auto"/>
              </w:rPr>
            </w:pPr>
            <w:r>
              <w:rPr>
                <w:rFonts w:ascii="Arial" w:cs="Arial" w:eastAsia="Arial" w:hAnsi="Arial"/>
                <w:sz w:val="13"/>
                <w:szCs w:val="13"/>
                <w:color w:val="auto"/>
                <w:w w:val="90"/>
              </w:rPr>
              <w:t>37,054</w:t>
            </w:r>
          </w:p>
        </w:tc>
        <w:tc>
          <w:tcPr>
            <w:tcW w:w="13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$226,325</w:t>
            </w:r>
          </w:p>
        </w:tc>
        <w:tc>
          <w:tcPr>
            <w:tcW w:w="2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b w:val="1"/>
                <w:bCs w:val="1"/>
                <w:color w:val="auto"/>
              </w:rPr>
              <w:t>3,888,617</w:t>
            </w:r>
          </w:p>
        </w:tc>
        <w:tc>
          <w:tcPr>
            <w:tcW w:w="0" w:type="dxa"/>
            <w:vAlign w:val="bottom"/>
          </w:tcPr>
          <w:p>
            <w:pPr>
              <w:spacing w:after="0"/>
              <w:rPr>
                <w:sz w:val="1"/>
                <w:szCs w:val="1"/>
                <w:color w:val="auto"/>
              </w:rPr>
            </w:pPr>
          </w:p>
        </w:tc>
      </w:tr>
      <w:tr>
        <w:trPr>
          <w:trHeight w:val="45"/>
        </w:trPr>
        <w:tc>
          <w:tcPr>
            <w:tcW w:w="242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Vice President and President, ORCM,</w:t>
            </w:r>
          </w:p>
        </w:tc>
        <w:tc>
          <w:tcPr>
            <w:tcW w:w="180" w:type="dxa"/>
            <w:vAlign w:val="bottom"/>
            <w:tcBorders>
              <w:bottom w:val="single" w:sz="8" w:color="D1D2D4"/>
            </w:tcBorders>
          </w:tcPr>
          <w:p>
            <w:pPr>
              <w:spacing w:after="0"/>
              <w:rPr>
                <w:sz w:val="3"/>
                <w:szCs w:val="3"/>
                <w:color w:val="auto"/>
              </w:rPr>
            </w:pPr>
          </w:p>
        </w:tc>
        <w:tc>
          <w:tcPr>
            <w:tcW w:w="4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00" w:type="dxa"/>
            <w:vAlign w:val="bottom"/>
            <w:tcBorders>
              <w:bottom w:val="single" w:sz="8" w:color="D1D2D4"/>
            </w:tcBorders>
          </w:tcPr>
          <w:p>
            <w:pPr>
              <w:spacing w:after="0"/>
              <w:rPr>
                <w:sz w:val="3"/>
                <w:szCs w:val="3"/>
                <w:color w:val="auto"/>
              </w:rPr>
            </w:pPr>
          </w:p>
        </w:tc>
        <w:tc>
          <w:tcPr>
            <w:tcW w:w="920" w:type="dxa"/>
            <w:vAlign w:val="bottom"/>
            <w:tcBorders>
              <w:bottom w:val="single" w:sz="8" w:color="D1D2D4"/>
            </w:tcBorders>
          </w:tcPr>
          <w:p>
            <w:pPr>
              <w:spacing w:after="0"/>
              <w:rPr>
                <w:sz w:val="3"/>
                <w:szCs w:val="3"/>
                <w:color w:val="auto"/>
              </w:rPr>
            </w:pPr>
          </w:p>
        </w:tc>
        <w:tc>
          <w:tcPr>
            <w:tcW w:w="200" w:type="dxa"/>
            <w:vAlign w:val="bottom"/>
            <w:tcBorders>
              <w:bottom w:val="single" w:sz="8" w:color="D1D2D4"/>
            </w:tcBorders>
          </w:tcPr>
          <w:p>
            <w:pPr>
              <w:spacing w:after="0"/>
              <w:rPr>
                <w:sz w:val="3"/>
                <w:szCs w:val="3"/>
                <w:color w:val="auto"/>
              </w:rPr>
            </w:pPr>
          </w:p>
        </w:tc>
        <w:tc>
          <w:tcPr>
            <w:tcW w:w="640" w:type="dxa"/>
            <w:vAlign w:val="bottom"/>
            <w:tcBorders>
              <w:bottom w:val="single" w:sz="8" w:color="D1D2D4"/>
            </w:tcBorders>
          </w:tcPr>
          <w:p>
            <w:pPr>
              <w:spacing w:after="0"/>
              <w:rPr>
                <w:sz w:val="3"/>
                <w:szCs w:val="3"/>
                <w:color w:val="auto"/>
              </w:rPr>
            </w:pPr>
          </w:p>
        </w:tc>
        <w:tc>
          <w:tcPr>
            <w:tcW w:w="50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680" w:type="dxa"/>
            <w:vAlign w:val="bottom"/>
            <w:tcBorders>
              <w:bottom w:val="single" w:sz="8" w:color="D1D2D4"/>
            </w:tcBorders>
          </w:tcPr>
          <w:p>
            <w:pPr>
              <w:spacing w:after="0"/>
              <w:rPr>
                <w:sz w:val="3"/>
                <w:szCs w:val="3"/>
                <w:color w:val="auto"/>
              </w:rPr>
            </w:pPr>
          </w:p>
        </w:tc>
        <w:tc>
          <w:tcPr>
            <w:tcW w:w="580" w:type="dxa"/>
            <w:vAlign w:val="bottom"/>
            <w:tcBorders>
              <w:bottom w:val="single" w:sz="8" w:color="D1D2D4"/>
            </w:tcBorders>
          </w:tcPr>
          <w:p>
            <w:pPr>
              <w:spacing w:after="0"/>
              <w:rPr>
                <w:sz w:val="3"/>
                <w:szCs w:val="3"/>
                <w:color w:val="auto"/>
              </w:rPr>
            </w:pPr>
          </w:p>
        </w:tc>
        <w:tc>
          <w:tcPr>
            <w:tcW w:w="13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20" w:type="dxa"/>
            <w:vAlign w:val="bottom"/>
            <w:tcBorders>
              <w:bottom w:val="single" w:sz="8" w:color="D1D2D4"/>
            </w:tcBorders>
          </w:tcPr>
          <w:p>
            <w:pPr>
              <w:spacing w:after="0"/>
              <w:rPr>
                <w:sz w:val="3"/>
                <w:szCs w:val="3"/>
                <w:color w:val="auto"/>
              </w:rPr>
            </w:pPr>
          </w:p>
        </w:tc>
        <w:tc>
          <w:tcPr>
            <w:tcW w:w="100" w:type="dxa"/>
            <w:vAlign w:val="bottom"/>
            <w:tcBorders>
              <w:bottom w:val="single" w:sz="8" w:color="D1D2D4"/>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420" w:type="dxa"/>
            <w:vAlign w:val="bottom"/>
            <w:vMerge w:val="continue"/>
          </w:tcPr>
          <w:p>
            <w:pPr>
              <w:spacing w:after="0"/>
              <w:rPr>
                <w:sz w:val="6"/>
                <w:szCs w:val="6"/>
                <w:color w:val="auto"/>
              </w:rPr>
            </w:pPr>
          </w:p>
        </w:tc>
        <w:tc>
          <w:tcPr>
            <w:tcW w:w="180" w:type="dxa"/>
            <w:vAlign w:val="bottom"/>
            <w:shd w:val="clear" w:color="auto" w:fill="E7E7E8"/>
          </w:tcPr>
          <w:p>
            <w:pPr>
              <w:spacing w:after="0"/>
              <w:rPr>
                <w:sz w:val="6"/>
                <w:szCs w:val="6"/>
                <w:color w:val="auto"/>
              </w:rPr>
            </w:pPr>
          </w:p>
        </w:tc>
        <w:tc>
          <w:tcPr>
            <w:tcW w:w="420" w:type="dxa"/>
            <w:vAlign w:val="bottom"/>
            <w:shd w:val="clear" w:color="auto" w:fill="E7E7E8"/>
          </w:tcPr>
          <w:p>
            <w:pPr>
              <w:spacing w:after="0"/>
              <w:rPr>
                <w:sz w:val="6"/>
                <w:szCs w:val="6"/>
                <w:color w:val="auto"/>
              </w:rPr>
            </w:pPr>
          </w:p>
        </w:tc>
        <w:tc>
          <w:tcPr>
            <w:tcW w:w="220" w:type="dxa"/>
            <w:vAlign w:val="bottom"/>
            <w:shd w:val="clear" w:color="auto" w:fill="E7E7E8"/>
          </w:tcPr>
          <w:p>
            <w:pPr>
              <w:spacing w:after="0"/>
              <w:rPr>
                <w:sz w:val="6"/>
                <w:szCs w:val="6"/>
                <w:color w:val="auto"/>
              </w:rPr>
            </w:pPr>
          </w:p>
        </w:tc>
        <w:tc>
          <w:tcPr>
            <w:tcW w:w="700" w:type="dxa"/>
            <w:vAlign w:val="bottom"/>
            <w:shd w:val="clear" w:color="auto" w:fill="E7E7E8"/>
          </w:tcPr>
          <w:p>
            <w:pPr>
              <w:spacing w:after="0"/>
              <w:rPr>
                <w:sz w:val="6"/>
                <w:szCs w:val="6"/>
                <w:color w:val="auto"/>
              </w:rPr>
            </w:pPr>
          </w:p>
        </w:tc>
        <w:tc>
          <w:tcPr>
            <w:tcW w:w="220" w:type="dxa"/>
            <w:vAlign w:val="bottom"/>
            <w:shd w:val="clear" w:color="auto" w:fill="E7E7E8"/>
          </w:tcPr>
          <w:p>
            <w:pPr>
              <w:spacing w:after="0"/>
              <w:rPr>
                <w:sz w:val="6"/>
                <w:szCs w:val="6"/>
                <w:color w:val="auto"/>
              </w:rPr>
            </w:pPr>
          </w:p>
        </w:tc>
        <w:tc>
          <w:tcPr>
            <w:tcW w:w="600" w:type="dxa"/>
            <w:vAlign w:val="bottom"/>
            <w:shd w:val="clear" w:color="auto" w:fill="E7E7E8"/>
          </w:tcPr>
          <w:p>
            <w:pPr>
              <w:spacing w:after="0"/>
              <w:rPr>
                <w:sz w:val="6"/>
                <w:szCs w:val="6"/>
                <w:color w:val="auto"/>
              </w:rPr>
            </w:pPr>
          </w:p>
        </w:tc>
        <w:tc>
          <w:tcPr>
            <w:tcW w:w="920" w:type="dxa"/>
            <w:vAlign w:val="bottom"/>
            <w:shd w:val="clear" w:color="auto" w:fill="E7E7E8"/>
          </w:tcPr>
          <w:p>
            <w:pPr>
              <w:spacing w:after="0"/>
              <w:rPr>
                <w:sz w:val="6"/>
                <w:szCs w:val="6"/>
                <w:color w:val="auto"/>
              </w:rPr>
            </w:pPr>
          </w:p>
        </w:tc>
        <w:tc>
          <w:tcPr>
            <w:tcW w:w="200" w:type="dxa"/>
            <w:vAlign w:val="bottom"/>
            <w:shd w:val="clear" w:color="auto" w:fill="E7E7E8"/>
          </w:tcPr>
          <w:p>
            <w:pPr>
              <w:spacing w:after="0"/>
              <w:rPr>
                <w:sz w:val="6"/>
                <w:szCs w:val="6"/>
                <w:color w:val="auto"/>
              </w:rPr>
            </w:pPr>
          </w:p>
        </w:tc>
        <w:tc>
          <w:tcPr>
            <w:tcW w:w="640" w:type="dxa"/>
            <w:vAlign w:val="bottom"/>
            <w:shd w:val="clear" w:color="auto" w:fill="E7E7E8"/>
          </w:tcPr>
          <w:p>
            <w:pPr>
              <w:spacing w:after="0"/>
              <w:rPr>
                <w:sz w:val="6"/>
                <w:szCs w:val="6"/>
                <w:color w:val="auto"/>
              </w:rPr>
            </w:pPr>
          </w:p>
        </w:tc>
        <w:tc>
          <w:tcPr>
            <w:tcW w:w="500" w:type="dxa"/>
            <w:vAlign w:val="bottom"/>
            <w:shd w:val="clear" w:color="auto" w:fill="E7E7E8"/>
          </w:tcPr>
          <w:p>
            <w:pPr>
              <w:spacing w:after="0"/>
              <w:rPr>
                <w:sz w:val="6"/>
                <w:szCs w:val="6"/>
                <w:color w:val="auto"/>
              </w:rPr>
            </w:pPr>
          </w:p>
        </w:tc>
        <w:tc>
          <w:tcPr>
            <w:tcW w:w="700" w:type="dxa"/>
            <w:vAlign w:val="bottom"/>
            <w:shd w:val="clear" w:color="auto" w:fill="E7E7E8"/>
          </w:tcPr>
          <w:p>
            <w:pPr>
              <w:spacing w:after="0"/>
              <w:rPr>
                <w:sz w:val="6"/>
                <w:szCs w:val="6"/>
                <w:color w:val="auto"/>
              </w:rPr>
            </w:pPr>
          </w:p>
        </w:tc>
        <w:tc>
          <w:tcPr>
            <w:tcW w:w="680" w:type="dxa"/>
            <w:vAlign w:val="bottom"/>
            <w:shd w:val="clear" w:color="auto" w:fill="E7E7E8"/>
          </w:tcPr>
          <w:p>
            <w:pPr>
              <w:spacing w:after="0"/>
              <w:rPr>
                <w:sz w:val="6"/>
                <w:szCs w:val="6"/>
                <w:color w:val="auto"/>
              </w:rPr>
            </w:pPr>
          </w:p>
        </w:tc>
        <w:tc>
          <w:tcPr>
            <w:tcW w:w="580" w:type="dxa"/>
            <w:vAlign w:val="bottom"/>
            <w:shd w:val="clear" w:color="auto" w:fill="E7E7E8"/>
          </w:tcPr>
          <w:p>
            <w:pPr>
              <w:spacing w:after="0"/>
              <w:rPr>
                <w:sz w:val="6"/>
                <w:szCs w:val="6"/>
                <w:color w:val="auto"/>
              </w:rPr>
            </w:pPr>
          </w:p>
        </w:tc>
        <w:tc>
          <w:tcPr>
            <w:tcW w:w="1320" w:type="dxa"/>
            <w:vAlign w:val="bottom"/>
            <w:shd w:val="clear" w:color="auto" w:fill="E7E7E8"/>
          </w:tcPr>
          <w:p>
            <w:pPr>
              <w:spacing w:after="0"/>
              <w:rPr>
                <w:sz w:val="6"/>
                <w:szCs w:val="6"/>
                <w:color w:val="auto"/>
              </w:rPr>
            </w:pPr>
          </w:p>
        </w:tc>
        <w:tc>
          <w:tcPr>
            <w:tcW w:w="220" w:type="dxa"/>
            <w:vAlign w:val="bottom"/>
            <w:shd w:val="clear" w:color="auto" w:fill="E7E7E8"/>
          </w:tcPr>
          <w:p>
            <w:pPr>
              <w:spacing w:after="0"/>
              <w:rPr>
                <w:sz w:val="6"/>
                <w:szCs w:val="6"/>
                <w:color w:val="auto"/>
              </w:rPr>
            </w:pPr>
          </w:p>
        </w:tc>
        <w:tc>
          <w:tcPr>
            <w:tcW w:w="620" w:type="dxa"/>
            <w:vAlign w:val="bottom"/>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420" w:type="dxa"/>
            <w:vAlign w:val="bottom"/>
          </w:tcPr>
          <w:p>
            <w:pPr>
              <w:ind w:left="60"/>
              <w:spacing w:after="0" w:line="106" w:lineRule="exact"/>
              <w:rPr>
                <w:sz w:val="20"/>
                <w:szCs w:val="20"/>
                <w:color w:val="auto"/>
              </w:rPr>
            </w:pPr>
            <w:r>
              <w:rPr>
                <w:rFonts w:ascii="Arial" w:cs="Arial" w:eastAsia="Arial" w:hAnsi="Arial"/>
                <w:sz w:val="12"/>
                <w:szCs w:val="12"/>
                <w:color w:val="auto"/>
              </w:rPr>
              <w:t>Commercial Development</w:t>
            </w:r>
          </w:p>
        </w:tc>
        <w:tc>
          <w:tcPr>
            <w:tcW w:w="180" w:type="dxa"/>
            <w:vAlign w:val="bottom"/>
            <w:tcBorders>
              <w:bottom w:val="single" w:sz="8" w:color="D1D2D4"/>
            </w:tcBorders>
            <w:shd w:val="clear" w:color="auto" w:fill="E7E7E8"/>
          </w:tcPr>
          <w:p>
            <w:pPr>
              <w:spacing w:after="0"/>
              <w:rPr>
                <w:sz w:val="9"/>
                <w:szCs w:val="9"/>
                <w:color w:val="auto"/>
              </w:rPr>
            </w:pPr>
          </w:p>
        </w:tc>
        <w:tc>
          <w:tcPr>
            <w:tcW w:w="420" w:type="dxa"/>
            <w:vAlign w:val="bottom"/>
            <w:tcBorders>
              <w:bottom w:val="single" w:sz="8" w:color="D1D2D4"/>
            </w:tcBorders>
            <w:shd w:val="clear" w:color="auto" w:fill="E7E7E8"/>
          </w:tcPr>
          <w:p>
            <w:pPr>
              <w:spacing w:after="0"/>
              <w:rPr>
                <w:sz w:val="9"/>
                <w:szCs w:val="9"/>
                <w:color w:val="auto"/>
              </w:rPr>
            </w:pPr>
          </w:p>
        </w:tc>
        <w:tc>
          <w:tcPr>
            <w:tcW w:w="220" w:type="dxa"/>
            <w:vAlign w:val="bottom"/>
            <w:tcBorders>
              <w:bottom w:val="single" w:sz="8" w:color="D1D2D4"/>
            </w:tcBorders>
            <w:shd w:val="clear" w:color="auto" w:fill="E7E7E8"/>
          </w:tcPr>
          <w:p>
            <w:pPr>
              <w:spacing w:after="0"/>
              <w:rPr>
                <w:sz w:val="9"/>
                <w:szCs w:val="9"/>
                <w:color w:val="auto"/>
              </w:rPr>
            </w:pPr>
          </w:p>
        </w:tc>
        <w:tc>
          <w:tcPr>
            <w:tcW w:w="700" w:type="dxa"/>
            <w:vAlign w:val="bottom"/>
            <w:tcBorders>
              <w:bottom w:val="single" w:sz="8" w:color="D1D2D4"/>
            </w:tcBorders>
            <w:shd w:val="clear" w:color="auto" w:fill="E7E7E8"/>
          </w:tcPr>
          <w:p>
            <w:pPr>
              <w:spacing w:after="0"/>
              <w:rPr>
                <w:sz w:val="9"/>
                <w:szCs w:val="9"/>
                <w:color w:val="auto"/>
              </w:rPr>
            </w:pPr>
          </w:p>
        </w:tc>
        <w:tc>
          <w:tcPr>
            <w:tcW w:w="220" w:type="dxa"/>
            <w:vAlign w:val="bottom"/>
            <w:tcBorders>
              <w:bottom w:val="single" w:sz="8" w:color="D1D2D4"/>
            </w:tcBorders>
            <w:shd w:val="clear" w:color="auto" w:fill="E7E7E8"/>
          </w:tcPr>
          <w:p>
            <w:pPr>
              <w:spacing w:after="0"/>
              <w:rPr>
                <w:sz w:val="9"/>
                <w:szCs w:val="9"/>
                <w:color w:val="auto"/>
              </w:rPr>
            </w:pPr>
          </w:p>
        </w:tc>
        <w:tc>
          <w:tcPr>
            <w:tcW w:w="600" w:type="dxa"/>
            <w:vAlign w:val="bottom"/>
            <w:tcBorders>
              <w:bottom w:val="single" w:sz="8" w:color="D1D2D4"/>
            </w:tcBorders>
            <w:shd w:val="clear" w:color="auto" w:fill="E7E7E8"/>
          </w:tcPr>
          <w:p>
            <w:pPr>
              <w:spacing w:after="0"/>
              <w:rPr>
                <w:sz w:val="9"/>
                <w:szCs w:val="9"/>
                <w:color w:val="auto"/>
              </w:rPr>
            </w:pPr>
          </w:p>
        </w:tc>
        <w:tc>
          <w:tcPr>
            <w:tcW w:w="920" w:type="dxa"/>
            <w:vAlign w:val="bottom"/>
            <w:tcBorders>
              <w:bottom w:val="single" w:sz="8" w:color="D1D2D4"/>
            </w:tcBorders>
            <w:shd w:val="clear" w:color="auto" w:fill="E7E7E8"/>
          </w:tcPr>
          <w:p>
            <w:pPr>
              <w:spacing w:after="0"/>
              <w:rPr>
                <w:sz w:val="9"/>
                <w:szCs w:val="9"/>
                <w:color w:val="auto"/>
              </w:rPr>
            </w:pPr>
          </w:p>
        </w:tc>
        <w:tc>
          <w:tcPr>
            <w:tcW w:w="200" w:type="dxa"/>
            <w:vAlign w:val="bottom"/>
            <w:tcBorders>
              <w:bottom w:val="single" w:sz="8" w:color="D1D2D4"/>
            </w:tcBorders>
            <w:shd w:val="clear" w:color="auto" w:fill="E7E7E8"/>
          </w:tcPr>
          <w:p>
            <w:pPr>
              <w:spacing w:after="0"/>
              <w:rPr>
                <w:sz w:val="9"/>
                <w:szCs w:val="9"/>
                <w:color w:val="auto"/>
              </w:rPr>
            </w:pPr>
          </w:p>
        </w:tc>
        <w:tc>
          <w:tcPr>
            <w:tcW w:w="640" w:type="dxa"/>
            <w:vAlign w:val="bottom"/>
            <w:tcBorders>
              <w:bottom w:val="single" w:sz="8" w:color="D1D2D4"/>
            </w:tcBorders>
            <w:shd w:val="clear" w:color="auto" w:fill="E7E7E8"/>
          </w:tcPr>
          <w:p>
            <w:pPr>
              <w:spacing w:after="0"/>
              <w:rPr>
                <w:sz w:val="9"/>
                <w:szCs w:val="9"/>
                <w:color w:val="auto"/>
              </w:rPr>
            </w:pPr>
          </w:p>
        </w:tc>
        <w:tc>
          <w:tcPr>
            <w:tcW w:w="500" w:type="dxa"/>
            <w:vAlign w:val="bottom"/>
            <w:tcBorders>
              <w:bottom w:val="single" w:sz="8" w:color="D1D2D4"/>
            </w:tcBorders>
            <w:shd w:val="clear" w:color="auto" w:fill="E7E7E8"/>
          </w:tcPr>
          <w:p>
            <w:pPr>
              <w:spacing w:after="0"/>
              <w:rPr>
                <w:sz w:val="9"/>
                <w:szCs w:val="9"/>
                <w:color w:val="auto"/>
              </w:rPr>
            </w:pPr>
          </w:p>
        </w:tc>
        <w:tc>
          <w:tcPr>
            <w:tcW w:w="700" w:type="dxa"/>
            <w:vAlign w:val="bottom"/>
            <w:tcBorders>
              <w:bottom w:val="single" w:sz="8" w:color="D1D2D4"/>
            </w:tcBorders>
            <w:shd w:val="clear" w:color="auto" w:fill="E7E7E8"/>
          </w:tcPr>
          <w:p>
            <w:pPr>
              <w:spacing w:after="0"/>
              <w:rPr>
                <w:sz w:val="9"/>
                <w:szCs w:val="9"/>
                <w:color w:val="auto"/>
              </w:rPr>
            </w:pPr>
          </w:p>
        </w:tc>
        <w:tc>
          <w:tcPr>
            <w:tcW w:w="680" w:type="dxa"/>
            <w:vAlign w:val="bottom"/>
            <w:tcBorders>
              <w:bottom w:val="single" w:sz="8" w:color="D1D2D4"/>
            </w:tcBorders>
            <w:shd w:val="clear" w:color="auto" w:fill="E7E7E8"/>
          </w:tcPr>
          <w:p>
            <w:pPr>
              <w:spacing w:after="0"/>
              <w:rPr>
                <w:sz w:val="9"/>
                <w:szCs w:val="9"/>
                <w:color w:val="auto"/>
              </w:rPr>
            </w:pPr>
          </w:p>
        </w:tc>
        <w:tc>
          <w:tcPr>
            <w:tcW w:w="580" w:type="dxa"/>
            <w:vAlign w:val="bottom"/>
            <w:tcBorders>
              <w:bottom w:val="single" w:sz="8" w:color="D1D2D4"/>
            </w:tcBorders>
            <w:shd w:val="clear" w:color="auto" w:fill="E7E7E8"/>
          </w:tcPr>
          <w:p>
            <w:pPr>
              <w:spacing w:after="0"/>
              <w:rPr>
                <w:sz w:val="9"/>
                <w:szCs w:val="9"/>
                <w:color w:val="auto"/>
              </w:rPr>
            </w:pPr>
          </w:p>
        </w:tc>
        <w:tc>
          <w:tcPr>
            <w:tcW w:w="1320" w:type="dxa"/>
            <w:vAlign w:val="bottom"/>
            <w:tcBorders>
              <w:bottom w:val="single" w:sz="8" w:color="D1D2D4"/>
            </w:tcBorders>
            <w:shd w:val="clear" w:color="auto" w:fill="E7E7E8"/>
          </w:tcPr>
          <w:p>
            <w:pPr>
              <w:spacing w:after="0"/>
              <w:rPr>
                <w:sz w:val="9"/>
                <w:szCs w:val="9"/>
                <w:color w:val="auto"/>
              </w:rPr>
            </w:pPr>
          </w:p>
        </w:tc>
        <w:tc>
          <w:tcPr>
            <w:tcW w:w="220" w:type="dxa"/>
            <w:vAlign w:val="bottom"/>
            <w:tcBorders>
              <w:bottom w:val="single" w:sz="8" w:color="D1D2D4"/>
            </w:tcBorders>
            <w:shd w:val="clear" w:color="auto" w:fill="E7E7E8"/>
          </w:tcPr>
          <w:p>
            <w:pPr>
              <w:spacing w:after="0"/>
              <w:rPr>
                <w:sz w:val="9"/>
                <w:szCs w:val="9"/>
                <w:color w:val="auto"/>
              </w:rPr>
            </w:pPr>
          </w:p>
        </w:tc>
        <w:tc>
          <w:tcPr>
            <w:tcW w:w="620" w:type="dxa"/>
            <w:vAlign w:val="bottom"/>
            <w:tcBorders>
              <w:bottom w:val="single" w:sz="8" w:color="D1D2D4"/>
            </w:tcBorders>
            <w:shd w:val="clear" w:color="auto" w:fill="E7E7E8"/>
          </w:tcPr>
          <w:p>
            <w:pPr>
              <w:spacing w:after="0"/>
              <w:rPr>
                <w:sz w:val="9"/>
                <w:szCs w:val="9"/>
                <w:color w:val="auto"/>
              </w:rPr>
            </w:pPr>
          </w:p>
        </w:tc>
        <w:tc>
          <w:tcPr>
            <w:tcW w:w="100" w:type="dxa"/>
            <w:vAlign w:val="bottom"/>
            <w:tcBorders>
              <w:bottom w:val="single" w:sz="8" w:color="D1D2D4"/>
            </w:tcBorders>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shd w:val="clear" w:color="auto" w:fill="E7E7E8"/>
          </w:tcPr>
          <w:p>
            <w:pPr>
              <w:spacing w:after="0"/>
              <w:rPr>
                <w:sz w:val="15"/>
                <w:szCs w:val="15"/>
                <w:color w:val="auto"/>
              </w:rPr>
            </w:pPr>
          </w:p>
        </w:tc>
        <w:tc>
          <w:tcPr>
            <w:tcW w:w="420" w:type="dxa"/>
            <w:vAlign w:val="bottom"/>
            <w:tcBorders>
              <w:bottom w:val="single" w:sz="8" w:color="D1D2D4"/>
            </w:tcBorders>
            <w:shd w:val="clear" w:color="auto" w:fill="E7E7E8"/>
          </w:tcPr>
          <w:p>
            <w:pPr>
              <w:spacing w:after="0"/>
              <w:rPr>
                <w:sz w:val="15"/>
                <w:szCs w:val="15"/>
                <w:color w:val="auto"/>
              </w:rPr>
            </w:pPr>
          </w:p>
        </w:tc>
        <w:tc>
          <w:tcPr>
            <w:tcW w:w="220" w:type="dxa"/>
            <w:vAlign w:val="bottom"/>
            <w:tcBorders>
              <w:bottom w:val="single" w:sz="8" w:color="D1D2D4"/>
            </w:tcBorders>
            <w:shd w:val="clear" w:color="auto" w:fill="E7E7E8"/>
          </w:tcPr>
          <w:p>
            <w:pPr>
              <w:spacing w:after="0"/>
              <w:rPr>
                <w:sz w:val="15"/>
                <w:szCs w:val="15"/>
                <w:color w:val="auto"/>
              </w:rPr>
            </w:pPr>
          </w:p>
        </w:tc>
        <w:tc>
          <w:tcPr>
            <w:tcW w:w="700" w:type="dxa"/>
            <w:vAlign w:val="bottom"/>
            <w:tcBorders>
              <w:bottom w:val="single" w:sz="8" w:color="D1D2D4"/>
            </w:tcBorders>
            <w:shd w:val="clear" w:color="auto" w:fill="E7E7E8"/>
          </w:tcPr>
          <w:p>
            <w:pPr>
              <w:spacing w:after="0"/>
              <w:rPr>
                <w:sz w:val="15"/>
                <w:szCs w:val="15"/>
                <w:color w:val="auto"/>
              </w:rPr>
            </w:pPr>
          </w:p>
        </w:tc>
        <w:tc>
          <w:tcPr>
            <w:tcW w:w="220" w:type="dxa"/>
            <w:vAlign w:val="bottom"/>
            <w:tcBorders>
              <w:bottom w:val="single" w:sz="8" w:color="D1D2D4"/>
            </w:tcBorders>
            <w:shd w:val="clear" w:color="auto" w:fill="E7E7E8"/>
          </w:tcPr>
          <w:p>
            <w:pPr>
              <w:spacing w:after="0"/>
              <w:rPr>
                <w:sz w:val="15"/>
                <w:szCs w:val="15"/>
                <w:color w:val="auto"/>
              </w:rPr>
            </w:pPr>
          </w:p>
        </w:tc>
        <w:tc>
          <w:tcPr>
            <w:tcW w:w="600" w:type="dxa"/>
            <w:vAlign w:val="bottom"/>
            <w:tcBorders>
              <w:bottom w:val="single" w:sz="8" w:color="D1D2D4"/>
            </w:tcBorders>
            <w:shd w:val="clear" w:color="auto" w:fill="E7E7E8"/>
          </w:tcPr>
          <w:p>
            <w:pPr>
              <w:spacing w:after="0"/>
              <w:rPr>
                <w:sz w:val="15"/>
                <w:szCs w:val="15"/>
                <w:color w:val="auto"/>
              </w:rPr>
            </w:pPr>
          </w:p>
        </w:tc>
        <w:tc>
          <w:tcPr>
            <w:tcW w:w="920" w:type="dxa"/>
            <w:vAlign w:val="bottom"/>
            <w:tcBorders>
              <w:bottom w:val="single" w:sz="8" w:color="D1D2D4"/>
            </w:tcBorders>
            <w:shd w:val="clear" w:color="auto" w:fill="E7E7E8"/>
          </w:tcPr>
          <w:p>
            <w:pPr>
              <w:spacing w:after="0"/>
              <w:rPr>
                <w:sz w:val="15"/>
                <w:szCs w:val="15"/>
                <w:color w:val="auto"/>
              </w:rPr>
            </w:pPr>
          </w:p>
        </w:tc>
        <w:tc>
          <w:tcPr>
            <w:tcW w:w="200" w:type="dxa"/>
            <w:vAlign w:val="bottom"/>
            <w:tcBorders>
              <w:bottom w:val="single" w:sz="8" w:color="D1D2D4"/>
            </w:tcBorders>
            <w:shd w:val="clear" w:color="auto" w:fill="E7E7E8"/>
          </w:tcPr>
          <w:p>
            <w:pPr>
              <w:spacing w:after="0"/>
              <w:rPr>
                <w:sz w:val="15"/>
                <w:szCs w:val="15"/>
                <w:color w:val="auto"/>
              </w:rPr>
            </w:pPr>
          </w:p>
        </w:tc>
        <w:tc>
          <w:tcPr>
            <w:tcW w:w="640" w:type="dxa"/>
            <w:vAlign w:val="bottom"/>
            <w:tcBorders>
              <w:bottom w:val="single" w:sz="8" w:color="D1D2D4"/>
            </w:tcBorders>
            <w:shd w:val="clear" w:color="auto" w:fill="E7E7E8"/>
          </w:tcPr>
          <w:p>
            <w:pPr>
              <w:spacing w:after="0"/>
              <w:rPr>
                <w:sz w:val="15"/>
                <w:szCs w:val="15"/>
                <w:color w:val="auto"/>
              </w:rPr>
            </w:pPr>
          </w:p>
        </w:tc>
        <w:tc>
          <w:tcPr>
            <w:tcW w:w="500" w:type="dxa"/>
            <w:vAlign w:val="bottom"/>
            <w:tcBorders>
              <w:bottom w:val="single" w:sz="8" w:color="D1D2D4"/>
            </w:tcBorders>
            <w:shd w:val="clear" w:color="auto" w:fill="E7E7E8"/>
          </w:tcPr>
          <w:p>
            <w:pPr>
              <w:spacing w:after="0"/>
              <w:rPr>
                <w:sz w:val="15"/>
                <w:szCs w:val="15"/>
                <w:color w:val="auto"/>
              </w:rPr>
            </w:pPr>
          </w:p>
        </w:tc>
        <w:tc>
          <w:tcPr>
            <w:tcW w:w="700" w:type="dxa"/>
            <w:vAlign w:val="bottom"/>
            <w:tcBorders>
              <w:bottom w:val="single" w:sz="8" w:color="D1D2D4"/>
            </w:tcBorders>
            <w:shd w:val="clear" w:color="auto" w:fill="E7E7E8"/>
          </w:tcPr>
          <w:p>
            <w:pPr>
              <w:spacing w:after="0"/>
              <w:rPr>
                <w:sz w:val="15"/>
                <w:szCs w:val="15"/>
                <w:color w:val="auto"/>
              </w:rPr>
            </w:pPr>
          </w:p>
        </w:tc>
        <w:tc>
          <w:tcPr>
            <w:tcW w:w="680" w:type="dxa"/>
            <w:vAlign w:val="bottom"/>
            <w:tcBorders>
              <w:bottom w:val="single" w:sz="8" w:color="D1D2D4"/>
            </w:tcBorders>
            <w:shd w:val="clear" w:color="auto" w:fill="E7E7E8"/>
          </w:tcPr>
          <w:p>
            <w:pPr>
              <w:spacing w:after="0"/>
              <w:rPr>
                <w:sz w:val="15"/>
                <w:szCs w:val="15"/>
                <w:color w:val="auto"/>
              </w:rPr>
            </w:pPr>
          </w:p>
        </w:tc>
        <w:tc>
          <w:tcPr>
            <w:tcW w:w="580" w:type="dxa"/>
            <w:vAlign w:val="bottom"/>
            <w:tcBorders>
              <w:bottom w:val="single" w:sz="8" w:color="D1D2D4"/>
            </w:tcBorders>
            <w:shd w:val="clear" w:color="auto" w:fill="E7E7E8"/>
          </w:tcPr>
          <w:p>
            <w:pPr>
              <w:spacing w:after="0"/>
              <w:rPr>
                <w:sz w:val="15"/>
                <w:szCs w:val="15"/>
                <w:color w:val="auto"/>
              </w:rPr>
            </w:pPr>
          </w:p>
        </w:tc>
        <w:tc>
          <w:tcPr>
            <w:tcW w:w="1320" w:type="dxa"/>
            <w:vAlign w:val="bottom"/>
            <w:tcBorders>
              <w:bottom w:val="single" w:sz="8" w:color="D1D2D4"/>
            </w:tcBorders>
            <w:shd w:val="clear" w:color="auto" w:fill="E7E7E8"/>
          </w:tcPr>
          <w:p>
            <w:pPr>
              <w:spacing w:after="0"/>
              <w:rPr>
                <w:sz w:val="15"/>
                <w:szCs w:val="15"/>
                <w:color w:val="auto"/>
              </w:rPr>
            </w:pPr>
          </w:p>
        </w:tc>
        <w:tc>
          <w:tcPr>
            <w:tcW w:w="220" w:type="dxa"/>
            <w:vAlign w:val="bottom"/>
            <w:tcBorders>
              <w:bottom w:val="single" w:sz="8" w:color="D1D2D4"/>
            </w:tcBorders>
            <w:shd w:val="clear" w:color="auto" w:fill="E7E7E8"/>
          </w:tcPr>
          <w:p>
            <w:pPr>
              <w:spacing w:after="0"/>
              <w:rPr>
                <w:sz w:val="15"/>
                <w:szCs w:val="15"/>
                <w:color w:val="auto"/>
              </w:rPr>
            </w:pPr>
          </w:p>
        </w:tc>
        <w:tc>
          <w:tcPr>
            <w:tcW w:w="620" w:type="dxa"/>
            <w:vAlign w:val="bottom"/>
            <w:tcBorders>
              <w:bottom w:val="single" w:sz="8" w:color="D1D2D4"/>
            </w:tcBorders>
            <w:shd w:val="clear" w:color="auto" w:fill="E7E7E8"/>
          </w:tcPr>
          <w:p>
            <w:pPr>
              <w:spacing w:after="0"/>
              <w:rPr>
                <w:sz w:val="15"/>
                <w:szCs w:val="15"/>
                <w:color w:val="auto"/>
              </w:rPr>
            </w:pPr>
          </w:p>
        </w:tc>
        <w:tc>
          <w:tcPr>
            <w:tcW w:w="100" w:type="dxa"/>
            <w:vAlign w:val="bottom"/>
            <w:tcBorders>
              <w:bottom w:val="single" w:sz="8" w:color="D1D2D4"/>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60"/>
              <w:spacing w:after="0" w:line="138" w:lineRule="exact"/>
              <w:rPr>
                <w:sz w:val="20"/>
                <w:szCs w:val="20"/>
                <w:color w:val="auto"/>
              </w:rPr>
            </w:pPr>
            <w:r>
              <w:rPr>
                <w:rFonts w:ascii="Arial" w:cs="Arial" w:eastAsia="Arial" w:hAnsi="Arial"/>
                <w:sz w:val="13"/>
                <w:szCs w:val="13"/>
                <w:b w:val="1"/>
                <w:bCs w:val="1"/>
                <w:color w:val="00529B"/>
              </w:rPr>
              <w:t>Kenneth Dillon</w:t>
            </w:r>
          </w:p>
        </w:tc>
        <w:tc>
          <w:tcPr>
            <w:tcW w:w="600" w:type="dxa"/>
            <w:vAlign w:val="bottom"/>
            <w:gridSpan w:val="2"/>
          </w:tcPr>
          <w:p>
            <w:pPr>
              <w:jc w:val="right"/>
              <w:ind w:right="77"/>
              <w:spacing w:after="0" w:line="138" w:lineRule="exact"/>
              <w:rPr>
                <w:sz w:val="20"/>
                <w:szCs w:val="20"/>
                <w:color w:val="auto"/>
              </w:rPr>
            </w:pPr>
            <w:r>
              <w:rPr>
                <w:rFonts w:ascii="Arial" w:cs="Arial" w:eastAsia="Arial" w:hAnsi="Arial"/>
                <w:sz w:val="13"/>
                <w:szCs w:val="13"/>
                <w:color w:val="auto"/>
              </w:rPr>
              <w:t>2022</w:t>
            </w:r>
          </w:p>
        </w:tc>
        <w:tc>
          <w:tcPr>
            <w:tcW w:w="2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8" w:lineRule="exact"/>
              <w:rPr>
                <w:sz w:val="20"/>
                <w:szCs w:val="20"/>
                <w:color w:val="auto"/>
              </w:rPr>
            </w:pPr>
            <w:r>
              <w:rPr>
                <w:rFonts w:ascii="Arial" w:cs="Arial" w:eastAsia="Arial" w:hAnsi="Arial"/>
                <w:sz w:val="13"/>
                <w:szCs w:val="13"/>
                <w:color w:val="auto"/>
              </w:rPr>
              <w:t>705,110</w:t>
            </w:r>
          </w:p>
        </w:tc>
        <w:tc>
          <w:tcPr>
            <w:tcW w:w="220" w:type="dxa"/>
            <w:vAlign w:val="bottom"/>
          </w:tcPr>
          <w:p>
            <w:pPr>
              <w:ind w:left="140"/>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line="138" w:lineRule="exact"/>
              <w:rPr>
                <w:sz w:val="20"/>
                <w:szCs w:val="20"/>
                <w:color w:val="auto"/>
              </w:rPr>
            </w:pPr>
            <w:r>
              <w:rPr>
                <w:rFonts w:ascii="Arial" w:cs="Arial" w:eastAsia="Arial" w:hAnsi="Arial"/>
                <w:sz w:val="13"/>
                <w:szCs w:val="13"/>
                <w:color w:val="auto"/>
              </w:rPr>
              <w:t>99,000</w:t>
            </w:r>
          </w:p>
        </w:tc>
        <w:tc>
          <w:tcPr>
            <w:tcW w:w="9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$2,625,184</w:t>
            </w:r>
          </w:p>
        </w:tc>
        <w:tc>
          <w:tcPr>
            <w:tcW w:w="2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38" w:lineRule="exact"/>
              <w:rPr>
                <w:sz w:val="20"/>
                <w:szCs w:val="20"/>
                <w:color w:val="auto"/>
              </w:rPr>
            </w:pPr>
            <w:r>
              <w:rPr>
                <w:rFonts w:ascii="Arial" w:cs="Arial" w:eastAsia="Arial" w:hAnsi="Arial"/>
                <w:sz w:val="13"/>
                <w:szCs w:val="13"/>
                <w:color w:val="auto"/>
              </w:rPr>
              <w:t>875,020</w:t>
            </w:r>
          </w:p>
        </w:tc>
        <w:tc>
          <w:tcPr>
            <w:tcW w:w="5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8" w:lineRule="exact"/>
              <w:rPr>
                <w:sz w:val="20"/>
                <w:szCs w:val="20"/>
                <w:color w:val="auto"/>
              </w:rPr>
            </w:pPr>
            <w:r>
              <w:rPr>
                <w:rFonts w:ascii="Arial" w:cs="Arial" w:eastAsia="Arial" w:hAnsi="Arial"/>
                <w:sz w:val="13"/>
                <w:szCs w:val="13"/>
                <w:color w:val="auto"/>
                <w:w w:val="93"/>
              </w:rPr>
              <w:t>1,303,500</w:t>
            </w:r>
          </w:p>
        </w:tc>
        <w:tc>
          <w:tcPr>
            <w:tcW w:w="680" w:type="dxa"/>
            <w:vAlign w:val="bottom"/>
          </w:tcPr>
          <w:p>
            <w:pPr>
              <w:jc w:val="center"/>
              <w:ind w:left="537"/>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7"/>
              <w:spacing w:after="0" w:line="138" w:lineRule="exact"/>
              <w:rPr>
                <w:sz w:val="20"/>
                <w:szCs w:val="20"/>
                <w:color w:val="auto"/>
              </w:rPr>
            </w:pPr>
            <w:r>
              <w:rPr>
                <w:rFonts w:ascii="Arial" w:cs="Arial" w:eastAsia="Arial" w:hAnsi="Arial"/>
                <w:sz w:val="13"/>
                <w:szCs w:val="13"/>
                <w:color w:val="auto"/>
                <w:w w:val="90"/>
              </w:rPr>
              <w:t>59,048</w:t>
            </w:r>
          </w:p>
        </w:tc>
        <w:tc>
          <w:tcPr>
            <w:tcW w:w="1320" w:type="dxa"/>
            <w:vAlign w:val="bottom"/>
          </w:tcPr>
          <w:p>
            <w:pPr>
              <w:jc w:val="right"/>
              <w:ind w:right="77"/>
              <w:spacing w:after="0" w:line="138" w:lineRule="exact"/>
              <w:rPr>
                <w:sz w:val="20"/>
                <w:szCs w:val="20"/>
                <w:color w:val="auto"/>
              </w:rPr>
            </w:pPr>
            <w:r>
              <w:rPr>
                <w:rFonts w:ascii="Arial" w:cs="Arial" w:eastAsia="Arial" w:hAnsi="Arial"/>
                <w:sz w:val="13"/>
                <w:szCs w:val="13"/>
                <w:color w:val="auto"/>
              </w:rPr>
              <w:t>$295,601</w:t>
            </w:r>
          </w:p>
        </w:tc>
        <w:tc>
          <w:tcPr>
            <w:tcW w:w="2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rPr>
              <w:t>5,962,463</w:t>
            </w:r>
          </w:p>
        </w:tc>
        <w:tc>
          <w:tcPr>
            <w:tcW w:w="0" w:type="dxa"/>
            <w:vAlign w:val="bottom"/>
          </w:tcPr>
          <w:p>
            <w:pPr>
              <w:spacing w:after="0"/>
              <w:rPr>
                <w:sz w:val="1"/>
                <w:szCs w:val="1"/>
                <w:color w:val="auto"/>
              </w:rPr>
            </w:pPr>
          </w:p>
        </w:tc>
      </w:tr>
      <w:tr>
        <w:trPr>
          <w:trHeight w:val="45"/>
        </w:trPr>
        <w:tc>
          <w:tcPr>
            <w:tcW w:w="242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Kenneth Dillon Senior Vice President</w:t>
            </w:r>
          </w:p>
        </w:tc>
        <w:tc>
          <w:tcPr>
            <w:tcW w:w="180" w:type="dxa"/>
            <w:vAlign w:val="bottom"/>
            <w:tcBorders>
              <w:bottom w:val="single" w:sz="8" w:color="D1D2D4"/>
            </w:tcBorders>
          </w:tcPr>
          <w:p>
            <w:pPr>
              <w:spacing w:after="0"/>
              <w:rPr>
                <w:sz w:val="3"/>
                <w:szCs w:val="3"/>
                <w:color w:val="auto"/>
              </w:rPr>
            </w:pPr>
          </w:p>
        </w:tc>
        <w:tc>
          <w:tcPr>
            <w:tcW w:w="4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00" w:type="dxa"/>
            <w:vAlign w:val="bottom"/>
            <w:tcBorders>
              <w:bottom w:val="single" w:sz="8" w:color="D1D2D4"/>
            </w:tcBorders>
          </w:tcPr>
          <w:p>
            <w:pPr>
              <w:spacing w:after="0"/>
              <w:rPr>
                <w:sz w:val="3"/>
                <w:szCs w:val="3"/>
                <w:color w:val="auto"/>
              </w:rPr>
            </w:pPr>
          </w:p>
        </w:tc>
        <w:tc>
          <w:tcPr>
            <w:tcW w:w="920" w:type="dxa"/>
            <w:vAlign w:val="bottom"/>
            <w:tcBorders>
              <w:bottom w:val="single" w:sz="8" w:color="D1D2D4"/>
            </w:tcBorders>
          </w:tcPr>
          <w:p>
            <w:pPr>
              <w:spacing w:after="0"/>
              <w:rPr>
                <w:sz w:val="3"/>
                <w:szCs w:val="3"/>
                <w:color w:val="auto"/>
              </w:rPr>
            </w:pPr>
          </w:p>
        </w:tc>
        <w:tc>
          <w:tcPr>
            <w:tcW w:w="200" w:type="dxa"/>
            <w:vAlign w:val="bottom"/>
            <w:tcBorders>
              <w:bottom w:val="single" w:sz="8" w:color="D1D2D4"/>
            </w:tcBorders>
          </w:tcPr>
          <w:p>
            <w:pPr>
              <w:spacing w:after="0"/>
              <w:rPr>
                <w:sz w:val="3"/>
                <w:szCs w:val="3"/>
                <w:color w:val="auto"/>
              </w:rPr>
            </w:pPr>
          </w:p>
        </w:tc>
        <w:tc>
          <w:tcPr>
            <w:tcW w:w="640" w:type="dxa"/>
            <w:vAlign w:val="bottom"/>
            <w:tcBorders>
              <w:bottom w:val="single" w:sz="8" w:color="D1D2D4"/>
            </w:tcBorders>
          </w:tcPr>
          <w:p>
            <w:pPr>
              <w:spacing w:after="0"/>
              <w:rPr>
                <w:sz w:val="3"/>
                <w:szCs w:val="3"/>
                <w:color w:val="auto"/>
              </w:rPr>
            </w:pPr>
          </w:p>
        </w:tc>
        <w:tc>
          <w:tcPr>
            <w:tcW w:w="50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680" w:type="dxa"/>
            <w:vAlign w:val="bottom"/>
            <w:tcBorders>
              <w:bottom w:val="single" w:sz="8" w:color="D1D2D4"/>
            </w:tcBorders>
          </w:tcPr>
          <w:p>
            <w:pPr>
              <w:spacing w:after="0"/>
              <w:rPr>
                <w:sz w:val="3"/>
                <w:szCs w:val="3"/>
                <w:color w:val="auto"/>
              </w:rPr>
            </w:pPr>
          </w:p>
        </w:tc>
        <w:tc>
          <w:tcPr>
            <w:tcW w:w="580" w:type="dxa"/>
            <w:vAlign w:val="bottom"/>
            <w:tcBorders>
              <w:bottom w:val="single" w:sz="8" w:color="D1D2D4"/>
            </w:tcBorders>
          </w:tcPr>
          <w:p>
            <w:pPr>
              <w:spacing w:after="0"/>
              <w:rPr>
                <w:sz w:val="3"/>
                <w:szCs w:val="3"/>
                <w:color w:val="auto"/>
              </w:rPr>
            </w:pPr>
          </w:p>
        </w:tc>
        <w:tc>
          <w:tcPr>
            <w:tcW w:w="13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20" w:type="dxa"/>
            <w:vAlign w:val="bottom"/>
            <w:tcBorders>
              <w:bottom w:val="single" w:sz="8" w:color="D1D2D4"/>
            </w:tcBorders>
          </w:tcPr>
          <w:p>
            <w:pPr>
              <w:spacing w:after="0"/>
              <w:rPr>
                <w:sz w:val="3"/>
                <w:szCs w:val="3"/>
                <w:color w:val="auto"/>
              </w:rPr>
            </w:pPr>
          </w:p>
        </w:tc>
        <w:tc>
          <w:tcPr>
            <w:tcW w:w="100" w:type="dxa"/>
            <w:vAlign w:val="bottom"/>
            <w:tcBorders>
              <w:bottom w:val="single" w:sz="8" w:color="D1D2D4"/>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420" w:type="dxa"/>
            <w:vAlign w:val="bottom"/>
            <w:vMerge w:val="continue"/>
          </w:tcPr>
          <w:p>
            <w:pPr>
              <w:spacing w:after="0"/>
              <w:rPr>
                <w:sz w:val="6"/>
                <w:szCs w:val="6"/>
                <w:color w:val="auto"/>
              </w:rPr>
            </w:pPr>
          </w:p>
        </w:tc>
        <w:tc>
          <w:tcPr>
            <w:tcW w:w="6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675,000</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$2,212,632</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737,503</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1,280,000</w:t>
            </w:r>
          </w:p>
        </w:tc>
        <w:tc>
          <w:tcPr>
            <w:tcW w:w="680" w:type="dxa"/>
            <w:vAlign w:val="bottom"/>
            <w:vMerge w:val="restart"/>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7"/>
              <w:spacing w:after="0"/>
              <w:rPr>
                <w:sz w:val="20"/>
                <w:szCs w:val="20"/>
                <w:color w:val="auto"/>
              </w:rPr>
            </w:pPr>
            <w:r>
              <w:rPr>
                <w:rFonts w:ascii="Arial" w:cs="Arial" w:eastAsia="Arial" w:hAnsi="Arial"/>
                <w:sz w:val="13"/>
                <w:szCs w:val="13"/>
                <w:color w:val="auto"/>
              </w:rPr>
              <w:t>$169,936</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5,075,071</w:t>
            </w:r>
          </w:p>
        </w:tc>
        <w:tc>
          <w:tcPr>
            <w:tcW w:w="0" w:type="dxa"/>
            <w:vAlign w:val="bottom"/>
          </w:tcPr>
          <w:p>
            <w:pPr>
              <w:spacing w:after="0"/>
              <w:rPr>
                <w:sz w:val="1"/>
                <w:szCs w:val="1"/>
                <w:color w:val="auto"/>
              </w:rPr>
            </w:pPr>
          </w:p>
        </w:tc>
      </w:tr>
      <w:tr>
        <w:trPr>
          <w:trHeight w:val="111"/>
        </w:trPr>
        <w:tc>
          <w:tcPr>
            <w:tcW w:w="2420" w:type="dxa"/>
            <w:vAlign w:val="bottom"/>
          </w:tcPr>
          <w:p>
            <w:pPr>
              <w:ind w:left="60"/>
              <w:spacing w:after="0" w:line="106" w:lineRule="exact"/>
              <w:rPr>
                <w:sz w:val="20"/>
                <w:szCs w:val="20"/>
                <w:color w:val="auto"/>
              </w:rPr>
            </w:pPr>
            <w:r>
              <w:rPr>
                <w:rFonts w:ascii="Arial" w:cs="Arial" w:eastAsia="Arial" w:hAnsi="Arial"/>
                <w:sz w:val="12"/>
                <w:szCs w:val="12"/>
                <w:color w:val="auto"/>
              </w:rPr>
              <w:t>and President, Int’l Oil and Gas Ops</w:t>
            </w:r>
          </w:p>
        </w:tc>
        <w:tc>
          <w:tcPr>
            <w:tcW w:w="600" w:type="dxa"/>
            <w:vAlign w:val="bottom"/>
            <w:tcBorders>
              <w:bottom w:val="single" w:sz="8" w:color="D1D2D4"/>
            </w:tcBorders>
            <w:gridSpan w:val="2"/>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600" w:type="dxa"/>
            <w:vAlign w:val="bottom"/>
            <w:tcBorders>
              <w:bottom w:val="single" w:sz="8" w:color="D1D2D4"/>
            </w:tcBorders>
            <w:vMerge w:val="continue"/>
          </w:tcPr>
          <w:p>
            <w:pPr>
              <w:spacing w:after="0"/>
              <w:rPr>
                <w:sz w:val="9"/>
                <w:szCs w:val="9"/>
                <w:color w:val="auto"/>
              </w:rPr>
            </w:pPr>
          </w:p>
        </w:tc>
        <w:tc>
          <w:tcPr>
            <w:tcW w:w="920" w:type="dxa"/>
            <w:vAlign w:val="bottom"/>
            <w:tcBorders>
              <w:bottom w:val="single" w:sz="8" w:color="D1D2D4"/>
            </w:tcBorders>
            <w:vMerge w:val="continue"/>
          </w:tcPr>
          <w:p>
            <w:pPr>
              <w:spacing w:after="0"/>
              <w:rPr>
                <w:sz w:val="9"/>
                <w:szCs w:val="9"/>
                <w:color w:val="auto"/>
              </w:rPr>
            </w:pPr>
          </w:p>
        </w:tc>
        <w:tc>
          <w:tcPr>
            <w:tcW w:w="200" w:type="dxa"/>
            <w:vAlign w:val="bottom"/>
            <w:tcBorders>
              <w:bottom w:val="single" w:sz="8" w:color="D1D2D4"/>
            </w:tcBorders>
            <w:vMerge w:val="continue"/>
          </w:tcPr>
          <w:p>
            <w:pPr>
              <w:spacing w:after="0"/>
              <w:rPr>
                <w:sz w:val="9"/>
                <w:szCs w:val="9"/>
                <w:color w:val="auto"/>
              </w:rPr>
            </w:pPr>
          </w:p>
        </w:tc>
        <w:tc>
          <w:tcPr>
            <w:tcW w:w="640" w:type="dxa"/>
            <w:vAlign w:val="bottom"/>
            <w:tcBorders>
              <w:bottom w:val="single" w:sz="8" w:color="D1D2D4"/>
            </w:tcBorders>
            <w:vMerge w:val="continue"/>
          </w:tcPr>
          <w:p>
            <w:pPr>
              <w:spacing w:after="0"/>
              <w:rPr>
                <w:sz w:val="9"/>
                <w:szCs w:val="9"/>
                <w:color w:val="auto"/>
              </w:rPr>
            </w:pPr>
          </w:p>
        </w:tc>
        <w:tc>
          <w:tcPr>
            <w:tcW w:w="50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680" w:type="dxa"/>
            <w:vAlign w:val="bottom"/>
            <w:tcBorders>
              <w:bottom w:val="single" w:sz="8" w:color="D1D2D4"/>
            </w:tcBorders>
            <w:vMerge w:val="continue"/>
          </w:tcPr>
          <w:p>
            <w:pPr>
              <w:spacing w:after="0"/>
              <w:rPr>
                <w:sz w:val="9"/>
                <w:szCs w:val="9"/>
                <w:color w:val="auto"/>
              </w:rPr>
            </w:pPr>
          </w:p>
        </w:tc>
        <w:tc>
          <w:tcPr>
            <w:tcW w:w="580" w:type="dxa"/>
            <w:vAlign w:val="bottom"/>
            <w:tcBorders>
              <w:bottom w:val="single" w:sz="8" w:color="D1D2D4"/>
            </w:tcBorders>
            <w:vMerge w:val="continue"/>
          </w:tcPr>
          <w:p>
            <w:pPr>
              <w:spacing w:after="0"/>
              <w:rPr>
                <w:sz w:val="9"/>
                <w:szCs w:val="9"/>
                <w:color w:val="auto"/>
              </w:rPr>
            </w:pPr>
          </w:p>
        </w:tc>
        <w:tc>
          <w:tcPr>
            <w:tcW w:w="132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20" w:type="dxa"/>
            <w:vAlign w:val="bottom"/>
            <w:tcBorders>
              <w:bottom w:val="single" w:sz="8" w:color="D1D2D4"/>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gridSpan w:val="2"/>
          </w:tcPr>
          <w:p>
            <w:pPr>
              <w:jc w:val="right"/>
              <w:ind w:right="77"/>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461,438</w:t>
            </w:r>
          </w:p>
        </w:tc>
        <w:tc>
          <w:tcPr>
            <w:tcW w:w="220" w:type="dxa"/>
            <w:vAlign w:val="bottom"/>
            <w:tcBorders>
              <w:bottom w:val="single" w:sz="8" w:color="D1D2D4"/>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$2,212,565</w:t>
            </w:r>
          </w:p>
        </w:tc>
        <w:tc>
          <w:tcPr>
            <w:tcW w:w="2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737,501</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400,000</w:t>
            </w:r>
          </w:p>
        </w:tc>
        <w:tc>
          <w:tcPr>
            <w:tcW w:w="680" w:type="dxa"/>
            <w:vAlign w:val="bottom"/>
            <w:tcBorders>
              <w:bottom w:val="single" w:sz="8" w:color="D1D2D4"/>
            </w:tcBorders>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$261,594</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gridSpan w:val="2"/>
          </w:tcPr>
          <w:p>
            <w:pPr>
              <w:jc w:val="right"/>
              <w:ind w:right="100"/>
              <w:spacing w:after="0"/>
              <w:rPr>
                <w:sz w:val="20"/>
                <w:szCs w:val="20"/>
                <w:color w:val="auto"/>
              </w:rPr>
            </w:pPr>
            <w:r>
              <w:rPr>
                <w:rFonts w:ascii="Arial" w:cs="Arial" w:eastAsia="Arial" w:hAnsi="Arial"/>
                <w:sz w:val="13"/>
                <w:szCs w:val="13"/>
                <w:color w:val="auto"/>
              </w:rPr>
              <w:t>4,073,098</w:t>
            </w:r>
          </w:p>
        </w:tc>
        <w:tc>
          <w:tcPr>
            <w:tcW w:w="0" w:type="dxa"/>
            <w:vAlign w:val="bottom"/>
          </w:tcPr>
          <w:p>
            <w:pPr>
              <w:spacing w:after="0"/>
              <w:rPr>
                <w:sz w:val="1"/>
                <w:szCs w:val="1"/>
                <w:color w:val="auto"/>
              </w:rPr>
            </w:pPr>
          </w:p>
        </w:tc>
      </w:tr>
      <w:tr>
        <w:trPr>
          <w:trHeight w:val="144"/>
        </w:trPr>
        <w:tc>
          <w:tcPr>
            <w:tcW w:w="2420" w:type="dxa"/>
            <w:vAlign w:val="bottom"/>
          </w:tcPr>
          <w:p>
            <w:pPr>
              <w:ind w:left="60"/>
              <w:spacing w:after="0" w:line="144" w:lineRule="exact"/>
              <w:rPr>
                <w:sz w:val="20"/>
                <w:szCs w:val="20"/>
                <w:color w:val="auto"/>
              </w:rPr>
            </w:pPr>
            <w:r>
              <w:rPr>
                <w:rFonts w:ascii="Arial" w:cs="Arial" w:eastAsia="Arial" w:hAnsi="Arial"/>
                <w:sz w:val="13"/>
                <w:szCs w:val="13"/>
                <w:b w:val="1"/>
                <w:bCs w:val="1"/>
                <w:color w:val="00529B"/>
              </w:rPr>
              <w:t>Richard A. Jackson</w:t>
            </w:r>
          </w:p>
        </w:tc>
        <w:tc>
          <w:tcPr>
            <w:tcW w:w="600" w:type="dxa"/>
            <w:vAlign w:val="bottom"/>
            <w:gridSpan w:val="2"/>
          </w:tcPr>
          <w:p>
            <w:pPr>
              <w:jc w:val="right"/>
              <w:ind w:right="77"/>
              <w:spacing w:after="0" w:line="144" w:lineRule="exact"/>
              <w:rPr>
                <w:sz w:val="20"/>
                <w:szCs w:val="20"/>
                <w:color w:val="auto"/>
              </w:rPr>
            </w:pPr>
            <w:r>
              <w:rPr>
                <w:rFonts w:ascii="Arial" w:cs="Arial" w:eastAsia="Arial" w:hAnsi="Arial"/>
                <w:sz w:val="13"/>
                <w:szCs w:val="13"/>
                <w:color w:val="auto"/>
              </w:rPr>
              <w:t>2022</w:t>
            </w: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701,616</w:t>
            </w:r>
          </w:p>
        </w:tc>
        <w:tc>
          <w:tcPr>
            <w:tcW w:w="220" w:type="dxa"/>
            <w:vAlign w:val="bottom"/>
          </w:tcPr>
          <w:p>
            <w:pPr>
              <w:ind w:left="140"/>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line="144" w:lineRule="exact"/>
              <w:rPr>
                <w:sz w:val="20"/>
                <w:szCs w:val="20"/>
                <w:color w:val="auto"/>
              </w:rPr>
            </w:pPr>
            <w:r>
              <w:rPr>
                <w:rFonts w:ascii="Arial" w:cs="Arial" w:eastAsia="Arial" w:hAnsi="Arial"/>
                <w:sz w:val="13"/>
                <w:szCs w:val="13"/>
                <w:color w:val="auto"/>
              </w:rPr>
              <w:t>84,000</w:t>
            </w:r>
          </w:p>
        </w:tc>
        <w:tc>
          <w:tcPr>
            <w:tcW w:w="9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$2,400,147</w:t>
            </w: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800,032</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4" w:lineRule="exact"/>
              <w:rPr>
                <w:sz w:val="20"/>
                <w:szCs w:val="20"/>
                <w:color w:val="auto"/>
              </w:rPr>
            </w:pPr>
            <w:r>
              <w:rPr>
                <w:rFonts w:ascii="Arial" w:cs="Arial" w:eastAsia="Arial" w:hAnsi="Arial"/>
                <w:sz w:val="13"/>
                <w:szCs w:val="13"/>
                <w:color w:val="auto"/>
                <w:w w:val="93"/>
              </w:rPr>
              <w:t>1,106,000</w:t>
            </w:r>
          </w:p>
        </w:tc>
        <w:tc>
          <w:tcPr>
            <w:tcW w:w="680" w:type="dxa"/>
            <w:vAlign w:val="bottom"/>
          </w:tcPr>
          <w:p>
            <w:pPr>
              <w:jc w:val="center"/>
              <w:ind w:left="537"/>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7"/>
              <w:spacing w:after="0" w:line="144" w:lineRule="exact"/>
              <w:rPr>
                <w:sz w:val="20"/>
                <w:szCs w:val="20"/>
                <w:color w:val="auto"/>
              </w:rPr>
            </w:pPr>
            <w:r>
              <w:rPr>
                <w:rFonts w:ascii="Arial" w:cs="Arial" w:eastAsia="Arial" w:hAnsi="Arial"/>
                <w:sz w:val="13"/>
                <w:szCs w:val="13"/>
                <w:color w:val="auto"/>
                <w:w w:val="90"/>
              </w:rPr>
              <w:t>40,166</w:t>
            </w:r>
          </w:p>
        </w:tc>
        <w:tc>
          <w:tcPr>
            <w:tcW w:w="13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$251,981</w:t>
            </w:r>
          </w:p>
        </w:tc>
        <w:tc>
          <w:tcPr>
            <w:tcW w:w="2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b w:val="1"/>
                <w:bCs w:val="1"/>
                <w:color w:val="auto"/>
              </w:rPr>
              <w:t>5,383,942</w:t>
            </w:r>
          </w:p>
        </w:tc>
        <w:tc>
          <w:tcPr>
            <w:tcW w:w="0" w:type="dxa"/>
            <w:vAlign w:val="bottom"/>
          </w:tcPr>
          <w:p>
            <w:pPr>
              <w:spacing w:after="0"/>
              <w:rPr>
                <w:sz w:val="1"/>
                <w:szCs w:val="1"/>
                <w:color w:val="auto"/>
              </w:rPr>
            </w:pPr>
          </w:p>
        </w:tc>
      </w:tr>
      <w:tr>
        <w:trPr>
          <w:trHeight w:val="45"/>
        </w:trPr>
        <w:tc>
          <w:tcPr>
            <w:tcW w:w="242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Senior Vice President and President,</w:t>
            </w:r>
          </w:p>
        </w:tc>
        <w:tc>
          <w:tcPr>
            <w:tcW w:w="180" w:type="dxa"/>
            <w:vAlign w:val="bottom"/>
            <w:tcBorders>
              <w:bottom w:val="single" w:sz="8" w:color="D1D2D4"/>
            </w:tcBorders>
          </w:tcPr>
          <w:p>
            <w:pPr>
              <w:spacing w:after="0"/>
              <w:rPr>
                <w:sz w:val="3"/>
                <w:szCs w:val="3"/>
                <w:color w:val="auto"/>
              </w:rPr>
            </w:pPr>
          </w:p>
        </w:tc>
        <w:tc>
          <w:tcPr>
            <w:tcW w:w="4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00" w:type="dxa"/>
            <w:vAlign w:val="bottom"/>
            <w:tcBorders>
              <w:bottom w:val="single" w:sz="8" w:color="D1D2D4"/>
            </w:tcBorders>
          </w:tcPr>
          <w:p>
            <w:pPr>
              <w:spacing w:after="0"/>
              <w:rPr>
                <w:sz w:val="3"/>
                <w:szCs w:val="3"/>
                <w:color w:val="auto"/>
              </w:rPr>
            </w:pPr>
          </w:p>
        </w:tc>
        <w:tc>
          <w:tcPr>
            <w:tcW w:w="920" w:type="dxa"/>
            <w:vAlign w:val="bottom"/>
            <w:tcBorders>
              <w:bottom w:val="single" w:sz="8" w:color="D1D2D4"/>
            </w:tcBorders>
          </w:tcPr>
          <w:p>
            <w:pPr>
              <w:spacing w:after="0"/>
              <w:rPr>
                <w:sz w:val="3"/>
                <w:szCs w:val="3"/>
                <w:color w:val="auto"/>
              </w:rPr>
            </w:pPr>
          </w:p>
        </w:tc>
        <w:tc>
          <w:tcPr>
            <w:tcW w:w="200" w:type="dxa"/>
            <w:vAlign w:val="bottom"/>
            <w:tcBorders>
              <w:bottom w:val="single" w:sz="8" w:color="D1D2D4"/>
            </w:tcBorders>
          </w:tcPr>
          <w:p>
            <w:pPr>
              <w:spacing w:after="0"/>
              <w:rPr>
                <w:sz w:val="3"/>
                <w:szCs w:val="3"/>
                <w:color w:val="auto"/>
              </w:rPr>
            </w:pPr>
          </w:p>
        </w:tc>
        <w:tc>
          <w:tcPr>
            <w:tcW w:w="640" w:type="dxa"/>
            <w:vAlign w:val="bottom"/>
            <w:tcBorders>
              <w:bottom w:val="single" w:sz="8" w:color="D1D2D4"/>
            </w:tcBorders>
          </w:tcPr>
          <w:p>
            <w:pPr>
              <w:spacing w:after="0"/>
              <w:rPr>
                <w:sz w:val="3"/>
                <w:szCs w:val="3"/>
                <w:color w:val="auto"/>
              </w:rPr>
            </w:pPr>
          </w:p>
        </w:tc>
        <w:tc>
          <w:tcPr>
            <w:tcW w:w="50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680" w:type="dxa"/>
            <w:vAlign w:val="bottom"/>
            <w:tcBorders>
              <w:bottom w:val="single" w:sz="8" w:color="D1D2D4"/>
            </w:tcBorders>
          </w:tcPr>
          <w:p>
            <w:pPr>
              <w:spacing w:after="0"/>
              <w:rPr>
                <w:sz w:val="3"/>
                <w:szCs w:val="3"/>
                <w:color w:val="auto"/>
              </w:rPr>
            </w:pPr>
          </w:p>
        </w:tc>
        <w:tc>
          <w:tcPr>
            <w:tcW w:w="580" w:type="dxa"/>
            <w:vAlign w:val="bottom"/>
            <w:tcBorders>
              <w:bottom w:val="single" w:sz="8" w:color="D1D2D4"/>
            </w:tcBorders>
          </w:tcPr>
          <w:p>
            <w:pPr>
              <w:spacing w:after="0"/>
              <w:rPr>
                <w:sz w:val="3"/>
                <w:szCs w:val="3"/>
                <w:color w:val="auto"/>
              </w:rPr>
            </w:pPr>
          </w:p>
        </w:tc>
        <w:tc>
          <w:tcPr>
            <w:tcW w:w="13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20" w:type="dxa"/>
            <w:vAlign w:val="bottom"/>
            <w:tcBorders>
              <w:bottom w:val="single" w:sz="8" w:color="D1D2D4"/>
            </w:tcBorders>
          </w:tcPr>
          <w:p>
            <w:pPr>
              <w:spacing w:after="0"/>
              <w:rPr>
                <w:sz w:val="3"/>
                <w:szCs w:val="3"/>
                <w:color w:val="auto"/>
              </w:rPr>
            </w:pPr>
          </w:p>
        </w:tc>
        <w:tc>
          <w:tcPr>
            <w:tcW w:w="100" w:type="dxa"/>
            <w:vAlign w:val="bottom"/>
            <w:tcBorders>
              <w:bottom w:val="single" w:sz="8" w:color="D1D2D4"/>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420" w:type="dxa"/>
            <w:vAlign w:val="bottom"/>
            <w:vMerge w:val="continue"/>
          </w:tcPr>
          <w:p>
            <w:pPr>
              <w:spacing w:after="0"/>
              <w:rPr>
                <w:sz w:val="6"/>
                <w:szCs w:val="6"/>
                <w:color w:val="auto"/>
              </w:rPr>
            </w:pPr>
          </w:p>
        </w:tc>
        <w:tc>
          <w:tcPr>
            <w:tcW w:w="6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650,000</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$2,100,135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700,003</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1,040,000</w:t>
            </w:r>
          </w:p>
        </w:tc>
        <w:tc>
          <w:tcPr>
            <w:tcW w:w="680" w:type="dxa"/>
            <w:vAlign w:val="bottom"/>
            <w:vMerge w:val="restart"/>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7"/>
              <w:spacing w:after="0"/>
              <w:rPr>
                <w:sz w:val="20"/>
                <w:szCs w:val="20"/>
                <w:color w:val="auto"/>
              </w:rPr>
            </w:pPr>
            <w:r>
              <w:rPr>
                <w:rFonts w:ascii="Arial" w:cs="Arial" w:eastAsia="Arial" w:hAnsi="Arial"/>
                <w:sz w:val="13"/>
                <w:szCs w:val="13"/>
                <w:color w:val="auto"/>
              </w:rPr>
              <w:t>$163,523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4,653,661</w:t>
            </w:r>
          </w:p>
        </w:tc>
        <w:tc>
          <w:tcPr>
            <w:tcW w:w="100" w:type="dxa"/>
            <w:vAlign w:val="bottom"/>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420" w:type="dxa"/>
            <w:vAlign w:val="bottom"/>
          </w:tcPr>
          <w:p>
            <w:pPr>
              <w:ind w:left="60"/>
              <w:spacing w:after="0" w:line="106" w:lineRule="exact"/>
              <w:rPr>
                <w:sz w:val="20"/>
                <w:szCs w:val="20"/>
                <w:color w:val="auto"/>
              </w:rPr>
            </w:pPr>
            <w:r>
              <w:rPr>
                <w:rFonts w:ascii="Arial" w:cs="Arial" w:eastAsia="Arial" w:hAnsi="Arial"/>
                <w:sz w:val="12"/>
                <w:szCs w:val="12"/>
                <w:color w:val="auto"/>
              </w:rPr>
              <w:t>ORCM, Operations</w:t>
            </w:r>
          </w:p>
        </w:tc>
        <w:tc>
          <w:tcPr>
            <w:tcW w:w="600" w:type="dxa"/>
            <w:vAlign w:val="bottom"/>
            <w:tcBorders>
              <w:bottom w:val="single" w:sz="8" w:color="D1D2D4"/>
            </w:tcBorders>
            <w:gridSpan w:val="2"/>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600" w:type="dxa"/>
            <w:vAlign w:val="bottom"/>
            <w:tcBorders>
              <w:bottom w:val="single" w:sz="8" w:color="D1D2D4"/>
            </w:tcBorders>
            <w:vMerge w:val="continue"/>
          </w:tcPr>
          <w:p>
            <w:pPr>
              <w:spacing w:after="0"/>
              <w:rPr>
                <w:sz w:val="9"/>
                <w:szCs w:val="9"/>
                <w:color w:val="auto"/>
              </w:rPr>
            </w:pPr>
          </w:p>
        </w:tc>
        <w:tc>
          <w:tcPr>
            <w:tcW w:w="920" w:type="dxa"/>
            <w:vAlign w:val="bottom"/>
            <w:tcBorders>
              <w:bottom w:val="single" w:sz="8" w:color="D1D2D4"/>
            </w:tcBorders>
            <w:vMerge w:val="continue"/>
          </w:tcPr>
          <w:p>
            <w:pPr>
              <w:spacing w:after="0"/>
              <w:rPr>
                <w:sz w:val="9"/>
                <w:szCs w:val="9"/>
                <w:color w:val="auto"/>
              </w:rPr>
            </w:pPr>
          </w:p>
        </w:tc>
        <w:tc>
          <w:tcPr>
            <w:tcW w:w="200" w:type="dxa"/>
            <w:vAlign w:val="bottom"/>
            <w:tcBorders>
              <w:bottom w:val="single" w:sz="8" w:color="D1D2D4"/>
            </w:tcBorders>
            <w:vMerge w:val="continue"/>
          </w:tcPr>
          <w:p>
            <w:pPr>
              <w:spacing w:after="0"/>
              <w:rPr>
                <w:sz w:val="9"/>
                <w:szCs w:val="9"/>
                <w:color w:val="auto"/>
              </w:rPr>
            </w:pPr>
          </w:p>
        </w:tc>
        <w:tc>
          <w:tcPr>
            <w:tcW w:w="640" w:type="dxa"/>
            <w:vAlign w:val="bottom"/>
            <w:tcBorders>
              <w:bottom w:val="single" w:sz="8" w:color="D1D2D4"/>
            </w:tcBorders>
            <w:vMerge w:val="continue"/>
          </w:tcPr>
          <w:p>
            <w:pPr>
              <w:spacing w:after="0"/>
              <w:rPr>
                <w:sz w:val="9"/>
                <w:szCs w:val="9"/>
                <w:color w:val="auto"/>
              </w:rPr>
            </w:pPr>
          </w:p>
        </w:tc>
        <w:tc>
          <w:tcPr>
            <w:tcW w:w="50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680" w:type="dxa"/>
            <w:vAlign w:val="bottom"/>
            <w:tcBorders>
              <w:bottom w:val="single" w:sz="8" w:color="D1D2D4"/>
            </w:tcBorders>
            <w:vMerge w:val="continue"/>
          </w:tcPr>
          <w:p>
            <w:pPr>
              <w:spacing w:after="0"/>
              <w:rPr>
                <w:sz w:val="9"/>
                <w:szCs w:val="9"/>
                <w:color w:val="auto"/>
              </w:rPr>
            </w:pPr>
          </w:p>
        </w:tc>
        <w:tc>
          <w:tcPr>
            <w:tcW w:w="580" w:type="dxa"/>
            <w:vAlign w:val="bottom"/>
            <w:tcBorders>
              <w:bottom w:val="single" w:sz="8" w:color="D1D2D4"/>
            </w:tcBorders>
            <w:vMerge w:val="continue"/>
          </w:tcPr>
          <w:p>
            <w:pPr>
              <w:spacing w:after="0"/>
              <w:rPr>
                <w:sz w:val="9"/>
                <w:szCs w:val="9"/>
                <w:color w:val="auto"/>
              </w:rPr>
            </w:pPr>
          </w:p>
        </w:tc>
        <w:tc>
          <w:tcPr>
            <w:tcW w:w="132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620" w:type="dxa"/>
            <w:vAlign w:val="bottom"/>
            <w:tcBorders>
              <w:bottom w:val="single" w:sz="8" w:color="D1D2D4"/>
            </w:tcBorders>
            <w:vMerge w:val="continue"/>
          </w:tcPr>
          <w:p>
            <w:pPr>
              <w:spacing w:after="0"/>
              <w:rPr>
                <w:sz w:val="9"/>
                <w:szCs w:val="9"/>
                <w:color w:val="auto"/>
              </w:rPr>
            </w:pPr>
          </w:p>
        </w:tc>
        <w:tc>
          <w:tcPr>
            <w:tcW w:w="100" w:type="dxa"/>
            <w:vAlign w:val="bottom"/>
            <w:tcBorders>
              <w:bottom w:val="single" w:sz="8" w:color="D1D2D4"/>
            </w:tcBorders>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D1D2D4"/>
            </w:tcBorders>
          </w:tcPr>
          <w:p>
            <w:pPr>
              <w:spacing w:after="0"/>
              <w:rPr>
                <w:sz w:val="16"/>
                <w:szCs w:val="16"/>
                <w:color w:val="auto"/>
              </w:rPr>
            </w:pPr>
          </w:p>
        </w:tc>
        <w:tc>
          <w:tcPr>
            <w:tcW w:w="600" w:type="dxa"/>
            <w:vAlign w:val="bottom"/>
            <w:tcBorders>
              <w:bottom w:val="single" w:sz="8" w:color="D1D2D4"/>
            </w:tcBorders>
            <w:gridSpan w:val="2"/>
            <w:shd w:val="clear" w:color="auto" w:fill="E7E7E8"/>
          </w:tcPr>
          <w:p>
            <w:pPr>
              <w:spacing w:after="0"/>
              <w:rPr>
                <w:sz w:val="16"/>
                <w:szCs w:val="16"/>
                <w:color w:val="auto"/>
              </w:rPr>
            </w:pPr>
          </w:p>
        </w:tc>
        <w:tc>
          <w:tcPr>
            <w:tcW w:w="220" w:type="dxa"/>
            <w:vAlign w:val="bottom"/>
            <w:tcBorders>
              <w:bottom w:val="single" w:sz="8" w:color="D1D2D4"/>
            </w:tcBorders>
            <w:shd w:val="clear" w:color="auto" w:fill="E7E7E8"/>
          </w:tcPr>
          <w:p>
            <w:pPr>
              <w:spacing w:after="0"/>
              <w:rPr>
                <w:sz w:val="16"/>
                <w:szCs w:val="16"/>
                <w:color w:val="auto"/>
              </w:rPr>
            </w:pPr>
          </w:p>
        </w:tc>
        <w:tc>
          <w:tcPr>
            <w:tcW w:w="700" w:type="dxa"/>
            <w:vAlign w:val="bottom"/>
            <w:tcBorders>
              <w:bottom w:val="single" w:sz="8" w:color="D1D2D4"/>
            </w:tcBorders>
            <w:shd w:val="clear" w:color="auto" w:fill="E7E7E8"/>
          </w:tcPr>
          <w:p>
            <w:pPr>
              <w:spacing w:after="0"/>
              <w:rPr>
                <w:sz w:val="16"/>
                <w:szCs w:val="16"/>
                <w:color w:val="auto"/>
              </w:rPr>
            </w:pPr>
          </w:p>
        </w:tc>
        <w:tc>
          <w:tcPr>
            <w:tcW w:w="220" w:type="dxa"/>
            <w:vAlign w:val="bottom"/>
            <w:tcBorders>
              <w:bottom w:val="single" w:sz="8" w:color="D1D2D4"/>
            </w:tcBorders>
            <w:shd w:val="clear" w:color="auto" w:fill="E7E7E8"/>
          </w:tcPr>
          <w:p>
            <w:pPr>
              <w:spacing w:after="0"/>
              <w:rPr>
                <w:sz w:val="16"/>
                <w:szCs w:val="16"/>
                <w:color w:val="auto"/>
              </w:rPr>
            </w:pPr>
          </w:p>
        </w:tc>
        <w:tc>
          <w:tcPr>
            <w:tcW w:w="600" w:type="dxa"/>
            <w:vAlign w:val="bottom"/>
            <w:tcBorders>
              <w:bottom w:val="single" w:sz="8" w:color="D1D2D4"/>
            </w:tcBorders>
            <w:shd w:val="clear" w:color="auto" w:fill="E7E7E8"/>
          </w:tcPr>
          <w:p>
            <w:pPr>
              <w:spacing w:after="0"/>
              <w:rPr>
                <w:sz w:val="16"/>
                <w:szCs w:val="16"/>
                <w:color w:val="auto"/>
              </w:rPr>
            </w:pPr>
          </w:p>
        </w:tc>
        <w:tc>
          <w:tcPr>
            <w:tcW w:w="920" w:type="dxa"/>
            <w:vAlign w:val="bottom"/>
            <w:tcBorders>
              <w:bottom w:val="single" w:sz="8" w:color="D1D2D4"/>
            </w:tcBorders>
            <w:shd w:val="clear" w:color="auto" w:fill="E7E7E8"/>
          </w:tcPr>
          <w:p>
            <w:pPr>
              <w:spacing w:after="0"/>
              <w:rPr>
                <w:sz w:val="16"/>
                <w:szCs w:val="16"/>
                <w:color w:val="auto"/>
              </w:rPr>
            </w:pPr>
          </w:p>
        </w:tc>
        <w:tc>
          <w:tcPr>
            <w:tcW w:w="200" w:type="dxa"/>
            <w:vAlign w:val="bottom"/>
            <w:tcBorders>
              <w:bottom w:val="single" w:sz="8" w:color="D1D2D4"/>
            </w:tcBorders>
            <w:shd w:val="clear" w:color="auto" w:fill="E7E7E8"/>
          </w:tcPr>
          <w:p>
            <w:pPr>
              <w:spacing w:after="0"/>
              <w:rPr>
                <w:sz w:val="16"/>
                <w:szCs w:val="16"/>
                <w:color w:val="auto"/>
              </w:rPr>
            </w:pPr>
          </w:p>
        </w:tc>
        <w:tc>
          <w:tcPr>
            <w:tcW w:w="640" w:type="dxa"/>
            <w:vAlign w:val="bottom"/>
            <w:tcBorders>
              <w:bottom w:val="single" w:sz="8" w:color="D1D2D4"/>
            </w:tcBorders>
            <w:shd w:val="clear" w:color="auto" w:fill="E7E7E8"/>
          </w:tcPr>
          <w:p>
            <w:pPr>
              <w:spacing w:after="0"/>
              <w:rPr>
                <w:sz w:val="16"/>
                <w:szCs w:val="16"/>
                <w:color w:val="auto"/>
              </w:rPr>
            </w:pPr>
          </w:p>
        </w:tc>
        <w:tc>
          <w:tcPr>
            <w:tcW w:w="500" w:type="dxa"/>
            <w:vAlign w:val="bottom"/>
            <w:tcBorders>
              <w:bottom w:val="single" w:sz="8" w:color="D1D2D4"/>
            </w:tcBorders>
            <w:shd w:val="clear" w:color="auto" w:fill="E7E7E8"/>
          </w:tcPr>
          <w:p>
            <w:pPr>
              <w:spacing w:after="0"/>
              <w:rPr>
                <w:sz w:val="16"/>
                <w:szCs w:val="16"/>
                <w:color w:val="auto"/>
              </w:rPr>
            </w:pPr>
          </w:p>
        </w:tc>
        <w:tc>
          <w:tcPr>
            <w:tcW w:w="700" w:type="dxa"/>
            <w:vAlign w:val="bottom"/>
            <w:tcBorders>
              <w:bottom w:val="single" w:sz="8" w:color="D1D2D4"/>
            </w:tcBorders>
            <w:shd w:val="clear" w:color="auto" w:fill="E7E7E8"/>
          </w:tcPr>
          <w:p>
            <w:pPr>
              <w:spacing w:after="0"/>
              <w:rPr>
                <w:sz w:val="16"/>
                <w:szCs w:val="16"/>
                <w:color w:val="auto"/>
              </w:rPr>
            </w:pPr>
          </w:p>
        </w:tc>
        <w:tc>
          <w:tcPr>
            <w:tcW w:w="680" w:type="dxa"/>
            <w:vAlign w:val="bottom"/>
            <w:tcBorders>
              <w:bottom w:val="single" w:sz="8" w:color="D1D2D4"/>
            </w:tcBorders>
            <w:shd w:val="clear" w:color="auto" w:fill="E7E7E8"/>
          </w:tcPr>
          <w:p>
            <w:pPr>
              <w:spacing w:after="0"/>
              <w:rPr>
                <w:sz w:val="16"/>
                <w:szCs w:val="16"/>
                <w:color w:val="auto"/>
              </w:rPr>
            </w:pPr>
          </w:p>
        </w:tc>
        <w:tc>
          <w:tcPr>
            <w:tcW w:w="580" w:type="dxa"/>
            <w:vAlign w:val="bottom"/>
            <w:tcBorders>
              <w:bottom w:val="single" w:sz="8" w:color="D1D2D4"/>
            </w:tcBorders>
            <w:shd w:val="clear" w:color="auto" w:fill="E7E7E8"/>
          </w:tcPr>
          <w:p>
            <w:pPr>
              <w:spacing w:after="0"/>
              <w:rPr>
                <w:sz w:val="16"/>
                <w:szCs w:val="16"/>
                <w:color w:val="auto"/>
              </w:rPr>
            </w:pPr>
          </w:p>
        </w:tc>
        <w:tc>
          <w:tcPr>
            <w:tcW w:w="1320" w:type="dxa"/>
            <w:vAlign w:val="bottom"/>
            <w:tcBorders>
              <w:bottom w:val="single" w:sz="8" w:color="D1D2D4"/>
            </w:tcBorders>
            <w:shd w:val="clear" w:color="auto" w:fill="E7E7E8"/>
          </w:tcPr>
          <w:p>
            <w:pPr>
              <w:spacing w:after="0"/>
              <w:rPr>
                <w:sz w:val="16"/>
                <w:szCs w:val="16"/>
                <w:color w:val="auto"/>
              </w:rPr>
            </w:pPr>
          </w:p>
        </w:tc>
        <w:tc>
          <w:tcPr>
            <w:tcW w:w="220" w:type="dxa"/>
            <w:vAlign w:val="bottom"/>
            <w:tcBorders>
              <w:bottom w:val="single" w:sz="8" w:color="D1D2D4"/>
            </w:tcBorders>
            <w:shd w:val="clear" w:color="auto" w:fill="E7E7E8"/>
          </w:tcPr>
          <w:p>
            <w:pPr>
              <w:spacing w:after="0"/>
              <w:rPr>
                <w:sz w:val="16"/>
                <w:szCs w:val="16"/>
                <w:color w:val="auto"/>
              </w:rPr>
            </w:pPr>
          </w:p>
        </w:tc>
        <w:tc>
          <w:tcPr>
            <w:tcW w:w="620" w:type="dxa"/>
            <w:vAlign w:val="bottom"/>
            <w:tcBorders>
              <w:bottom w:val="single" w:sz="8" w:color="D1D2D4"/>
            </w:tcBorders>
            <w:shd w:val="clear" w:color="auto" w:fill="E7E7E8"/>
          </w:tcPr>
          <w:p>
            <w:pPr>
              <w:spacing w:after="0"/>
              <w:rPr>
                <w:sz w:val="16"/>
                <w:szCs w:val="16"/>
                <w:color w:val="auto"/>
              </w:rPr>
            </w:pPr>
          </w:p>
        </w:tc>
        <w:tc>
          <w:tcPr>
            <w:tcW w:w="100" w:type="dxa"/>
            <w:vAlign w:val="bottom"/>
            <w:tcBorders>
              <w:bottom w:val="single" w:sz="8" w:color="D1D2D4"/>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60"/>
              <w:spacing w:after="0" w:line="138" w:lineRule="exact"/>
              <w:rPr>
                <w:sz w:val="20"/>
                <w:szCs w:val="20"/>
                <w:color w:val="auto"/>
              </w:rPr>
            </w:pPr>
            <w:r>
              <w:rPr>
                <w:rFonts w:ascii="Arial" w:cs="Arial" w:eastAsia="Arial" w:hAnsi="Arial"/>
                <w:sz w:val="13"/>
                <w:szCs w:val="13"/>
                <w:b w:val="1"/>
                <w:bCs w:val="1"/>
                <w:color w:val="00529B"/>
              </w:rPr>
              <w:t>Marcia E. Backus</w:t>
            </w:r>
          </w:p>
        </w:tc>
        <w:tc>
          <w:tcPr>
            <w:tcW w:w="600" w:type="dxa"/>
            <w:vAlign w:val="bottom"/>
            <w:gridSpan w:val="2"/>
          </w:tcPr>
          <w:p>
            <w:pPr>
              <w:jc w:val="right"/>
              <w:ind w:right="77"/>
              <w:spacing w:after="0" w:line="138" w:lineRule="exact"/>
              <w:rPr>
                <w:sz w:val="20"/>
                <w:szCs w:val="20"/>
                <w:color w:val="auto"/>
              </w:rPr>
            </w:pPr>
            <w:r>
              <w:rPr>
                <w:rFonts w:ascii="Arial" w:cs="Arial" w:eastAsia="Arial" w:hAnsi="Arial"/>
                <w:sz w:val="13"/>
                <w:szCs w:val="13"/>
                <w:color w:val="auto"/>
              </w:rPr>
              <w:t>2022</w:t>
            </w:r>
          </w:p>
        </w:tc>
        <w:tc>
          <w:tcPr>
            <w:tcW w:w="2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8" w:lineRule="exact"/>
              <w:rPr>
                <w:sz w:val="20"/>
                <w:szCs w:val="20"/>
                <w:color w:val="auto"/>
              </w:rPr>
            </w:pPr>
            <w:r>
              <w:rPr>
                <w:rFonts w:ascii="Arial" w:cs="Arial" w:eastAsia="Arial" w:hAnsi="Arial"/>
                <w:sz w:val="13"/>
                <w:szCs w:val="13"/>
                <w:color w:val="auto"/>
              </w:rPr>
              <w:t>747,205</w:t>
            </w:r>
          </w:p>
        </w:tc>
        <w:tc>
          <w:tcPr>
            <w:tcW w:w="220" w:type="dxa"/>
            <w:vAlign w:val="bottom"/>
          </w:tcPr>
          <w:p>
            <w:pPr>
              <w:ind w:left="140"/>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line="138" w:lineRule="exact"/>
              <w:rPr>
                <w:sz w:val="20"/>
                <w:szCs w:val="20"/>
                <w:color w:val="auto"/>
              </w:rPr>
            </w:pPr>
            <w:r>
              <w:rPr>
                <w:rFonts w:ascii="Arial" w:cs="Arial" w:eastAsia="Arial" w:hAnsi="Arial"/>
                <w:sz w:val="13"/>
                <w:szCs w:val="13"/>
                <w:color w:val="auto"/>
              </w:rPr>
              <w:t>99,000</w:t>
            </w:r>
          </w:p>
        </w:tc>
        <w:tc>
          <w:tcPr>
            <w:tcW w:w="9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$ 3,978,113</w:t>
            </w:r>
          </w:p>
        </w:tc>
        <w:tc>
          <w:tcPr>
            <w:tcW w:w="2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38" w:lineRule="exact"/>
              <w:rPr>
                <w:sz w:val="20"/>
                <w:szCs w:val="20"/>
                <w:color w:val="auto"/>
              </w:rPr>
            </w:pPr>
            <w:r>
              <w:rPr>
                <w:rFonts w:ascii="Arial" w:cs="Arial" w:eastAsia="Arial" w:hAnsi="Arial"/>
                <w:sz w:val="13"/>
                <w:szCs w:val="13"/>
                <w:color w:val="auto"/>
                <w:w w:val="93"/>
              </w:rPr>
              <w:t>2,640,872</w:t>
            </w:r>
          </w:p>
        </w:tc>
        <w:tc>
          <w:tcPr>
            <w:tcW w:w="5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8" w:lineRule="exact"/>
              <w:rPr>
                <w:sz w:val="20"/>
                <w:szCs w:val="20"/>
                <w:color w:val="auto"/>
              </w:rPr>
            </w:pPr>
            <w:r>
              <w:rPr>
                <w:rFonts w:ascii="Arial" w:cs="Arial" w:eastAsia="Arial" w:hAnsi="Arial"/>
                <w:sz w:val="13"/>
                <w:szCs w:val="13"/>
                <w:color w:val="auto"/>
                <w:w w:val="93"/>
              </w:rPr>
              <w:t>1,303,500</w:t>
            </w:r>
          </w:p>
        </w:tc>
        <w:tc>
          <w:tcPr>
            <w:tcW w:w="680" w:type="dxa"/>
            <w:vAlign w:val="bottom"/>
          </w:tcPr>
          <w:p>
            <w:pPr>
              <w:jc w:val="center"/>
              <w:ind w:left="537"/>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7"/>
              <w:spacing w:after="0" w:line="138" w:lineRule="exact"/>
              <w:rPr>
                <w:sz w:val="20"/>
                <w:szCs w:val="20"/>
                <w:color w:val="auto"/>
              </w:rPr>
            </w:pPr>
            <w:r>
              <w:rPr>
                <w:rFonts w:ascii="Arial" w:cs="Arial" w:eastAsia="Arial" w:hAnsi="Arial"/>
                <w:sz w:val="13"/>
                <w:szCs w:val="13"/>
                <w:color w:val="auto"/>
                <w:w w:val="90"/>
              </w:rPr>
              <w:t>46,903</w:t>
            </w:r>
          </w:p>
        </w:tc>
        <w:tc>
          <w:tcPr>
            <w:tcW w:w="1320" w:type="dxa"/>
            <w:vAlign w:val="bottom"/>
          </w:tcPr>
          <w:p>
            <w:pPr>
              <w:jc w:val="right"/>
              <w:ind w:right="77"/>
              <w:spacing w:after="0" w:line="138" w:lineRule="exact"/>
              <w:rPr>
                <w:sz w:val="20"/>
                <w:szCs w:val="20"/>
                <w:color w:val="auto"/>
              </w:rPr>
            </w:pPr>
            <w:r>
              <w:rPr>
                <w:rFonts w:ascii="Arial" w:cs="Arial" w:eastAsia="Arial" w:hAnsi="Arial"/>
                <w:sz w:val="13"/>
                <w:szCs w:val="13"/>
                <w:color w:val="auto"/>
              </w:rPr>
              <w:t>$305,596</w:t>
            </w:r>
          </w:p>
        </w:tc>
        <w:tc>
          <w:tcPr>
            <w:tcW w:w="2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rPr>
              <w:t>9,121,189</w:t>
            </w:r>
          </w:p>
        </w:tc>
        <w:tc>
          <w:tcPr>
            <w:tcW w:w="0" w:type="dxa"/>
            <w:vAlign w:val="bottom"/>
          </w:tcPr>
          <w:p>
            <w:pPr>
              <w:spacing w:after="0"/>
              <w:rPr>
                <w:sz w:val="1"/>
                <w:szCs w:val="1"/>
                <w:color w:val="auto"/>
              </w:rPr>
            </w:pPr>
          </w:p>
        </w:tc>
      </w:tr>
      <w:tr>
        <w:trPr>
          <w:trHeight w:val="45"/>
        </w:trPr>
        <w:tc>
          <w:tcPr>
            <w:tcW w:w="242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Former Senior Vice President, General</w:t>
            </w:r>
          </w:p>
        </w:tc>
        <w:tc>
          <w:tcPr>
            <w:tcW w:w="180" w:type="dxa"/>
            <w:vAlign w:val="bottom"/>
            <w:tcBorders>
              <w:bottom w:val="single" w:sz="8" w:color="D1D2D4"/>
            </w:tcBorders>
          </w:tcPr>
          <w:p>
            <w:pPr>
              <w:spacing w:after="0"/>
              <w:rPr>
                <w:sz w:val="3"/>
                <w:szCs w:val="3"/>
                <w:color w:val="auto"/>
              </w:rPr>
            </w:pPr>
          </w:p>
        </w:tc>
        <w:tc>
          <w:tcPr>
            <w:tcW w:w="4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00" w:type="dxa"/>
            <w:vAlign w:val="bottom"/>
            <w:tcBorders>
              <w:bottom w:val="single" w:sz="8" w:color="D1D2D4"/>
            </w:tcBorders>
          </w:tcPr>
          <w:p>
            <w:pPr>
              <w:spacing w:after="0"/>
              <w:rPr>
                <w:sz w:val="3"/>
                <w:szCs w:val="3"/>
                <w:color w:val="auto"/>
              </w:rPr>
            </w:pPr>
          </w:p>
        </w:tc>
        <w:tc>
          <w:tcPr>
            <w:tcW w:w="920" w:type="dxa"/>
            <w:vAlign w:val="bottom"/>
            <w:tcBorders>
              <w:bottom w:val="single" w:sz="8" w:color="D1D2D4"/>
            </w:tcBorders>
          </w:tcPr>
          <w:p>
            <w:pPr>
              <w:spacing w:after="0"/>
              <w:rPr>
                <w:sz w:val="3"/>
                <w:szCs w:val="3"/>
                <w:color w:val="auto"/>
              </w:rPr>
            </w:pPr>
          </w:p>
        </w:tc>
        <w:tc>
          <w:tcPr>
            <w:tcW w:w="200" w:type="dxa"/>
            <w:vAlign w:val="bottom"/>
            <w:tcBorders>
              <w:bottom w:val="single" w:sz="8" w:color="D1D2D4"/>
            </w:tcBorders>
          </w:tcPr>
          <w:p>
            <w:pPr>
              <w:spacing w:after="0"/>
              <w:rPr>
                <w:sz w:val="3"/>
                <w:szCs w:val="3"/>
                <w:color w:val="auto"/>
              </w:rPr>
            </w:pPr>
          </w:p>
        </w:tc>
        <w:tc>
          <w:tcPr>
            <w:tcW w:w="640" w:type="dxa"/>
            <w:vAlign w:val="bottom"/>
            <w:tcBorders>
              <w:bottom w:val="single" w:sz="8" w:color="D1D2D4"/>
            </w:tcBorders>
          </w:tcPr>
          <w:p>
            <w:pPr>
              <w:spacing w:after="0"/>
              <w:rPr>
                <w:sz w:val="3"/>
                <w:szCs w:val="3"/>
                <w:color w:val="auto"/>
              </w:rPr>
            </w:pPr>
          </w:p>
        </w:tc>
        <w:tc>
          <w:tcPr>
            <w:tcW w:w="500" w:type="dxa"/>
            <w:vAlign w:val="bottom"/>
            <w:tcBorders>
              <w:bottom w:val="single" w:sz="8" w:color="D1D2D4"/>
            </w:tcBorders>
          </w:tcPr>
          <w:p>
            <w:pPr>
              <w:spacing w:after="0"/>
              <w:rPr>
                <w:sz w:val="3"/>
                <w:szCs w:val="3"/>
                <w:color w:val="auto"/>
              </w:rPr>
            </w:pPr>
          </w:p>
        </w:tc>
        <w:tc>
          <w:tcPr>
            <w:tcW w:w="700" w:type="dxa"/>
            <w:vAlign w:val="bottom"/>
            <w:tcBorders>
              <w:bottom w:val="single" w:sz="8" w:color="D1D2D4"/>
            </w:tcBorders>
          </w:tcPr>
          <w:p>
            <w:pPr>
              <w:spacing w:after="0"/>
              <w:rPr>
                <w:sz w:val="3"/>
                <w:szCs w:val="3"/>
                <w:color w:val="auto"/>
              </w:rPr>
            </w:pPr>
          </w:p>
        </w:tc>
        <w:tc>
          <w:tcPr>
            <w:tcW w:w="680" w:type="dxa"/>
            <w:vAlign w:val="bottom"/>
            <w:tcBorders>
              <w:bottom w:val="single" w:sz="8" w:color="D1D2D4"/>
            </w:tcBorders>
          </w:tcPr>
          <w:p>
            <w:pPr>
              <w:spacing w:after="0"/>
              <w:rPr>
                <w:sz w:val="3"/>
                <w:szCs w:val="3"/>
                <w:color w:val="auto"/>
              </w:rPr>
            </w:pPr>
          </w:p>
        </w:tc>
        <w:tc>
          <w:tcPr>
            <w:tcW w:w="580" w:type="dxa"/>
            <w:vAlign w:val="bottom"/>
            <w:tcBorders>
              <w:bottom w:val="single" w:sz="8" w:color="D1D2D4"/>
            </w:tcBorders>
          </w:tcPr>
          <w:p>
            <w:pPr>
              <w:spacing w:after="0"/>
              <w:rPr>
                <w:sz w:val="3"/>
                <w:szCs w:val="3"/>
                <w:color w:val="auto"/>
              </w:rPr>
            </w:pPr>
          </w:p>
        </w:tc>
        <w:tc>
          <w:tcPr>
            <w:tcW w:w="1320" w:type="dxa"/>
            <w:vAlign w:val="bottom"/>
            <w:tcBorders>
              <w:bottom w:val="single" w:sz="8" w:color="D1D2D4"/>
            </w:tcBorders>
          </w:tcPr>
          <w:p>
            <w:pPr>
              <w:spacing w:after="0"/>
              <w:rPr>
                <w:sz w:val="3"/>
                <w:szCs w:val="3"/>
                <w:color w:val="auto"/>
              </w:rPr>
            </w:pPr>
          </w:p>
        </w:tc>
        <w:tc>
          <w:tcPr>
            <w:tcW w:w="220" w:type="dxa"/>
            <w:vAlign w:val="bottom"/>
            <w:tcBorders>
              <w:bottom w:val="single" w:sz="8" w:color="D1D2D4"/>
            </w:tcBorders>
          </w:tcPr>
          <w:p>
            <w:pPr>
              <w:spacing w:after="0"/>
              <w:rPr>
                <w:sz w:val="3"/>
                <w:szCs w:val="3"/>
                <w:color w:val="auto"/>
              </w:rPr>
            </w:pPr>
          </w:p>
        </w:tc>
        <w:tc>
          <w:tcPr>
            <w:tcW w:w="620" w:type="dxa"/>
            <w:vAlign w:val="bottom"/>
            <w:tcBorders>
              <w:bottom w:val="single" w:sz="8" w:color="D1D2D4"/>
            </w:tcBorders>
          </w:tcPr>
          <w:p>
            <w:pPr>
              <w:spacing w:after="0"/>
              <w:rPr>
                <w:sz w:val="3"/>
                <w:szCs w:val="3"/>
                <w:color w:val="auto"/>
              </w:rPr>
            </w:pPr>
          </w:p>
        </w:tc>
        <w:tc>
          <w:tcPr>
            <w:tcW w:w="100" w:type="dxa"/>
            <w:vAlign w:val="bottom"/>
            <w:tcBorders>
              <w:bottom w:val="single" w:sz="8" w:color="D1D2D4"/>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420" w:type="dxa"/>
            <w:vAlign w:val="bottom"/>
            <w:vMerge w:val="continue"/>
          </w:tcPr>
          <w:p>
            <w:pPr>
              <w:spacing w:after="0"/>
              <w:rPr>
                <w:sz w:val="6"/>
                <w:szCs w:val="6"/>
                <w:color w:val="auto"/>
              </w:rPr>
            </w:pPr>
          </w:p>
        </w:tc>
        <w:tc>
          <w:tcPr>
            <w:tcW w:w="6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730,000</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$2,250,167</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750,007</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1,280,000</w:t>
            </w:r>
          </w:p>
        </w:tc>
        <w:tc>
          <w:tcPr>
            <w:tcW w:w="680" w:type="dxa"/>
            <w:vAlign w:val="bottom"/>
            <w:vMerge w:val="restart"/>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7"/>
              <w:spacing w:after="0"/>
              <w:rPr>
                <w:sz w:val="20"/>
                <w:szCs w:val="20"/>
                <w:color w:val="auto"/>
              </w:rPr>
            </w:pPr>
            <w:r>
              <w:rPr>
                <w:rFonts w:ascii="Arial" w:cs="Arial" w:eastAsia="Arial" w:hAnsi="Arial"/>
                <w:sz w:val="13"/>
                <w:szCs w:val="13"/>
                <w:color w:val="auto"/>
              </w:rPr>
              <w:t>$195,313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5,205,487</w:t>
            </w:r>
          </w:p>
        </w:tc>
        <w:tc>
          <w:tcPr>
            <w:tcW w:w="0" w:type="dxa"/>
            <w:vAlign w:val="bottom"/>
          </w:tcPr>
          <w:p>
            <w:pPr>
              <w:spacing w:after="0"/>
              <w:rPr>
                <w:sz w:val="1"/>
                <w:szCs w:val="1"/>
                <w:color w:val="auto"/>
              </w:rPr>
            </w:pPr>
          </w:p>
        </w:tc>
      </w:tr>
      <w:tr>
        <w:trPr>
          <w:trHeight w:val="111"/>
        </w:trPr>
        <w:tc>
          <w:tcPr>
            <w:tcW w:w="2420" w:type="dxa"/>
            <w:vAlign w:val="bottom"/>
          </w:tcPr>
          <w:p>
            <w:pPr>
              <w:ind w:left="60"/>
              <w:spacing w:after="0" w:line="106" w:lineRule="exact"/>
              <w:rPr>
                <w:sz w:val="20"/>
                <w:szCs w:val="20"/>
                <w:color w:val="auto"/>
              </w:rPr>
            </w:pPr>
            <w:r>
              <w:rPr>
                <w:rFonts w:ascii="Arial" w:cs="Arial" w:eastAsia="Arial" w:hAnsi="Arial"/>
                <w:sz w:val="12"/>
                <w:szCs w:val="12"/>
                <w:color w:val="auto"/>
              </w:rPr>
              <w:t>Counsel and Chief Compliance</w:t>
            </w:r>
          </w:p>
        </w:tc>
        <w:tc>
          <w:tcPr>
            <w:tcW w:w="600" w:type="dxa"/>
            <w:vAlign w:val="bottom"/>
            <w:tcBorders>
              <w:bottom w:val="single" w:sz="8" w:color="D1D2D4"/>
            </w:tcBorders>
            <w:gridSpan w:val="2"/>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600" w:type="dxa"/>
            <w:vAlign w:val="bottom"/>
            <w:tcBorders>
              <w:bottom w:val="single" w:sz="8" w:color="D1D2D4"/>
            </w:tcBorders>
            <w:vMerge w:val="continue"/>
          </w:tcPr>
          <w:p>
            <w:pPr>
              <w:spacing w:after="0"/>
              <w:rPr>
                <w:sz w:val="9"/>
                <w:szCs w:val="9"/>
                <w:color w:val="auto"/>
              </w:rPr>
            </w:pPr>
          </w:p>
        </w:tc>
        <w:tc>
          <w:tcPr>
            <w:tcW w:w="920" w:type="dxa"/>
            <w:vAlign w:val="bottom"/>
            <w:tcBorders>
              <w:bottom w:val="single" w:sz="8" w:color="D1D2D4"/>
            </w:tcBorders>
            <w:vMerge w:val="continue"/>
          </w:tcPr>
          <w:p>
            <w:pPr>
              <w:spacing w:after="0"/>
              <w:rPr>
                <w:sz w:val="9"/>
                <w:szCs w:val="9"/>
                <w:color w:val="auto"/>
              </w:rPr>
            </w:pPr>
          </w:p>
        </w:tc>
        <w:tc>
          <w:tcPr>
            <w:tcW w:w="200" w:type="dxa"/>
            <w:vAlign w:val="bottom"/>
            <w:tcBorders>
              <w:bottom w:val="single" w:sz="8" w:color="D1D2D4"/>
            </w:tcBorders>
            <w:vMerge w:val="continue"/>
          </w:tcPr>
          <w:p>
            <w:pPr>
              <w:spacing w:after="0"/>
              <w:rPr>
                <w:sz w:val="9"/>
                <w:szCs w:val="9"/>
                <w:color w:val="auto"/>
              </w:rPr>
            </w:pPr>
          </w:p>
        </w:tc>
        <w:tc>
          <w:tcPr>
            <w:tcW w:w="640" w:type="dxa"/>
            <w:vAlign w:val="bottom"/>
            <w:tcBorders>
              <w:bottom w:val="single" w:sz="8" w:color="D1D2D4"/>
            </w:tcBorders>
            <w:vMerge w:val="continue"/>
          </w:tcPr>
          <w:p>
            <w:pPr>
              <w:spacing w:after="0"/>
              <w:rPr>
                <w:sz w:val="9"/>
                <w:szCs w:val="9"/>
                <w:color w:val="auto"/>
              </w:rPr>
            </w:pPr>
          </w:p>
        </w:tc>
        <w:tc>
          <w:tcPr>
            <w:tcW w:w="500" w:type="dxa"/>
            <w:vAlign w:val="bottom"/>
            <w:tcBorders>
              <w:bottom w:val="single" w:sz="8" w:color="D1D2D4"/>
            </w:tcBorders>
            <w:vMerge w:val="continue"/>
          </w:tcPr>
          <w:p>
            <w:pPr>
              <w:spacing w:after="0"/>
              <w:rPr>
                <w:sz w:val="9"/>
                <w:szCs w:val="9"/>
                <w:color w:val="auto"/>
              </w:rPr>
            </w:pPr>
          </w:p>
        </w:tc>
        <w:tc>
          <w:tcPr>
            <w:tcW w:w="700" w:type="dxa"/>
            <w:vAlign w:val="bottom"/>
            <w:tcBorders>
              <w:bottom w:val="single" w:sz="8" w:color="D1D2D4"/>
            </w:tcBorders>
            <w:vMerge w:val="continue"/>
          </w:tcPr>
          <w:p>
            <w:pPr>
              <w:spacing w:after="0"/>
              <w:rPr>
                <w:sz w:val="9"/>
                <w:szCs w:val="9"/>
                <w:color w:val="auto"/>
              </w:rPr>
            </w:pPr>
          </w:p>
        </w:tc>
        <w:tc>
          <w:tcPr>
            <w:tcW w:w="680" w:type="dxa"/>
            <w:vAlign w:val="bottom"/>
            <w:tcBorders>
              <w:bottom w:val="single" w:sz="8" w:color="D1D2D4"/>
            </w:tcBorders>
            <w:vMerge w:val="continue"/>
          </w:tcPr>
          <w:p>
            <w:pPr>
              <w:spacing w:after="0"/>
              <w:rPr>
                <w:sz w:val="9"/>
                <w:szCs w:val="9"/>
                <w:color w:val="auto"/>
              </w:rPr>
            </w:pPr>
          </w:p>
        </w:tc>
        <w:tc>
          <w:tcPr>
            <w:tcW w:w="580" w:type="dxa"/>
            <w:vAlign w:val="bottom"/>
            <w:tcBorders>
              <w:bottom w:val="single" w:sz="8" w:color="D1D2D4"/>
            </w:tcBorders>
            <w:vMerge w:val="continue"/>
          </w:tcPr>
          <w:p>
            <w:pPr>
              <w:spacing w:after="0"/>
              <w:rPr>
                <w:sz w:val="9"/>
                <w:szCs w:val="9"/>
                <w:color w:val="auto"/>
              </w:rPr>
            </w:pPr>
          </w:p>
        </w:tc>
        <w:tc>
          <w:tcPr>
            <w:tcW w:w="1320" w:type="dxa"/>
            <w:vAlign w:val="bottom"/>
            <w:tcBorders>
              <w:bottom w:val="single" w:sz="8" w:color="D1D2D4"/>
            </w:tcBorders>
            <w:vMerge w:val="continue"/>
          </w:tcPr>
          <w:p>
            <w:pPr>
              <w:spacing w:after="0"/>
              <w:rPr>
                <w:sz w:val="9"/>
                <w:szCs w:val="9"/>
                <w:color w:val="auto"/>
              </w:rPr>
            </w:pPr>
          </w:p>
        </w:tc>
        <w:tc>
          <w:tcPr>
            <w:tcW w:w="220" w:type="dxa"/>
            <w:vAlign w:val="bottom"/>
            <w:tcBorders>
              <w:bottom w:val="single" w:sz="8" w:color="D1D2D4"/>
            </w:tcBorders>
            <w:vMerge w:val="continue"/>
          </w:tcPr>
          <w:p>
            <w:pPr>
              <w:spacing w:after="0"/>
              <w:rPr>
                <w:sz w:val="9"/>
                <w:szCs w:val="9"/>
                <w:color w:val="auto"/>
              </w:rPr>
            </w:pPr>
          </w:p>
        </w:tc>
        <w:tc>
          <w:tcPr>
            <w:tcW w:w="720" w:type="dxa"/>
            <w:vAlign w:val="bottom"/>
            <w:tcBorders>
              <w:bottom w:val="single" w:sz="8" w:color="D1D2D4"/>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00529B"/>
            </w:tcBorders>
          </w:tcPr>
          <w:p>
            <w:pPr>
              <w:ind w:left="60"/>
              <w:spacing w:after="0"/>
              <w:rPr>
                <w:sz w:val="20"/>
                <w:szCs w:val="20"/>
                <w:color w:val="auto"/>
              </w:rPr>
            </w:pPr>
            <w:r>
              <w:rPr>
                <w:rFonts w:ascii="Arial" w:cs="Arial" w:eastAsia="Arial" w:hAnsi="Arial"/>
                <w:sz w:val="13"/>
                <w:szCs w:val="13"/>
                <w:color w:val="auto"/>
              </w:rPr>
              <w:t>Officer(7)</w:t>
            </w:r>
          </w:p>
        </w:tc>
        <w:tc>
          <w:tcPr>
            <w:tcW w:w="600" w:type="dxa"/>
            <w:vAlign w:val="bottom"/>
            <w:tcBorders>
              <w:bottom w:val="single" w:sz="8" w:color="00529B"/>
            </w:tcBorders>
            <w:gridSpan w:val="2"/>
          </w:tcPr>
          <w:p>
            <w:pPr>
              <w:jc w:val="right"/>
              <w:ind w:right="77"/>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00529B"/>
            </w:tcBorders>
          </w:tcPr>
          <w:p>
            <w:pPr>
              <w:jc w:val="right"/>
              <w:ind w:right="77"/>
              <w:spacing w:after="0"/>
              <w:rPr>
                <w:sz w:val="20"/>
                <w:szCs w:val="20"/>
                <w:color w:val="auto"/>
              </w:rPr>
            </w:pPr>
            <w:r>
              <w:rPr>
                <w:rFonts w:ascii="Arial" w:cs="Arial" w:eastAsia="Arial" w:hAnsi="Arial"/>
                <w:sz w:val="13"/>
                <w:szCs w:val="13"/>
                <w:color w:val="auto"/>
              </w:rPr>
              <w:t>571,562</w:t>
            </w:r>
          </w:p>
        </w:tc>
        <w:tc>
          <w:tcPr>
            <w:tcW w:w="220" w:type="dxa"/>
            <w:vAlign w:val="bottom"/>
            <w:tcBorders>
              <w:bottom w:val="single" w:sz="8" w:color="00529B"/>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00529B"/>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00529B"/>
            </w:tcBorders>
          </w:tcPr>
          <w:p>
            <w:pPr>
              <w:jc w:val="right"/>
              <w:ind w:right="97"/>
              <w:spacing w:after="0"/>
              <w:rPr>
                <w:sz w:val="20"/>
                <w:szCs w:val="20"/>
                <w:color w:val="auto"/>
              </w:rPr>
            </w:pPr>
            <w:r>
              <w:rPr>
                <w:rFonts w:ascii="Arial" w:cs="Arial" w:eastAsia="Arial" w:hAnsi="Arial"/>
                <w:sz w:val="13"/>
                <w:szCs w:val="13"/>
                <w:color w:val="auto"/>
              </w:rPr>
              <w:t>$2,689,817</w:t>
            </w:r>
          </w:p>
        </w:tc>
        <w:tc>
          <w:tcPr>
            <w:tcW w:w="20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00529B"/>
            </w:tcBorders>
          </w:tcPr>
          <w:p>
            <w:pPr>
              <w:jc w:val="right"/>
              <w:ind w:right="17"/>
              <w:spacing w:after="0"/>
              <w:rPr>
                <w:sz w:val="20"/>
                <w:szCs w:val="20"/>
                <w:color w:val="auto"/>
              </w:rPr>
            </w:pPr>
            <w:r>
              <w:rPr>
                <w:rFonts w:ascii="Arial" w:cs="Arial" w:eastAsia="Arial" w:hAnsi="Arial"/>
                <w:sz w:val="13"/>
                <w:szCs w:val="13"/>
                <w:color w:val="auto"/>
              </w:rPr>
              <w:t>750,002</w:t>
            </w:r>
          </w:p>
        </w:tc>
        <w:tc>
          <w:tcPr>
            <w:tcW w:w="50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00529B"/>
            </w:tcBorders>
          </w:tcPr>
          <w:p>
            <w:pPr>
              <w:jc w:val="right"/>
              <w:ind w:right="77"/>
              <w:spacing w:after="0"/>
              <w:rPr>
                <w:sz w:val="20"/>
                <w:szCs w:val="20"/>
                <w:color w:val="auto"/>
              </w:rPr>
            </w:pPr>
            <w:r>
              <w:rPr>
                <w:rFonts w:ascii="Arial" w:cs="Arial" w:eastAsia="Arial" w:hAnsi="Arial"/>
                <w:sz w:val="13"/>
                <w:szCs w:val="13"/>
                <w:color w:val="auto"/>
              </w:rPr>
              <w:t>400,000</w:t>
            </w:r>
          </w:p>
        </w:tc>
        <w:tc>
          <w:tcPr>
            <w:tcW w:w="680" w:type="dxa"/>
            <w:vAlign w:val="bottom"/>
            <w:tcBorders>
              <w:bottom w:val="single" w:sz="8" w:color="00529B"/>
            </w:tcBorders>
          </w:tcPr>
          <w:p>
            <w:pPr>
              <w:jc w:val="center"/>
              <w:ind w:left="5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00529B"/>
            </w:tcBorders>
          </w:tcPr>
          <w:p>
            <w:pPr>
              <w:jc w:val="right"/>
              <w:ind w:right="13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00529B"/>
            </w:tcBorders>
          </w:tcPr>
          <w:p>
            <w:pPr>
              <w:jc w:val="right"/>
              <w:ind w:right="77"/>
              <w:spacing w:after="0"/>
              <w:rPr>
                <w:sz w:val="20"/>
                <w:szCs w:val="20"/>
                <w:color w:val="auto"/>
              </w:rPr>
            </w:pPr>
            <w:r>
              <w:rPr>
                <w:rFonts w:ascii="Arial" w:cs="Arial" w:eastAsia="Arial" w:hAnsi="Arial"/>
                <w:sz w:val="13"/>
                <w:szCs w:val="13"/>
                <w:color w:val="auto"/>
              </w:rPr>
              <w:t>$285,678</w:t>
            </w:r>
          </w:p>
        </w:tc>
        <w:tc>
          <w:tcPr>
            <w:tcW w:w="22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00529B"/>
            </w:tcBorders>
            <w:gridSpan w:val="2"/>
          </w:tcPr>
          <w:p>
            <w:pPr>
              <w:jc w:val="right"/>
              <w:ind w:right="100"/>
              <w:spacing w:after="0"/>
              <w:rPr>
                <w:sz w:val="20"/>
                <w:szCs w:val="20"/>
                <w:color w:val="auto"/>
              </w:rPr>
            </w:pPr>
            <w:r>
              <w:rPr>
                <w:rFonts w:ascii="Arial" w:cs="Arial" w:eastAsia="Arial" w:hAnsi="Arial"/>
                <w:sz w:val="13"/>
                <w:szCs w:val="13"/>
                <w:color w:val="auto"/>
              </w:rPr>
              <w:t>4,697,059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right="160" w:hanging="312"/>
        <w:spacing w:after="0" w:line="233"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3"/>
          <w:szCs w:val="13"/>
          <w:color w:val="auto"/>
        </w:rPr>
        <w:t>For 2022, amounts shown represent the portion of the earned ACI awards that relate to the Compensation Committee’s adjustment for key strategic accomplishments. The remainder of the final, earned ACI awards for 2022 are reported under “Non-Equity Incentive Plan Compensation.” For more information regarding the 2022 ACI award, see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xml:space="preserve"> </w:t>
      </w:r>
      <w:r>
        <w:rPr>
          <w:rFonts w:ascii="Arial" w:cs="Arial" w:eastAsia="Arial" w:hAnsi="Arial"/>
          <w:sz w:val="13"/>
          <w:szCs w:val="13"/>
          <w:i w:val="1"/>
          <w:iCs w:val="1"/>
          <w:color w:val="auto"/>
        </w:rPr>
        <w:t>Elements of the 2022 Compensation Program—Annual Cash Incentive</w:t>
      </w:r>
      <w:r>
        <w:rPr>
          <w:rFonts w:ascii="Arial" w:cs="Arial" w:eastAsia="Arial" w:hAnsi="Arial"/>
          <w:sz w:val="13"/>
          <w:szCs w:val="13"/>
          <w:color w:val="auto"/>
        </w:rPr>
        <w:t>” beginning on page 46.</w:t>
      </w:r>
    </w:p>
    <w:p>
      <w:pPr>
        <w:spacing w:after="0" w:line="50" w:lineRule="exact"/>
        <w:rPr>
          <w:rFonts w:ascii="Arial" w:cs="Arial" w:eastAsia="Arial" w:hAnsi="Arial"/>
          <w:sz w:val="10"/>
          <w:szCs w:val="10"/>
          <w:color w:val="auto"/>
        </w:rPr>
      </w:pPr>
    </w:p>
    <w:p>
      <w:pPr>
        <w:ind w:left="320" w:hanging="312"/>
        <w:spacing w:after="0" w:line="222"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3"/>
          <w:szCs w:val="13"/>
          <w:color w:val="auto"/>
        </w:rPr>
        <w:t>For 2022, amounts shown represent the aggregate grant date fair value of the CROCE, RSU and TSR long-term incentive awards granted to the NEOs. The grant date fair value of each of the CROCE and RSU awards equals the target number of stock units granted multiplied by Occidental’s closing stock price on the grant date. The grant date fair value of the TSR award is calculated based on a Monte-Carlo valuation on the date of grant, determined under Financial Accounting Standards Board Accounting Standard Codification Topic 718 (FASB ASC 718). See Note 15 to the Consolidated Financial Statements in Occidental’s Annual Report on Form 10-K regarding assumptions underlying the valuation of the TSR award. The maximum values of the annual 2022 TSR award as of the grant date for Ms. Hollub, Mr. Peterson, Mr. Bennett, Mr. Dillon, Mr. Jackson and Ms. Backus were approximately $3.4 million, $1.1 million, $0.7 million, $1.2 million, $1.1 million and $1.2 million, respectively. The maximum values of the annual 2022 CROCE award as of the grant date for Ms. Hollub, Mr. Peterson, Mr. Bennett, Mr. Dillon, Mr. Jackson and Ms. Backus were approximately $4.9 million, $1.6 million, $1.0 million, $1.8 million, $1.6 million and $1.7 million, respectively. The RSU award has no above-target payout scenario. For more information, see “</w:t>
      </w:r>
      <w:r>
        <w:rPr>
          <w:rFonts w:ascii="Arial" w:cs="Arial" w:eastAsia="Arial" w:hAnsi="Arial"/>
          <w:sz w:val="13"/>
          <w:szCs w:val="13"/>
          <w:i w:val="1"/>
          <w:iCs w:val="1"/>
          <w:color w:val="auto"/>
        </w:rPr>
        <w:t>Compensation Discussion and Analysis—Elements of the 2022 Compensation Program—Total Shareholder Return (TSR) Award,” “—Cash Return on Capital Employed (CROCE) Award,” “—</w:t>
      </w:r>
      <w:r>
        <w:rPr>
          <w:rFonts w:ascii="Arial" w:cs="Arial" w:eastAsia="Arial" w:hAnsi="Arial"/>
          <w:sz w:val="13"/>
          <w:szCs w:val="13"/>
          <w:color w:val="auto"/>
        </w:rPr>
        <w:t xml:space="preserve"> </w:t>
      </w:r>
      <w:r>
        <w:rPr>
          <w:rFonts w:ascii="Arial" w:cs="Arial" w:eastAsia="Arial" w:hAnsi="Arial"/>
          <w:sz w:val="13"/>
          <w:szCs w:val="13"/>
          <w:i w:val="1"/>
          <w:iCs w:val="1"/>
          <w:color w:val="auto"/>
        </w:rPr>
        <w:t>Restricted Stock Unit (RSU) Award</w:t>
      </w:r>
      <w:r>
        <w:rPr>
          <w:rFonts w:ascii="Arial" w:cs="Arial" w:eastAsia="Arial" w:hAnsi="Arial"/>
          <w:sz w:val="13"/>
          <w:szCs w:val="13"/>
          <w:color w:val="auto"/>
        </w:rPr>
        <w:t>” on pages 49-50.</w:t>
      </w:r>
    </w:p>
    <w:p>
      <w:pPr>
        <w:spacing w:after="0" w:line="51" w:lineRule="exact"/>
        <w:rPr>
          <w:rFonts w:ascii="Arial" w:cs="Arial" w:eastAsia="Arial" w:hAnsi="Arial"/>
          <w:sz w:val="10"/>
          <w:szCs w:val="10"/>
          <w:color w:val="auto"/>
        </w:rPr>
      </w:pPr>
    </w:p>
    <w:p>
      <w:pPr>
        <w:ind w:left="320" w:right="40" w:hanging="312"/>
        <w:spacing w:after="0" w:line="226"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3"/>
          <w:szCs w:val="13"/>
          <w:color w:val="auto"/>
        </w:rPr>
        <w:t>For 2022, amounts shown represent NQSO awards granted to the NEOs. The grant date fair value of each of the NQSO awards represents the FASB ASC 718 value calculated using a Black-Scholes model on the date of grant of $23.39 per share of common stock underlying the award. See Note 15 to the Consolidated Financial Statements in Occidental’s Annual Report on Form 10-K regarding assumptions underlying the valuation of the NQSO awards. The NQSO awards vest ratably over three years with one-third vesting on each of February 28, 2023, 2024 and 2025, subject to continued employment. For more information, see “</w:t>
      </w:r>
      <w:r>
        <w:rPr>
          <w:rFonts w:ascii="Arial" w:cs="Arial" w:eastAsia="Arial" w:hAnsi="Arial"/>
          <w:sz w:val="13"/>
          <w:szCs w:val="13"/>
          <w:i w:val="1"/>
          <w:iCs w:val="1"/>
          <w:color w:val="auto"/>
        </w:rPr>
        <w:t>Compensation Discussion and Analysis—Elements of the 2022 Compensation Program—Non-Qualified Stock Option (NQSO) Award</w:t>
      </w:r>
      <w:r>
        <w:rPr>
          <w:rFonts w:ascii="Arial" w:cs="Arial" w:eastAsia="Arial" w:hAnsi="Arial"/>
          <w:sz w:val="13"/>
          <w:szCs w:val="13"/>
          <w:color w:val="auto"/>
        </w:rPr>
        <w:t>” on page 50.</w:t>
      </w:r>
    </w:p>
    <w:p>
      <w:pPr>
        <w:spacing w:after="0" w:line="52" w:lineRule="exact"/>
        <w:rPr>
          <w:rFonts w:ascii="Arial" w:cs="Arial" w:eastAsia="Arial" w:hAnsi="Arial"/>
          <w:sz w:val="10"/>
          <w:szCs w:val="10"/>
          <w:color w:val="auto"/>
        </w:rPr>
      </w:pPr>
    </w:p>
    <w:p>
      <w:pPr>
        <w:ind w:left="320" w:right="380" w:hanging="312"/>
        <w:spacing w:after="0" w:line="283"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2"/>
          <w:szCs w:val="12"/>
          <w:color w:val="auto"/>
        </w:rPr>
        <w:t>Amounts shown represent the final, earned ACI award less the portion of such awards that relates to the Compensation Committee’s adjustment for key strategic accomplishments. For more information regarding the 2022 ACI award, see “</w:t>
      </w:r>
      <w:r>
        <w:rPr>
          <w:rFonts w:ascii="Arial" w:cs="Arial" w:eastAsia="Arial" w:hAnsi="Arial"/>
          <w:sz w:val="12"/>
          <w:szCs w:val="12"/>
          <w:i w:val="1"/>
          <w:iCs w:val="1"/>
          <w:color w:val="auto"/>
        </w:rPr>
        <w:t>Compensation Discussion and Analysis—Elements of the 2022 Compensation Program—Annual Cash Incentive</w:t>
      </w:r>
      <w:r>
        <w:rPr>
          <w:rFonts w:ascii="Arial" w:cs="Arial" w:eastAsia="Arial" w:hAnsi="Arial"/>
          <w:sz w:val="12"/>
          <w:szCs w:val="12"/>
          <w:color w:val="auto"/>
        </w:rPr>
        <w:t>” beginning on page 46.</w:t>
      </w:r>
    </w:p>
    <w:p>
      <w:pPr>
        <w:spacing w:after="0" w:line="25" w:lineRule="exact"/>
        <w:rPr>
          <w:rFonts w:ascii="Arial" w:cs="Arial" w:eastAsia="Arial" w:hAnsi="Arial"/>
          <w:sz w:val="10"/>
          <w:szCs w:val="10"/>
          <w:color w:val="auto"/>
        </w:rPr>
      </w:pPr>
    </w:p>
    <w:p>
      <w:pPr>
        <w:ind w:left="320" w:right="400" w:hanging="312"/>
        <w:spacing w:after="0" w:line="243"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3"/>
          <w:szCs w:val="13"/>
          <w:color w:val="auto"/>
        </w:rPr>
        <w:t>Amounts shown represent the amount of any above-market earnings on nonqualified deferred compensation for the NEOs. For more information on nonqualified deferred compensation, see “</w:t>
      </w:r>
      <w:r>
        <w:rPr>
          <w:rFonts w:ascii="Arial" w:cs="Arial" w:eastAsia="Arial" w:hAnsi="Arial"/>
          <w:sz w:val="13"/>
          <w:szCs w:val="13"/>
          <w:i w:val="1"/>
          <w:iCs w:val="1"/>
          <w:color w:val="auto"/>
        </w:rPr>
        <w:t>Executive Compensation Tables–Nonqualified Deferred Compensation</w:t>
      </w:r>
      <w:r>
        <w:rPr>
          <w:rFonts w:ascii="Arial" w:cs="Arial" w:eastAsia="Arial" w:hAnsi="Arial"/>
          <w:sz w:val="13"/>
          <w:szCs w:val="13"/>
          <w:color w:val="auto"/>
        </w:rPr>
        <w:t>” on page 69.</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Tables</w:t>
      </w:r>
    </w:p>
    <w:p>
      <w:pPr>
        <w:spacing w:after="0" w:line="205" w:lineRule="exact"/>
        <w:rPr>
          <w:sz w:val="20"/>
          <w:szCs w:val="20"/>
          <w:color w:val="auto"/>
        </w:rPr>
      </w:pPr>
    </w:p>
    <w:p>
      <w:pPr>
        <w:ind w:left="300" w:right="540" w:hanging="292"/>
        <w:spacing w:after="0" w:line="243" w:lineRule="auto"/>
        <w:tabs>
          <w:tab w:leader="none" w:pos="300" w:val="left"/>
        </w:tabs>
        <w:numPr>
          <w:ilvl w:val="0"/>
          <w:numId w:val="63"/>
        </w:numPr>
        <w:rPr>
          <w:rFonts w:ascii="Arial" w:cs="Arial" w:eastAsia="Arial" w:hAnsi="Arial"/>
          <w:sz w:val="10"/>
          <w:szCs w:val="10"/>
          <w:color w:val="auto"/>
        </w:rPr>
      </w:pPr>
      <w:r>
        <w:rPr>
          <w:rFonts w:ascii="Arial" w:cs="Arial" w:eastAsia="Arial" w:hAnsi="Arial"/>
          <w:sz w:val="13"/>
          <w:szCs w:val="13"/>
          <w:color w:val="auto"/>
        </w:rPr>
        <w:t>The following table shows “All Other Compensation” amounts for 2022 for the NEOs. In accordance with SEC rules, benefits that are generally available to all full-time salaried U.S. dollar employees, such as medical, dental, life insurance, health savings and flexible spending accounts, are not shown.</w:t>
      </w: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3260" w:type="dxa"/>
            <w:vAlign w:val="bottom"/>
            <w:tcBorders>
              <w:bottom w:val="single" w:sz="8" w:color="00529B"/>
            </w:tcBorders>
          </w:tcPr>
          <w:p>
            <w:pPr>
              <w:spacing w:after="0"/>
              <w:rPr>
                <w:sz w:val="16"/>
                <w:szCs w:val="16"/>
                <w:color w:val="auto"/>
              </w:rPr>
            </w:pPr>
          </w:p>
        </w:tc>
        <w:tc>
          <w:tcPr>
            <w:tcW w:w="2960" w:type="dxa"/>
            <w:vAlign w:val="bottom"/>
            <w:tcBorders>
              <w:bottom w:val="single" w:sz="8" w:color="00529B"/>
            </w:tcBorders>
            <w:gridSpan w:val="2"/>
          </w:tcPr>
          <w:p>
            <w:pPr>
              <w:ind w:left="2220"/>
              <w:spacing w:after="0"/>
              <w:rPr>
                <w:sz w:val="20"/>
                <w:szCs w:val="20"/>
                <w:color w:val="auto"/>
              </w:rPr>
            </w:pPr>
            <w:r>
              <w:rPr>
                <w:rFonts w:ascii="Arial" w:cs="Arial" w:eastAsia="Arial" w:hAnsi="Arial"/>
                <w:sz w:val="13"/>
                <w:szCs w:val="13"/>
                <w:b w:val="1"/>
                <w:bCs w:val="1"/>
                <w:color w:val="00529B"/>
              </w:rPr>
              <w:t>V. Hollub</w:t>
            </w:r>
          </w:p>
        </w:tc>
        <w:tc>
          <w:tcPr>
            <w:tcW w:w="1020" w:type="dxa"/>
            <w:vAlign w:val="bottom"/>
            <w:tcBorders>
              <w:bottom w:val="single" w:sz="8" w:color="00529B"/>
            </w:tcBorders>
            <w:gridSpan w:val="2"/>
          </w:tcPr>
          <w:p>
            <w:pPr>
              <w:jc w:val="right"/>
              <w:ind w:right="177"/>
              <w:spacing w:after="0"/>
              <w:rPr>
                <w:sz w:val="20"/>
                <w:szCs w:val="20"/>
                <w:color w:val="auto"/>
              </w:rPr>
            </w:pPr>
            <w:r>
              <w:rPr>
                <w:rFonts w:ascii="Arial" w:cs="Arial" w:eastAsia="Arial" w:hAnsi="Arial"/>
                <w:sz w:val="13"/>
                <w:szCs w:val="13"/>
                <w:b w:val="1"/>
                <w:bCs w:val="1"/>
                <w:color w:val="00529B"/>
              </w:rPr>
              <w:t>R. Peterson</w:t>
            </w:r>
          </w:p>
        </w:tc>
        <w:tc>
          <w:tcPr>
            <w:tcW w:w="880" w:type="dxa"/>
            <w:vAlign w:val="bottom"/>
            <w:tcBorders>
              <w:bottom w:val="single" w:sz="8" w:color="00529B"/>
            </w:tcBorders>
            <w:gridSpan w:val="2"/>
          </w:tcPr>
          <w:p>
            <w:pPr>
              <w:jc w:val="right"/>
              <w:ind w:right="97"/>
              <w:spacing w:after="0"/>
              <w:rPr>
                <w:sz w:val="20"/>
                <w:szCs w:val="20"/>
                <w:color w:val="auto"/>
              </w:rPr>
            </w:pPr>
            <w:r>
              <w:rPr>
                <w:rFonts w:ascii="Arial" w:cs="Arial" w:eastAsia="Arial" w:hAnsi="Arial"/>
                <w:sz w:val="13"/>
                <w:szCs w:val="13"/>
                <w:b w:val="1"/>
                <w:bCs w:val="1"/>
                <w:color w:val="00529B"/>
              </w:rPr>
              <w:t>P. Bennett</w:t>
            </w:r>
          </w:p>
        </w:tc>
        <w:tc>
          <w:tcPr>
            <w:tcW w:w="920" w:type="dxa"/>
            <w:vAlign w:val="bottom"/>
            <w:tcBorders>
              <w:bottom w:val="single" w:sz="8" w:color="00529B"/>
            </w:tcBorders>
            <w:gridSpan w:val="2"/>
          </w:tcPr>
          <w:p>
            <w:pPr>
              <w:jc w:val="right"/>
              <w:ind w:right="157"/>
              <w:spacing w:after="0"/>
              <w:rPr>
                <w:sz w:val="20"/>
                <w:szCs w:val="20"/>
                <w:color w:val="auto"/>
              </w:rPr>
            </w:pPr>
            <w:r>
              <w:rPr>
                <w:rFonts w:ascii="Arial" w:cs="Arial" w:eastAsia="Arial" w:hAnsi="Arial"/>
                <w:sz w:val="13"/>
                <w:szCs w:val="13"/>
                <w:b w:val="1"/>
                <w:bCs w:val="1"/>
                <w:color w:val="00529B"/>
              </w:rPr>
              <w:t>K. Dillon</w:t>
            </w:r>
          </w:p>
        </w:tc>
        <w:tc>
          <w:tcPr>
            <w:tcW w:w="900" w:type="dxa"/>
            <w:vAlign w:val="bottom"/>
            <w:tcBorders>
              <w:bottom w:val="single" w:sz="8" w:color="00529B"/>
            </w:tcBorders>
            <w:gridSpan w:val="2"/>
          </w:tcPr>
          <w:p>
            <w:pPr>
              <w:jc w:val="right"/>
              <w:ind w:right="57"/>
              <w:spacing w:after="0"/>
              <w:rPr>
                <w:sz w:val="20"/>
                <w:szCs w:val="20"/>
                <w:color w:val="auto"/>
              </w:rPr>
            </w:pPr>
            <w:r>
              <w:rPr>
                <w:rFonts w:ascii="Arial" w:cs="Arial" w:eastAsia="Arial" w:hAnsi="Arial"/>
                <w:sz w:val="13"/>
                <w:szCs w:val="13"/>
                <w:b w:val="1"/>
                <w:bCs w:val="1"/>
                <w:color w:val="00529B"/>
              </w:rPr>
              <w:t>R. Jackson</w:t>
            </w:r>
          </w:p>
        </w:tc>
        <w:tc>
          <w:tcPr>
            <w:tcW w:w="960" w:type="dxa"/>
            <w:vAlign w:val="bottom"/>
            <w:tcBorders>
              <w:bottom w:val="single" w:sz="8" w:color="00529B"/>
            </w:tcBorders>
            <w:gridSpan w:val="2"/>
          </w:tcPr>
          <w:p>
            <w:pPr>
              <w:jc w:val="right"/>
              <w:ind w:right="137"/>
              <w:spacing w:after="0"/>
              <w:rPr>
                <w:sz w:val="20"/>
                <w:szCs w:val="20"/>
                <w:color w:val="auto"/>
              </w:rPr>
            </w:pPr>
            <w:r>
              <w:rPr>
                <w:rFonts w:ascii="Arial" w:cs="Arial" w:eastAsia="Arial" w:hAnsi="Arial"/>
                <w:sz w:val="13"/>
                <w:szCs w:val="13"/>
                <w:b w:val="1"/>
                <w:bCs w:val="1"/>
                <w:color w:val="00529B"/>
              </w:rPr>
              <w:t>M. Backus</w:t>
            </w:r>
          </w:p>
        </w:tc>
      </w:tr>
      <w:tr>
        <w:trPr>
          <w:trHeight w:val="229"/>
        </w:trPr>
        <w:tc>
          <w:tcPr>
            <w:tcW w:w="3260" w:type="dxa"/>
            <w:vAlign w:val="bottom"/>
            <w:tcBorders>
              <w:bottom w:val="single" w:sz="8" w:color="D1D2D4"/>
            </w:tcBorders>
          </w:tcPr>
          <w:p>
            <w:pPr>
              <w:ind w:left="60"/>
              <w:spacing w:after="0"/>
              <w:rPr>
                <w:sz w:val="20"/>
                <w:szCs w:val="20"/>
                <w:color w:val="auto"/>
              </w:rPr>
            </w:pPr>
            <w:r>
              <w:rPr>
                <w:rFonts w:ascii="Arial" w:cs="Arial" w:eastAsia="Arial" w:hAnsi="Arial"/>
                <w:sz w:val="13"/>
                <w:szCs w:val="13"/>
                <w:color w:val="auto"/>
              </w:rPr>
              <w:t>Savings Plan</w:t>
            </w:r>
            <w:r>
              <w:rPr>
                <w:rFonts w:ascii="Arial" w:cs="Arial" w:eastAsia="Arial" w:hAnsi="Arial"/>
                <w:sz w:val="20"/>
                <w:szCs w:val="20"/>
                <w:color w:val="auto"/>
                <w:vertAlign w:val="superscript"/>
              </w:rPr>
              <w:t>(a)</w:t>
            </w:r>
          </w:p>
        </w:tc>
        <w:tc>
          <w:tcPr>
            <w:tcW w:w="2300" w:type="dxa"/>
            <w:vAlign w:val="bottom"/>
            <w:tcBorders>
              <w:bottom w:val="single" w:sz="8" w:color="D1D2D4"/>
            </w:tcBorders>
          </w:tcPr>
          <w:p>
            <w:pPr>
              <w:ind w:left="224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21,350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21,350</w:t>
            </w:r>
          </w:p>
        </w:tc>
        <w:tc>
          <w:tcPr>
            <w:tcW w:w="2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21,350</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21,350</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21,350</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21,350</w:t>
            </w:r>
          </w:p>
        </w:tc>
      </w:tr>
      <w:tr>
        <w:trPr>
          <w:trHeight w:val="223"/>
        </w:trPr>
        <w:tc>
          <w:tcPr>
            <w:tcW w:w="3260" w:type="dxa"/>
            <w:vAlign w:val="bottom"/>
            <w:tcBorders>
              <w:bottom w:val="single" w:sz="8" w:color="D1D2D4"/>
            </w:tcBorders>
          </w:tcPr>
          <w:p>
            <w:pPr>
              <w:ind w:left="60"/>
              <w:spacing w:after="0" w:line="223" w:lineRule="exact"/>
              <w:rPr>
                <w:sz w:val="20"/>
                <w:szCs w:val="20"/>
                <w:color w:val="auto"/>
              </w:rPr>
            </w:pPr>
            <w:r>
              <w:rPr>
                <w:rFonts w:ascii="Arial" w:cs="Arial" w:eastAsia="Arial" w:hAnsi="Arial"/>
                <w:sz w:val="13"/>
                <w:szCs w:val="13"/>
                <w:color w:val="auto"/>
              </w:rPr>
              <w:t>SRP II</w:t>
            </w:r>
            <w:r>
              <w:rPr>
                <w:rFonts w:ascii="Arial" w:cs="Arial" w:eastAsia="Arial" w:hAnsi="Arial"/>
                <w:sz w:val="20"/>
                <w:szCs w:val="20"/>
                <w:color w:val="auto"/>
                <w:vertAlign w:val="superscript"/>
              </w:rPr>
              <w:t>(b)</w:t>
            </w:r>
          </w:p>
        </w:tc>
        <w:tc>
          <w:tcPr>
            <w:tcW w:w="2300" w:type="dxa"/>
            <w:vAlign w:val="bottom"/>
            <w:tcBorders>
              <w:bottom w:val="single" w:sz="8" w:color="D1D2D4"/>
            </w:tcBorders>
          </w:tcPr>
          <w:p>
            <w:pPr>
              <w:ind w:left="224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w w:val="93"/>
              </w:rPr>
              <w:t>500,852</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w w:val="93"/>
              </w:rPr>
              <w:t>230,631</w:t>
            </w:r>
          </w:p>
        </w:tc>
        <w:tc>
          <w:tcPr>
            <w:tcW w:w="2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w w:val="93"/>
              </w:rPr>
              <w:t>204,975</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w w:val="93"/>
              </w:rPr>
              <w:t>260,176</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w w:val="93"/>
              </w:rPr>
              <w:t>230,631</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w w:val="93"/>
              </w:rPr>
              <w:t>268,362</w:t>
            </w:r>
          </w:p>
        </w:tc>
      </w:tr>
      <w:tr>
        <w:trPr>
          <w:trHeight w:val="223"/>
        </w:trPr>
        <w:tc>
          <w:tcPr>
            <w:tcW w:w="3260" w:type="dxa"/>
            <w:vAlign w:val="bottom"/>
            <w:tcBorders>
              <w:bottom w:val="single" w:sz="8" w:color="D1D2D4"/>
            </w:tcBorders>
          </w:tcPr>
          <w:p>
            <w:pPr>
              <w:ind w:left="60"/>
              <w:spacing w:after="0"/>
              <w:rPr>
                <w:sz w:val="20"/>
                <w:szCs w:val="20"/>
                <w:color w:val="auto"/>
              </w:rPr>
            </w:pPr>
            <w:r>
              <w:rPr>
                <w:rFonts w:ascii="Arial" w:cs="Arial" w:eastAsia="Arial" w:hAnsi="Arial"/>
                <w:sz w:val="13"/>
                <w:szCs w:val="13"/>
                <w:color w:val="auto"/>
              </w:rPr>
              <w:t>Personal Benefits</w:t>
            </w:r>
          </w:p>
        </w:tc>
        <w:tc>
          <w:tcPr>
            <w:tcW w:w="2300" w:type="dxa"/>
            <w:vAlign w:val="bottom"/>
            <w:tcBorders>
              <w:bottom w:val="single" w:sz="8" w:color="D1D2D4"/>
            </w:tcBorders>
          </w:tcPr>
          <w:p>
            <w:pPr>
              <w:ind w:left="224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D1D2D4"/>
            </w:tcBorders>
          </w:tcPr>
          <w:p>
            <w:pPr>
              <w:jc w:val="right"/>
              <w:ind w:right="17"/>
              <w:spacing w:after="0" w:line="223" w:lineRule="exact"/>
              <w:rPr>
                <w:sz w:val="20"/>
                <w:szCs w:val="20"/>
                <w:color w:val="auto"/>
              </w:rPr>
            </w:pPr>
            <w:r>
              <w:rPr>
                <w:rFonts w:ascii="Arial" w:cs="Arial" w:eastAsia="Arial" w:hAnsi="Arial"/>
                <w:sz w:val="13"/>
                <w:szCs w:val="13"/>
                <w:color w:val="auto"/>
              </w:rPr>
              <w:t>27,309</w:t>
            </w:r>
            <w:r>
              <w:rPr>
                <w:rFonts w:ascii="Arial" w:cs="Arial" w:eastAsia="Arial" w:hAnsi="Arial"/>
                <w:sz w:val="20"/>
                <w:szCs w:val="20"/>
                <w:color w:val="auto"/>
                <w:vertAlign w:val="superscript"/>
              </w:rPr>
              <w:t>(c)</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37"/>
              <w:spacing w:after="0" w:line="223" w:lineRule="exact"/>
              <w:rPr>
                <w:sz w:val="20"/>
                <w:szCs w:val="20"/>
                <w:color w:val="auto"/>
              </w:rPr>
            </w:pPr>
            <w:r>
              <w:rPr>
                <w:rFonts w:ascii="Arial" w:cs="Arial" w:eastAsia="Arial" w:hAnsi="Arial"/>
                <w:sz w:val="13"/>
                <w:szCs w:val="13"/>
                <w:color w:val="auto"/>
              </w:rPr>
              <w:t>19,928</w:t>
            </w:r>
            <w:r>
              <w:rPr>
                <w:rFonts w:ascii="Arial" w:cs="Arial" w:eastAsia="Arial" w:hAnsi="Arial"/>
                <w:sz w:val="20"/>
                <w:szCs w:val="20"/>
                <w:color w:val="auto"/>
                <w:vertAlign w:val="superscript"/>
              </w:rPr>
              <w:t>(d)</w:t>
            </w:r>
          </w:p>
        </w:tc>
        <w:tc>
          <w:tcPr>
            <w:tcW w:w="2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1D2D4"/>
            </w:tcBorders>
          </w:tcPr>
          <w:p>
            <w:pPr>
              <w:jc w:val="right"/>
              <w:ind w:right="37"/>
              <w:spacing w:after="0" w:line="223" w:lineRule="exact"/>
              <w:rPr>
                <w:sz w:val="20"/>
                <w:szCs w:val="20"/>
                <w:color w:val="auto"/>
              </w:rPr>
            </w:pPr>
            <w:r>
              <w:rPr>
                <w:rFonts w:ascii="Arial" w:cs="Arial" w:eastAsia="Arial" w:hAnsi="Arial"/>
                <w:sz w:val="13"/>
                <w:szCs w:val="13"/>
                <w:color w:val="auto"/>
                <w:w w:val="99"/>
              </w:rPr>
              <w:t>14,075</w:t>
            </w:r>
            <w:r>
              <w:rPr>
                <w:rFonts w:ascii="Arial" w:cs="Arial" w:eastAsia="Arial" w:hAnsi="Arial"/>
                <w:sz w:val="20"/>
                <w:szCs w:val="20"/>
                <w:color w:val="auto"/>
                <w:w w:val="99"/>
                <w:vertAlign w:val="superscript"/>
              </w:rPr>
              <w:t>(e)</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1D2D4"/>
            </w:tcBorders>
          </w:tcPr>
          <w:p>
            <w:pPr>
              <w:jc w:val="right"/>
              <w:ind w:right="17"/>
              <w:spacing w:after="0" w:line="223" w:lineRule="exact"/>
              <w:rPr>
                <w:sz w:val="20"/>
                <w:szCs w:val="20"/>
                <w:color w:val="auto"/>
              </w:rPr>
            </w:pPr>
            <w:r>
              <w:rPr>
                <w:rFonts w:ascii="Arial" w:cs="Arial" w:eastAsia="Arial" w:hAnsi="Arial"/>
                <w:sz w:val="13"/>
                <w:szCs w:val="13"/>
                <w:color w:val="auto"/>
                <w:w w:val="99"/>
              </w:rPr>
              <w:t>15,884</w:t>
            </w:r>
            <w:r>
              <w:rPr>
                <w:rFonts w:ascii="Arial" w:cs="Arial" w:eastAsia="Arial" w:hAnsi="Arial"/>
                <w:sz w:val="20"/>
                <w:szCs w:val="20"/>
                <w:color w:val="auto"/>
                <w:w w:val="99"/>
                <w:vertAlign w:val="superscript"/>
              </w:rPr>
              <w:t>(e)</w:t>
            </w:r>
          </w:p>
        </w:tc>
      </w:tr>
      <w:tr>
        <w:trPr>
          <w:trHeight w:val="190"/>
        </w:trPr>
        <w:tc>
          <w:tcPr>
            <w:tcW w:w="326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auto"/>
              </w:rPr>
              <w:t>Total</w:t>
            </w:r>
          </w:p>
        </w:tc>
        <w:tc>
          <w:tcPr>
            <w:tcW w:w="2300" w:type="dxa"/>
            <w:vAlign w:val="bottom"/>
            <w:tcBorders>
              <w:bottom w:val="single" w:sz="8" w:color="00529B"/>
            </w:tcBorders>
          </w:tcPr>
          <w:p>
            <w:pPr>
              <w:ind w:left="224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00529B"/>
            </w:tcBorders>
          </w:tcPr>
          <w:p>
            <w:pPr>
              <w:jc w:val="right"/>
              <w:ind w:right="137"/>
              <w:spacing w:after="0"/>
              <w:rPr>
                <w:sz w:val="20"/>
                <w:szCs w:val="20"/>
                <w:color w:val="auto"/>
              </w:rPr>
            </w:pPr>
            <w:r>
              <w:rPr>
                <w:rFonts w:ascii="Arial" w:cs="Arial" w:eastAsia="Arial" w:hAnsi="Arial"/>
                <w:sz w:val="13"/>
                <w:szCs w:val="13"/>
                <w:b w:val="1"/>
                <w:bCs w:val="1"/>
                <w:color w:val="auto"/>
                <w:w w:val="93"/>
              </w:rPr>
              <w:t>549,511</w:t>
            </w:r>
          </w:p>
        </w:tc>
        <w:tc>
          <w:tcPr>
            <w:tcW w:w="3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00529B"/>
            </w:tcBorders>
          </w:tcPr>
          <w:p>
            <w:pPr>
              <w:jc w:val="right"/>
              <w:ind w:right="177"/>
              <w:spacing w:after="0"/>
              <w:rPr>
                <w:sz w:val="20"/>
                <w:szCs w:val="20"/>
                <w:color w:val="auto"/>
              </w:rPr>
            </w:pPr>
            <w:r>
              <w:rPr>
                <w:rFonts w:ascii="Arial" w:cs="Arial" w:eastAsia="Arial" w:hAnsi="Arial"/>
                <w:sz w:val="13"/>
                <w:szCs w:val="13"/>
                <w:b w:val="1"/>
                <w:bCs w:val="1"/>
                <w:color w:val="auto"/>
                <w:w w:val="93"/>
              </w:rPr>
              <w:t>271,909</w:t>
            </w:r>
          </w:p>
        </w:tc>
        <w:tc>
          <w:tcPr>
            <w:tcW w:w="26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00529B"/>
            </w:tcBorders>
          </w:tcPr>
          <w:p>
            <w:pPr>
              <w:jc w:val="right"/>
              <w:ind w:right="97"/>
              <w:spacing w:after="0"/>
              <w:rPr>
                <w:sz w:val="20"/>
                <w:szCs w:val="20"/>
                <w:color w:val="auto"/>
              </w:rPr>
            </w:pPr>
            <w:r>
              <w:rPr>
                <w:rFonts w:ascii="Arial" w:cs="Arial" w:eastAsia="Arial" w:hAnsi="Arial"/>
                <w:sz w:val="13"/>
                <w:szCs w:val="13"/>
                <w:b w:val="1"/>
                <w:bCs w:val="1"/>
                <w:color w:val="auto"/>
                <w:w w:val="93"/>
              </w:rPr>
              <w:t>226,325</w:t>
            </w:r>
          </w:p>
        </w:tc>
        <w:tc>
          <w:tcPr>
            <w:tcW w:w="24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00529B"/>
            </w:tcBorders>
          </w:tcPr>
          <w:p>
            <w:pPr>
              <w:jc w:val="right"/>
              <w:ind w:right="157"/>
              <w:spacing w:after="0"/>
              <w:rPr>
                <w:sz w:val="20"/>
                <w:szCs w:val="20"/>
                <w:color w:val="auto"/>
              </w:rPr>
            </w:pPr>
            <w:r>
              <w:rPr>
                <w:rFonts w:ascii="Arial" w:cs="Arial" w:eastAsia="Arial" w:hAnsi="Arial"/>
                <w:sz w:val="13"/>
                <w:szCs w:val="13"/>
                <w:b w:val="1"/>
                <w:bCs w:val="1"/>
                <w:color w:val="auto"/>
                <w:w w:val="93"/>
              </w:rPr>
              <w:t>295,601</w:t>
            </w:r>
          </w:p>
        </w:tc>
        <w:tc>
          <w:tcPr>
            <w:tcW w:w="3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00529B"/>
            </w:tcBorders>
          </w:tcPr>
          <w:p>
            <w:pPr>
              <w:jc w:val="right"/>
              <w:ind w:right="57"/>
              <w:spacing w:after="0"/>
              <w:rPr>
                <w:sz w:val="20"/>
                <w:szCs w:val="20"/>
                <w:color w:val="auto"/>
              </w:rPr>
            </w:pPr>
            <w:r>
              <w:rPr>
                <w:rFonts w:ascii="Arial" w:cs="Arial" w:eastAsia="Arial" w:hAnsi="Arial"/>
                <w:sz w:val="13"/>
                <w:szCs w:val="13"/>
                <w:b w:val="1"/>
                <w:bCs w:val="1"/>
                <w:color w:val="auto"/>
                <w:w w:val="93"/>
              </w:rPr>
              <w:t>251,981</w:t>
            </w:r>
          </w:p>
        </w:tc>
        <w:tc>
          <w:tcPr>
            <w:tcW w:w="30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00529B"/>
            </w:tcBorders>
          </w:tcPr>
          <w:p>
            <w:pPr>
              <w:jc w:val="right"/>
              <w:ind w:right="137"/>
              <w:spacing w:after="0"/>
              <w:rPr>
                <w:sz w:val="20"/>
                <w:szCs w:val="20"/>
                <w:color w:val="auto"/>
              </w:rPr>
            </w:pPr>
            <w:r>
              <w:rPr>
                <w:rFonts w:ascii="Arial" w:cs="Arial" w:eastAsia="Arial" w:hAnsi="Arial"/>
                <w:sz w:val="13"/>
                <w:szCs w:val="13"/>
                <w:b w:val="1"/>
                <w:bCs w:val="1"/>
                <w:color w:val="auto"/>
                <w:w w:val="93"/>
              </w:rPr>
              <w:t>305,596</w:t>
            </w:r>
          </w:p>
        </w:tc>
      </w:tr>
    </w:tbl>
    <w:p>
      <w:pPr>
        <w:spacing w:after="0" w:line="225" w:lineRule="exact"/>
        <w:rPr>
          <w:sz w:val="20"/>
          <w:szCs w:val="20"/>
          <w:color w:val="auto"/>
        </w:rPr>
      </w:pPr>
    </w:p>
    <w:p>
      <w:pPr>
        <w:ind w:left="500" w:hanging="209"/>
        <w:spacing w:after="0"/>
        <w:tabs>
          <w:tab w:leader="none" w:pos="500" w:val="left"/>
        </w:tabs>
        <w:numPr>
          <w:ilvl w:val="1"/>
          <w:numId w:val="64"/>
        </w:numPr>
        <w:rPr>
          <w:rFonts w:ascii="Arial" w:cs="Arial" w:eastAsia="Arial" w:hAnsi="Arial"/>
          <w:sz w:val="10"/>
          <w:szCs w:val="10"/>
          <w:color w:val="auto"/>
        </w:rPr>
      </w:pPr>
      <w:r>
        <w:rPr>
          <w:rFonts w:ascii="Arial" w:cs="Arial" w:eastAsia="Arial" w:hAnsi="Arial"/>
          <w:sz w:val="13"/>
          <w:szCs w:val="13"/>
          <w:color w:val="auto"/>
        </w:rPr>
        <w:t>Occidental’s contribution to the Occidental Petroleum Corporation Savings Plan (Savings Plan), a defined contribution 401(k) plan, as described on page 50.</w:t>
      </w:r>
    </w:p>
    <w:p>
      <w:pPr>
        <w:spacing w:after="0" w:line="80" w:lineRule="exact"/>
        <w:rPr>
          <w:rFonts w:ascii="Arial" w:cs="Arial" w:eastAsia="Arial" w:hAnsi="Arial"/>
          <w:sz w:val="10"/>
          <w:szCs w:val="10"/>
          <w:color w:val="auto"/>
        </w:rPr>
      </w:pPr>
    </w:p>
    <w:p>
      <w:pPr>
        <w:ind w:left="500" w:hanging="209"/>
        <w:spacing w:after="0"/>
        <w:tabs>
          <w:tab w:leader="none" w:pos="500" w:val="left"/>
        </w:tabs>
        <w:numPr>
          <w:ilvl w:val="1"/>
          <w:numId w:val="64"/>
        </w:numPr>
        <w:rPr>
          <w:rFonts w:ascii="Arial" w:cs="Arial" w:eastAsia="Arial" w:hAnsi="Arial"/>
          <w:sz w:val="10"/>
          <w:szCs w:val="10"/>
          <w:color w:val="auto"/>
        </w:rPr>
      </w:pPr>
      <w:r>
        <w:rPr>
          <w:rFonts w:ascii="Arial" w:cs="Arial" w:eastAsia="Arial" w:hAnsi="Arial"/>
          <w:sz w:val="13"/>
          <w:szCs w:val="13"/>
          <w:color w:val="auto"/>
        </w:rPr>
        <w:t>Occidental’s contribution to the Supplemental Retirement Plan II (SRP II), a nonqualified, defined contribution retirement plan, as described on pages 68-69.</w:t>
      </w:r>
    </w:p>
    <w:p>
      <w:pPr>
        <w:spacing w:after="0" w:line="80" w:lineRule="exact"/>
        <w:rPr>
          <w:rFonts w:ascii="Arial" w:cs="Arial" w:eastAsia="Arial" w:hAnsi="Arial"/>
          <w:sz w:val="10"/>
          <w:szCs w:val="10"/>
          <w:color w:val="auto"/>
        </w:rPr>
      </w:pPr>
    </w:p>
    <w:p>
      <w:pPr>
        <w:ind w:left="500" w:right="160" w:hanging="209"/>
        <w:spacing w:after="0" w:line="243" w:lineRule="auto"/>
        <w:tabs>
          <w:tab w:leader="none" w:pos="500" w:val="left"/>
        </w:tabs>
        <w:numPr>
          <w:ilvl w:val="1"/>
          <w:numId w:val="64"/>
        </w:numPr>
        <w:rPr>
          <w:rFonts w:ascii="Arial" w:cs="Arial" w:eastAsia="Arial" w:hAnsi="Arial"/>
          <w:sz w:val="10"/>
          <w:szCs w:val="10"/>
          <w:color w:val="auto"/>
        </w:rPr>
      </w:pPr>
      <w:r>
        <w:rPr>
          <w:rFonts w:ascii="Arial" w:cs="Arial" w:eastAsia="Arial" w:hAnsi="Arial"/>
          <w:sz w:val="13"/>
          <w:szCs w:val="13"/>
          <w:color w:val="auto"/>
        </w:rPr>
        <w:t>Financial and tax planning, excess liability insurance premiums, annual physical and personal use of corporate aircraft. The aggregate incremental cost, if any, of travel by the NEO’s spouse when accompanying the NEO also is included.</w:t>
      </w:r>
    </w:p>
    <w:p>
      <w:pPr>
        <w:spacing w:after="0" w:line="48" w:lineRule="exact"/>
        <w:rPr>
          <w:rFonts w:ascii="Arial" w:cs="Arial" w:eastAsia="Arial" w:hAnsi="Arial"/>
          <w:sz w:val="10"/>
          <w:szCs w:val="10"/>
          <w:color w:val="auto"/>
        </w:rPr>
      </w:pPr>
    </w:p>
    <w:p>
      <w:pPr>
        <w:ind w:left="500" w:hanging="209"/>
        <w:spacing w:after="0"/>
        <w:tabs>
          <w:tab w:leader="none" w:pos="500" w:val="left"/>
        </w:tabs>
        <w:numPr>
          <w:ilvl w:val="1"/>
          <w:numId w:val="64"/>
        </w:numPr>
        <w:rPr>
          <w:rFonts w:ascii="Arial" w:cs="Arial" w:eastAsia="Arial" w:hAnsi="Arial"/>
          <w:sz w:val="10"/>
          <w:szCs w:val="10"/>
          <w:color w:val="auto"/>
        </w:rPr>
      </w:pPr>
      <w:r>
        <w:rPr>
          <w:rFonts w:ascii="Arial" w:cs="Arial" w:eastAsia="Arial" w:hAnsi="Arial"/>
          <w:sz w:val="13"/>
          <w:szCs w:val="13"/>
          <w:color w:val="auto"/>
        </w:rPr>
        <w:t>Financial and tax planning, excess liability insurance premiums and club dues.</w:t>
      </w:r>
    </w:p>
    <w:p>
      <w:pPr>
        <w:spacing w:after="0" w:line="80" w:lineRule="exact"/>
        <w:rPr>
          <w:rFonts w:ascii="Arial" w:cs="Arial" w:eastAsia="Arial" w:hAnsi="Arial"/>
          <w:sz w:val="10"/>
          <w:szCs w:val="10"/>
          <w:color w:val="auto"/>
        </w:rPr>
      </w:pPr>
    </w:p>
    <w:p>
      <w:pPr>
        <w:ind w:left="500" w:hanging="209"/>
        <w:spacing w:after="0"/>
        <w:tabs>
          <w:tab w:leader="none" w:pos="500" w:val="left"/>
        </w:tabs>
        <w:numPr>
          <w:ilvl w:val="1"/>
          <w:numId w:val="64"/>
        </w:numPr>
        <w:rPr>
          <w:rFonts w:ascii="Arial" w:cs="Arial" w:eastAsia="Arial" w:hAnsi="Arial"/>
          <w:sz w:val="10"/>
          <w:szCs w:val="10"/>
          <w:color w:val="auto"/>
        </w:rPr>
      </w:pPr>
      <w:r>
        <w:rPr>
          <w:rFonts w:ascii="Arial" w:cs="Arial" w:eastAsia="Arial" w:hAnsi="Arial"/>
          <w:sz w:val="13"/>
          <w:szCs w:val="13"/>
          <w:color w:val="auto"/>
        </w:rPr>
        <w:t>Financial and tax planning and excess liability insurance premiums.</w:t>
      </w:r>
    </w:p>
    <w:p>
      <w:pPr>
        <w:spacing w:after="0" w:line="242" w:lineRule="exact"/>
        <w:rPr>
          <w:rFonts w:ascii="Arial" w:cs="Arial" w:eastAsia="Arial" w:hAnsi="Arial"/>
          <w:sz w:val="10"/>
          <w:szCs w:val="10"/>
          <w:color w:val="auto"/>
        </w:rPr>
      </w:pPr>
    </w:p>
    <w:p>
      <w:pPr>
        <w:ind w:left="300" w:right="80" w:hanging="292"/>
        <w:spacing w:after="0" w:line="225" w:lineRule="auto"/>
        <w:tabs>
          <w:tab w:leader="none" w:pos="300" w:val="left"/>
        </w:tabs>
        <w:numPr>
          <w:ilvl w:val="0"/>
          <w:numId w:val="65"/>
        </w:numPr>
        <w:rPr>
          <w:rFonts w:ascii="Arial" w:cs="Arial" w:eastAsia="Arial" w:hAnsi="Arial"/>
          <w:sz w:val="10"/>
          <w:szCs w:val="10"/>
          <w:color w:val="auto"/>
        </w:rPr>
      </w:pPr>
      <w:r>
        <w:rPr>
          <w:rFonts w:ascii="Arial" w:cs="Arial" w:eastAsia="Arial" w:hAnsi="Arial"/>
          <w:sz w:val="13"/>
          <w:szCs w:val="13"/>
          <w:color w:val="auto"/>
        </w:rPr>
        <w:t>As part of her retirement from Occidental, Marcia E. Backus ceased being an executive officer as of October 3, 2022, stepped down from her role as Senior Vice President, General Counsel and Chief Compliance Officer of Occidental effective as of December 31, 2022 and terminated employment effective as of March 1, 2023. The “Stock Awards” and “Option Awards” values reported for Ms. Backus also include the incremental accounting value associated with accelerated vesting of her outstanding time-based equity awards, which vested as of her separation date, and continued vesting of outstanding performance-based equity awards, for which the Company waived her continued service requirement, in each case in connection with her separation pursuant to the terms of her Transition Services and Separation Agreement. For more information, see the Grants of Plan-Based Awards table below and footnote 6 as well as “</w:t>
      </w:r>
      <w:r>
        <w:rPr>
          <w:rFonts w:ascii="Arial" w:cs="Arial" w:eastAsia="Arial" w:hAnsi="Arial"/>
          <w:sz w:val="13"/>
          <w:szCs w:val="13"/>
          <w:i w:val="1"/>
          <w:iCs w:val="1"/>
          <w:color w:val="auto"/>
        </w:rPr>
        <w:t>Executive 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Tables–Payments to Former Officer</w:t>
      </w:r>
      <w:r>
        <w:rPr>
          <w:rFonts w:ascii="Arial" w:cs="Arial" w:eastAsia="Arial" w:hAnsi="Arial"/>
          <w:sz w:val="13"/>
          <w:szCs w:val="13"/>
          <w:color w:val="auto"/>
        </w:rPr>
        <w:t>” on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743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Grants of Plan-Based Awards</w:t>
      </w:r>
    </w:p>
    <w:p>
      <w:pPr>
        <w:spacing w:after="0" w:line="241" w:lineRule="exact"/>
        <w:rPr>
          <w:sz w:val="20"/>
          <w:szCs w:val="20"/>
          <w:color w:val="auto"/>
        </w:rPr>
      </w:pPr>
    </w:p>
    <w:p>
      <w:pPr>
        <w:ind w:right="80"/>
        <w:spacing w:after="0"/>
        <w:rPr>
          <w:sz w:val="20"/>
          <w:szCs w:val="20"/>
          <w:color w:val="auto"/>
        </w:rPr>
      </w:pPr>
      <w:r>
        <w:rPr>
          <w:rFonts w:ascii="Arial" w:cs="Arial" w:eastAsia="Arial" w:hAnsi="Arial"/>
          <w:sz w:val="15"/>
          <w:szCs w:val="15"/>
          <w:color w:val="auto"/>
        </w:rPr>
        <w:t>The table below shows the plan-based awards granted by the Compensation Committee to the NEOs in 2022. For a summary of the key terms of the awards granted pursuant to the 2022 long-term incentive award program, see “</w:t>
      </w:r>
      <w:r>
        <w:rPr>
          <w:rFonts w:ascii="Arial" w:cs="Arial" w:eastAsia="Arial" w:hAnsi="Arial"/>
          <w:sz w:val="15"/>
          <w:szCs w:val="15"/>
          <w:i w:val="1"/>
          <w:iCs w:val="1"/>
          <w:color w:val="auto"/>
        </w:rPr>
        <w:t>Elements of the 2022 Compensation Program–Long-Term Incentive Award Program</w:t>
      </w:r>
      <w:r>
        <w:rPr>
          <w:rFonts w:ascii="Arial" w:cs="Arial" w:eastAsia="Arial" w:hAnsi="Arial"/>
          <w:sz w:val="15"/>
          <w:szCs w:val="15"/>
          <w:color w:val="auto"/>
        </w:rPr>
        <w:t>” beginning on page 48. For the actual amounts earned under the ACI award, see the “Non-Equity Incentive Plan Compensation” column of the Summary Compensation Table on page 61.</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00529B"/>
                <w:w w:val="96"/>
              </w:rPr>
              <w:t>Estimated Possible Payouts</w:t>
            </w:r>
          </w:p>
        </w:tc>
        <w:tc>
          <w:tcPr>
            <w:tcW w:w="2200" w:type="dxa"/>
            <w:vAlign w:val="bottom"/>
            <w:gridSpan w:val="2"/>
          </w:tcPr>
          <w:p>
            <w:pPr>
              <w:jc w:val="center"/>
              <w:ind w:left="537"/>
              <w:spacing w:after="0"/>
              <w:rPr>
                <w:sz w:val="20"/>
                <w:szCs w:val="20"/>
                <w:color w:val="auto"/>
              </w:rPr>
            </w:pPr>
            <w:r>
              <w:rPr>
                <w:rFonts w:ascii="Arial" w:cs="Arial" w:eastAsia="Arial" w:hAnsi="Arial"/>
                <w:sz w:val="13"/>
                <w:szCs w:val="13"/>
                <w:b w:val="1"/>
                <w:bCs w:val="1"/>
                <w:color w:val="00529B"/>
                <w:w w:val="97"/>
              </w:rPr>
              <w:t>Estimated Future Payouts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00529B"/>
              </w:rPr>
              <w:t>All Other</w:t>
            </w: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00529B"/>
              </w:rPr>
              <w:t>All Other</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00529B"/>
              </w:rPr>
              <w:t>Grant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00529B"/>
                <w:w w:val="97"/>
              </w:rPr>
              <w:t>Under Non-Equity Incentive</w:t>
            </w:r>
          </w:p>
        </w:tc>
        <w:tc>
          <w:tcPr>
            <w:tcW w:w="2200" w:type="dxa"/>
            <w:vAlign w:val="bottom"/>
            <w:gridSpan w:val="2"/>
          </w:tcPr>
          <w:p>
            <w:pPr>
              <w:jc w:val="center"/>
              <w:ind w:left="537"/>
              <w:spacing w:after="0"/>
              <w:rPr>
                <w:sz w:val="20"/>
                <w:szCs w:val="20"/>
                <w:color w:val="auto"/>
              </w:rPr>
            </w:pPr>
            <w:r>
              <w:rPr>
                <w:rFonts w:ascii="Arial" w:cs="Arial" w:eastAsia="Arial" w:hAnsi="Arial"/>
                <w:sz w:val="13"/>
                <w:szCs w:val="13"/>
                <w:b w:val="1"/>
                <w:bCs w:val="1"/>
                <w:color w:val="00529B"/>
                <w:w w:val="96"/>
              </w:rPr>
              <w:t>Under Equity Incentive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00529B"/>
              </w:rPr>
              <w:t>Stock</w:t>
            </w: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00529B"/>
              </w:rPr>
              <w:t>Option</w:t>
            </w:r>
          </w:p>
        </w:tc>
        <w:tc>
          <w:tcPr>
            <w:tcW w:w="82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00529B"/>
              </w:rPr>
              <w:t>Date Fair</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Borders>
              <w:bottom w:val="single" w:sz="8" w:color="00529B"/>
            </w:tcBorders>
          </w:tcPr>
          <w:p>
            <w:pPr>
              <w:spacing w:after="0"/>
              <w:rPr>
                <w:sz w:val="13"/>
                <w:szCs w:val="13"/>
                <w:color w:val="auto"/>
              </w:rPr>
            </w:pPr>
          </w:p>
        </w:tc>
        <w:tc>
          <w:tcPr>
            <w:tcW w:w="980" w:type="dxa"/>
            <w:vAlign w:val="bottom"/>
            <w:tcBorders>
              <w:bottom w:val="single" w:sz="8" w:color="00529B"/>
            </w:tcBorders>
            <w:gridSpan w:val="2"/>
          </w:tcPr>
          <w:p>
            <w:pPr>
              <w:jc w:val="center"/>
              <w:spacing w:after="0" w:line="149" w:lineRule="exact"/>
              <w:rPr>
                <w:sz w:val="20"/>
                <w:szCs w:val="20"/>
                <w:color w:val="auto"/>
              </w:rPr>
            </w:pPr>
            <w:r>
              <w:rPr>
                <w:rFonts w:ascii="Arial" w:cs="Arial" w:eastAsia="Arial" w:hAnsi="Arial"/>
                <w:sz w:val="11"/>
                <w:szCs w:val="11"/>
                <w:b w:val="1"/>
                <w:bCs w:val="1"/>
                <w:color w:val="00529B"/>
              </w:rPr>
              <w:t>Plan Awards</w:t>
            </w:r>
            <w:r>
              <w:rPr>
                <w:rFonts w:ascii="Arial" w:cs="Arial" w:eastAsia="Arial" w:hAnsi="Arial"/>
                <w:sz w:val="17"/>
                <w:szCs w:val="17"/>
                <w:b w:val="1"/>
                <w:bCs w:val="1"/>
                <w:color w:val="00529B"/>
                <w:vertAlign w:val="superscript"/>
              </w:rPr>
              <w:t>(1)</w:t>
            </w:r>
          </w:p>
        </w:tc>
        <w:tc>
          <w:tcPr>
            <w:tcW w:w="660" w:type="dxa"/>
            <w:vAlign w:val="bottom"/>
            <w:tcBorders>
              <w:bottom w:val="single" w:sz="8" w:color="00529B"/>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00529B"/>
            </w:tcBorders>
          </w:tcPr>
          <w:p>
            <w:pPr>
              <w:spacing w:after="0"/>
              <w:rPr>
                <w:sz w:val="13"/>
                <w:szCs w:val="13"/>
                <w:color w:val="auto"/>
              </w:rPr>
            </w:pPr>
          </w:p>
        </w:tc>
        <w:tc>
          <w:tcPr>
            <w:tcW w:w="1260" w:type="dxa"/>
            <w:vAlign w:val="bottom"/>
            <w:tcBorders>
              <w:bottom w:val="single" w:sz="8" w:color="00529B"/>
            </w:tcBorders>
          </w:tcPr>
          <w:p>
            <w:pPr>
              <w:jc w:val="center"/>
              <w:ind w:right="277"/>
              <w:spacing w:after="0"/>
              <w:rPr>
                <w:sz w:val="20"/>
                <w:szCs w:val="20"/>
                <w:color w:val="auto"/>
              </w:rPr>
            </w:pPr>
            <w:r>
              <w:rPr>
                <w:rFonts w:ascii="Arial" w:cs="Arial" w:eastAsia="Arial" w:hAnsi="Arial"/>
                <w:sz w:val="13"/>
                <w:szCs w:val="13"/>
                <w:b w:val="1"/>
                <w:bCs w:val="1"/>
                <w:color w:val="00529B"/>
                <w:w w:val="97"/>
              </w:rPr>
              <w:t>Plan Awards</w:t>
            </w:r>
          </w:p>
        </w:tc>
        <w:tc>
          <w:tcPr>
            <w:tcW w:w="600" w:type="dxa"/>
            <w:vAlign w:val="bottom"/>
            <w:tcBorders>
              <w:bottom w:val="single" w:sz="8" w:color="00529B"/>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00529B"/>
              </w:rPr>
              <w:t>Awards:</w:t>
            </w: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00529B"/>
              </w:rPr>
              <w:t>Awards: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00529B"/>
              </w:rPr>
              <w:t>Value of</w:t>
            </w:r>
          </w:p>
        </w:tc>
        <w:tc>
          <w:tcPr>
            <w:tcW w:w="0" w:type="dxa"/>
            <w:vAlign w:val="bottom"/>
          </w:tcPr>
          <w:p>
            <w:pPr>
              <w:spacing w:after="0"/>
              <w:rPr>
                <w:sz w:val="1"/>
                <w:szCs w:val="1"/>
                <w:color w:val="auto"/>
              </w:rPr>
            </w:pPr>
          </w:p>
        </w:tc>
      </w:tr>
      <w:tr>
        <w:trPr>
          <w:trHeight w:val="104"/>
        </w:trPr>
        <w:tc>
          <w:tcPr>
            <w:tcW w:w="1360" w:type="dxa"/>
            <w:vAlign w:val="bottom"/>
            <w:vMerge w:val="restart"/>
          </w:tcPr>
          <w:p>
            <w:pPr>
              <w:ind w:left="40"/>
              <w:spacing w:after="0"/>
              <w:rPr>
                <w:sz w:val="20"/>
                <w:szCs w:val="20"/>
                <w:color w:val="auto"/>
              </w:rPr>
            </w:pPr>
            <w:r>
              <w:rPr>
                <w:rFonts w:ascii="Arial" w:cs="Arial" w:eastAsia="Arial" w:hAnsi="Arial"/>
                <w:sz w:val="13"/>
                <w:szCs w:val="13"/>
                <w:b w:val="1"/>
                <w:bCs w:val="1"/>
                <w:color w:val="00529B"/>
              </w:rPr>
              <w:t>Name/</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ind w:right="157"/>
              <w:spacing w:after="0" w:line="104" w:lineRule="exact"/>
              <w:rPr>
                <w:sz w:val="20"/>
                <w:szCs w:val="20"/>
                <w:color w:val="auto"/>
              </w:rPr>
            </w:pPr>
            <w:r>
              <w:rPr>
                <w:rFonts w:ascii="Arial" w:cs="Arial" w:eastAsia="Arial" w:hAnsi="Arial"/>
                <w:sz w:val="12"/>
                <w:szCs w:val="12"/>
                <w:b w:val="1"/>
                <w:bCs w:val="1"/>
                <w:color w:val="00529B"/>
              </w:rPr>
              <w:t># of</w:t>
            </w:r>
          </w:p>
        </w:tc>
        <w:tc>
          <w:tcPr>
            <w:tcW w:w="1080" w:type="dxa"/>
            <w:vAlign w:val="bottom"/>
          </w:tcPr>
          <w:p>
            <w:pPr>
              <w:jc w:val="right"/>
              <w:ind w:right="137"/>
              <w:spacing w:after="0" w:line="104" w:lineRule="exact"/>
              <w:rPr>
                <w:sz w:val="20"/>
                <w:szCs w:val="20"/>
                <w:color w:val="auto"/>
              </w:rPr>
            </w:pPr>
            <w:r>
              <w:rPr>
                <w:rFonts w:ascii="Arial" w:cs="Arial" w:eastAsia="Arial" w:hAnsi="Arial"/>
                <w:sz w:val="12"/>
                <w:szCs w:val="12"/>
                <w:b w:val="1"/>
                <w:bCs w:val="1"/>
                <w:color w:val="00529B"/>
              </w:rPr>
              <w:t># of</w:t>
            </w:r>
          </w:p>
        </w:tc>
        <w:tc>
          <w:tcPr>
            <w:tcW w:w="820" w:type="dxa"/>
            <w:vAlign w:val="bottom"/>
          </w:tcPr>
          <w:p>
            <w:pPr>
              <w:jc w:val="right"/>
              <w:ind w:right="38"/>
              <w:spacing w:after="0" w:line="104" w:lineRule="exact"/>
              <w:rPr>
                <w:sz w:val="20"/>
                <w:szCs w:val="20"/>
                <w:color w:val="auto"/>
              </w:rPr>
            </w:pPr>
            <w:r>
              <w:rPr>
                <w:rFonts w:ascii="Arial" w:cs="Arial" w:eastAsia="Arial" w:hAnsi="Arial"/>
                <w:sz w:val="12"/>
                <w:szCs w:val="12"/>
                <w:b w:val="1"/>
                <w:bCs w:val="1"/>
                <w:color w:val="00529B"/>
              </w:rPr>
              <w:t>Exercise</w:t>
            </w:r>
          </w:p>
        </w:tc>
        <w:tc>
          <w:tcPr>
            <w:tcW w:w="840" w:type="dxa"/>
            <w:vAlign w:val="bottom"/>
            <w:gridSpan w:val="2"/>
          </w:tcPr>
          <w:p>
            <w:pPr>
              <w:ind w:left="100"/>
              <w:spacing w:after="0" w:line="104" w:lineRule="exact"/>
              <w:rPr>
                <w:sz w:val="20"/>
                <w:szCs w:val="20"/>
                <w:color w:val="auto"/>
              </w:rPr>
            </w:pPr>
            <w:r>
              <w:rPr>
                <w:rFonts w:ascii="Arial" w:cs="Arial" w:eastAsia="Arial" w:hAnsi="Arial"/>
                <w:sz w:val="12"/>
                <w:szCs w:val="12"/>
                <w:b w:val="1"/>
                <w:bCs w:val="1"/>
                <w:color w:val="00529B"/>
              </w:rPr>
              <w:t>Stock and</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00529B"/>
              </w:rPr>
              <w:t>Grant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00529B"/>
                <w:w w:val="95"/>
              </w:rPr>
              <w:t>Threshold</w:t>
            </w:r>
          </w:p>
        </w:tc>
        <w:tc>
          <w:tcPr>
            <w:tcW w:w="280" w:type="dxa"/>
            <w:vAlign w:val="bottom"/>
          </w:tcPr>
          <w:p>
            <w:pPr>
              <w:spacing w:after="0"/>
              <w:rPr>
                <w:sz w:val="11"/>
                <w:szCs w:val="11"/>
                <w:color w:val="auto"/>
              </w:rPr>
            </w:pPr>
          </w:p>
        </w:tc>
        <w:tc>
          <w:tcPr>
            <w:tcW w:w="7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00529B"/>
              </w:rPr>
              <w:t>Target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00529B"/>
              </w:rPr>
              <w:t>Maximum</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Threshold</w:t>
            </w:r>
          </w:p>
        </w:tc>
        <w:tc>
          <w:tcPr>
            <w:tcW w:w="126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00529B"/>
              </w:rPr>
              <w:t>Target #</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00529B"/>
                <w:w w:val="96"/>
              </w:rPr>
              <w:t>Maximum</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00529B"/>
              </w:rPr>
              <w:t>Shares of</w:t>
            </w: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529B"/>
              </w:rPr>
              <w:t>Securities</w:t>
            </w:r>
          </w:p>
        </w:tc>
        <w:tc>
          <w:tcPr>
            <w:tcW w:w="82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00529B"/>
              </w:rPr>
              <w:t>Price of</w:t>
            </w:r>
          </w:p>
        </w:tc>
        <w:tc>
          <w:tcPr>
            <w:tcW w:w="18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Option</w:t>
            </w:r>
          </w:p>
        </w:tc>
        <w:tc>
          <w:tcPr>
            <w:tcW w:w="0" w:type="dxa"/>
            <w:vAlign w:val="bottom"/>
          </w:tcPr>
          <w:p>
            <w:pPr>
              <w:spacing w:after="0"/>
              <w:rPr>
                <w:sz w:val="1"/>
                <w:szCs w:val="1"/>
                <w:color w:val="auto"/>
              </w:rPr>
            </w:pPr>
          </w:p>
        </w:tc>
      </w:tr>
      <w:tr>
        <w:trPr>
          <w:trHeight w:val="135"/>
        </w:trPr>
        <w:tc>
          <w:tcPr>
            <w:tcW w:w="1360" w:type="dxa"/>
            <w:vAlign w:val="bottom"/>
          </w:tcPr>
          <w:p>
            <w:pPr>
              <w:ind w:left="40"/>
              <w:spacing w:after="0" w:line="135" w:lineRule="exact"/>
              <w:rPr>
                <w:sz w:val="20"/>
                <w:szCs w:val="20"/>
                <w:color w:val="auto"/>
              </w:rPr>
            </w:pPr>
            <w:r>
              <w:rPr>
                <w:rFonts w:ascii="Arial" w:cs="Arial" w:eastAsia="Arial" w:hAnsi="Arial"/>
                <w:sz w:val="13"/>
                <w:szCs w:val="13"/>
                <w:b w:val="1"/>
                <w:bCs w:val="1"/>
                <w:color w:val="00529B"/>
              </w:rPr>
              <w:t>Type of</w:t>
            </w: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00529B"/>
              </w:rPr>
              <w:t>Stock or</w:t>
            </w: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529B"/>
              </w:rPr>
              <w:t>Underlying</w:t>
            </w:r>
          </w:p>
        </w:tc>
        <w:tc>
          <w:tcPr>
            <w:tcW w:w="82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00529B"/>
              </w:rPr>
              <w:t>Options</w:t>
            </w:r>
          </w:p>
        </w:tc>
        <w:tc>
          <w:tcPr>
            <w:tcW w:w="18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Awards</w:t>
            </w:r>
          </w:p>
        </w:tc>
        <w:tc>
          <w:tcPr>
            <w:tcW w:w="0" w:type="dxa"/>
            <w:vAlign w:val="bottom"/>
          </w:tcPr>
          <w:p>
            <w:pPr>
              <w:spacing w:after="0"/>
              <w:rPr>
                <w:sz w:val="1"/>
                <w:szCs w:val="1"/>
                <w:color w:val="auto"/>
              </w:rPr>
            </w:pPr>
          </w:p>
        </w:tc>
      </w:tr>
      <w:tr>
        <w:trPr>
          <w:trHeight w:val="187"/>
        </w:trPr>
        <w:tc>
          <w:tcPr>
            <w:tcW w:w="1360" w:type="dxa"/>
            <w:vAlign w:val="bottom"/>
            <w:tcBorders>
              <w:bottom w:val="single" w:sz="8" w:color="00529B"/>
            </w:tcBorders>
          </w:tcPr>
          <w:p>
            <w:pPr>
              <w:ind w:left="40"/>
              <w:spacing w:after="0"/>
              <w:rPr>
                <w:sz w:val="20"/>
                <w:szCs w:val="20"/>
                <w:color w:val="auto"/>
              </w:rPr>
            </w:pPr>
            <w:r>
              <w:rPr>
                <w:rFonts w:ascii="Arial" w:cs="Arial" w:eastAsia="Arial" w:hAnsi="Arial"/>
                <w:sz w:val="13"/>
                <w:szCs w:val="13"/>
                <w:b w:val="1"/>
                <w:bCs w:val="1"/>
                <w:color w:val="00529B"/>
              </w:rPr>
              <w:t>Award</w:t>
            </w:r>
          </w:p>
        </w:tc>
        <w:tc>
          <w:tcPr>
            <w:tcW w:w="72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rPr>
              <w:t>Date</w:t>
            </w:r>
          </w:p>
        </w:tc>
        <w:tc>
          <w:tcPr>
            <w:tcW w:w="68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w:t>
            </w:r>
          </w:p>
        </w:tc>
        <w:tc>
          <w:tcPr>
            <w:tcW w:w="280" w:type="dxa"/>
            <w:vAlign w:val="bottom"/>
            <w:tcBorders>
              <w:bottom w:val="single" w:sz="8" w:color="00529B"/>
            </w:tcBorders>
          </w:tcPr>
          <w:p>
            <w:pPr>
              <w:spacing w:after="0"/>
              <w:rPr>
                <w:sz w:val="16"/>
                <w:szCs w:val="16"/>
                <w:color w:val="auto"/>
              </w:rPr>
            </w:pPr>
          </w:p>
        </w:tc>
        <w:tc>
          <w:tcPr>
            <w:tcW w:w="70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b w:val="1"/>
                <w:bCs w:val="1"/>
                <w:color w:val="00529B"/>
              </w:rPr>
              <w:t>$</w:t>
            </w:r>
          </w:p>
        </w:tc>
        <w:tc>
          <w:tcPr>
            <w:tcW w:w="780" w:type="dxa"/>
            <w:vAlign w:val="bottom"/>
            <w:tcBorders>
              <w:bottom w:val="single" w:sz="8" w:color="00529B"/>
            </w:tcBorders>
            <w:gridSpan w:val="2"/>
          </w:tcPr>
          <w:p>
            <w:pPr>
              <w:jc w:val="right"/>
              <w:ind w:right="120"/>
              <w:spacing w:after="0"/>
              <w:rPr>
                <w:sz w:val="20"/>
                <w:szCs w:val="20"/>
                <w:color w:val="auto"/>
              </w:rPr>
            </w:pPr>
            <w:r>
              <w:rPr>
                <w:rFonts w:ascii="Arial" w:cs="Arial" w:eastAsia="Arial" w:hAnsi="Arial"/>
                <w:sz w:val="13"/>
                <w:szCs w:val="13"/>
                <w:b w:val="1"/>
                <w:bCs w:val="1"/>
                <w:color w:val="00529B"/>
              </w:rPr>
              <w:t>$</w:t>
            </w:r>
          </w:p>
        </w:tc>
        <w:tc>
          <w:tcPr>
            <w:tcW w:w="94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 Shares</w:t>
            </w:r>
          </w:p>
        </w:tc>
        <w:tc>
          <w:tcPr>
            <w:tcW w:w="1260" w:type="dxa"/>
            <w:vAlign w:val="bottom"/>
            <w:tcBorders>
              <w:bottom w:val="single" w:sz="8" w:color="00529B"/>
            </w:tcBorders>
          </w:tcPr>
          <w:p>
            <w:pPr>
              <w:jc w:val="right"/>
              <w:ind w:right="377"/>
              <w:spacing w:after="0"/>
              <w:rPr>
                <w:sz w:val="20"/>
                <w:szCs w:val="20"/>
                <w:color w:val="auto"/>
              </w:rPr>
            </w:pPr>
            <w:r>
              <w:rPr>
                <w:rFonts w:ascii="Arial" w:cs="Arial" w:eastAsia="Arial" w:hAnsi="Arial"/>
                <w:sz w:val="13"/>
                <w:szCs w:val="13"/>
                <w:b w:val="1"/>
                <w:bCs w:val="1"/>
                <w:color w:val="00529B"/>
              </w:rPr>
              <w:t>Shares</w:t>
            </w:r>
          </w:p>
        </w:tc>
        <w:tc>
          <w:tcPr>
            <w:tcW w:w="800" w:type="dxa"/>
            <w:vAlign w:val="bottom"/>
            <w:tcBorders>
              <w:bottom w:val="single" w:sz="8" w:color="00529B"/>
            </w:tcBorders>
            <w:gridSpan w:val="2"/>
          </w:tcPr>
          <w:p>
            <w:pPr>
              <w:jc w:val="right"/>
              <w:ind w:right="200"/>
              <w:spacing w:after="0"/>
              <w:rPr>
                <w:sz w:val="20"/>
                <w:szCs w:val="20"/>
                <w:color w:val="auto"/>
              </w:rPr>
            </w:pPr>
            <w:r>
              <w:rPr>
                <w:rFonts w:ascii="Arial" w:cs="Arial" w:eastAsia="Arial" w:hAnsi="Arial"/>
                <w:sz w:val="13"/>
                <w:szCs w:val="13"/>
                <w:b w:val="1"/>
                <w:bCs w:val="1"/>
                <w:color w:val="00529B"/>
              </w:rPr>
              <w:t># Shares</w:t>
            </w:r>
          </w:p>
        </w:tc>
        <w:tc>
          <w:tcPr>
            <w:tcW w:w="980" w:type="dxa"/>
            <w:vAlign w:val="bottom"/>
            <w:tcBorders>
              <w:bottom w:val="single" w:sz="8" w:color="00529B"/>
            </w:tcBorders>
          </w:tcPr>
          <w:p>
            <w:pPr>
              <w:jc w:val="right"/>
              <w:ind w:right="157"/>
              <w:spacing w:after="0"/>
              <w:rPr>
                <w:sz w:val="20"/>
                <w:szCs w:val="20"/>
                <w:color w:val="auto"/>
              </w:rPr>
            </w:pPr>
            <w:r>
              <w:rPr>
                <w:rFonts w:ascii="Arial" w:cs="Arial" w:eastAsia="Arial" w:hAnsi="Arial"/>
                <w:sz w:val="13"/>
                <w:szCs w:val="13"/>
                <w:b w:val="1"/>
                <w:bCs w:val="1"/>
                <w:color w:val="00529B"/>
              </w:rPr>
              <w:t>Units</w:t>
            </w:r>
          </w:p>
        </w:tc>
        <w:tc>
          <w:tcPr>
            <w:tcW w:w="1080" w:type="dxa"/>
            <w:vAlign w:val="bottom"/>
            <w:tcBorders>
              <w:bottom w:val="single" w:sz="8" w:color="00529B"/>
            </w:tcBorders>
          </w:tcPr>
          <w:p>
            <w:pPr>
              <w:jc w:val="right"/>
              <w:ind w:right="137"/>
              <w:spacing w:after="0"/>
              <w:rPr>
                <w:sz w:val="20"/>
                <w:szCs w:val="20"/>
                <w:color w:val="auto"/>
              </w:rPr>
            </w:pPr>
            <w:r>
              <w:rPr>
                <w:rFonts w:ascii="Arial" w:cs="Arial" w:eastAsia="Arial" w:hAnsi="Arial"/>
                <w:sz w:val="13"/>
                <w:szCs w:val="13"/>
                <w:b w:val="1"/>
                <w:bCs w:val="1"/>
                <w:color w:val="00529B"/>
              </w:rPr>
              <w:t>Options</w:t>
            </w:r>
          </w:p>
        </w:tc>
        <w:tc>
          <w:tcPr>
            <w:tcW w:w="820" w:type="dxa"/>
            <w:vAlign w:val="bottom"/>
            <w:tcBorders>
              <w:bottom w:val="single" w:sz="8" w:color="00529B"/>
            </w:tcBorders>
          </w:tcPr>
          <w:p>
            <w:pPr>
              <w:jc w:val="right"/>
              <w:ind w:right="38"/>
              <w:spacing w:after="0"/>
              <w:rPr>
                <w:sz w:val="20"/>
                <w:szCs w:val="20"/>
                <w:color w:val="auto"/>
              </w:rPr>
            </w:pPr>
            <w:r>
              <w:rPr>
                <w:rFonts w:ascii="Arial" w:cs="Arial" w:eastAsia="Arial" w:hAnsi="Arial"/>
                <w:sz w:val="13"/>
                <w:szCs w:val="13"/>
                <w:b w:val="1"/>
                <w:bCs w:val="1"/>
                <w:color w:val="00529B"/>
              </w:rPr>
              <w:t>($)</w:t>
            </w:r>
          </w:p>
        </w:tc>
        <w:tc>
          <w:tcPr>
            <w:tcW w:w="180" w:type="dxa"/>
            <w:vAlign w:val="bottom"/>
            <w:tcBorders>
              <w:bottom w:val="single" w:sz="8" w:color="00529B"/>
            </w:tcBorders>
          </w:tcPr>
          <w:p>
            <w:pPr>
              <w:spacing w:after="0"/>
              <w:rPr>
                <w:sz w:val="16"/>
                <w:szCs w:val="16"/>
                <w:color w:val="auto"/>
              </w:rPr>
            </w:pPr>
          </w:p>
        </w:tc>
        <w:tc>
          <w:tcPr>
            <w:tcW w:w="66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rPr>
              <w:t>($)</w:t>
            </w:r>
          </w:p>
        </w:tc>
        <w:tc>
          <w:tcPr>
            <w:tcW w:w="0" w:type="dxa"/>
            <w:vAlign w:val="bottom"/>
          </w:tcPr>
          <w:p>
            <w:pPr>
              <w:spacing w:after="0"/>
              <w:rPr>
                <w:sz w:val="1"/>
                <w:szCs w:val="1"/>
                <w:color w:val="auto"/>
              </w:rPr>
            </w:pPr>
          </w:p>
        </w:tc>
      </w:tr>
      <w:tr>
        <w:trPr>
          <w:trHeight w:val="185"/>
        </w:trPr>
        <w:tc>
          <w:tcPr>
            <w:tcW w:w="1360" w:type="dxa"/>
            <w:vAlign w:val="bottom"/>
          </w:tcPr>
          <w:p>
            <w:pPr>
              <w:ind w:left="40"/>
              <w:spacing w:after="0"/>
              <w:rPr>
                <w:sz w:val="20"/>
                <w:szCs w:val="20"/>
                <w:color w:val="auto"/>
              </w:rPr>
            </w:pPr>
            <w:r>
              <w:rPr>
                <w:rFonts w:ascii="Arial" w:cs="Arial" w:eastAsia="Arial" w:hAnsi="Arial"/>
                <w:sz w:val="13"/>
                <w:szCs w:val="13"/>
                <w:b w:val="1"/>
                <w:bCs w:val="1"/>
                <w:color w:val="00529B"/>
              </w:rPr>
              <w:t>V. Hollub</w:t>
            </w:r>
          </w:p>
        </w:tc>
        <w:tc>
          <w:tcPr>
            <w:tcW w:w="720" w:type="dxa"/>
            <w:vAlign w:val="bottom"/>
            <w:tcBorders>
              <w:bottom w:val="single" w:sz="8" w:color="D1D2D4"/>
            </w:tcBorders>
          </w:tcPr>
          <w:p>
            <w:pPr>
              <w:spacing w:after="0"/>
              <w:rPr>
                <w:sz w:val="16"/>
                <w:szCs w:val="16"/>
                <w:color w:val="auto"/>
              </w:rPr>
            </w:pPr>
          </w:p>
        </w:tc>
        <w:tc>
          <w:tcPr>
            <w:tcW w:w="680" w:type="dxa"/>
            <w:vAlign w:val="bottom"/>
            <w:tcBorders>
              <w:bottom w:val="single" w:sz="8" w:color="D1D2D4"/>
            </w:tcBorders>
          </w:tcPr>
          <w:p>
            <w:pPr>
              <w:spacing w:after="0"/>
              <w:rPr>
                <w:sz w:val="16"/>
                <w:szCs w:val="16"/>
                <w:color w:val="auto"/>
              </w:rPr>
            </w:pPr>
          </w:p>
        </w:tc>
        <w:tc>
          <w:tcPr>
            <w:tcW w:w="280" w:type="dxa"/>
            <w:vAlign w:val="bottom"/>
            <w:tcBorders>
              <w:bottom w:val="single" w:sz="8" w:color="D1D2D4"/>
            </w:tcBorders>
          </w:tcPr>
          <w:p>
            <w:pPr>
              <w:spacing w:after="0"/>
              <w:rPr>
                <w:sz w:val="16"/>
                <w:szCs w:val="16"/>
                <w:color w:val="auto"/>
              </w:rPr>
            </w:pPr>
          </w:p>
        </w:tc>
        <w:tc>
          <w:tcPr>
            <w:tcW w:w="700" w:type="dxa"/>
            <w:vAlign w:val="bottom"/>
            <w:tcBorders>
              <w:bottom w:val="single" w:sz="8" w:color="D1D2D4"/>
            </w:tcBorders>
          </w:tcPr>
          <w:p>
            <w:pPr>
              <w:spacing w:after="0"/>
              <w:rPr>
                <w:sz w:val="16"/>
                <w:szCs w:val="16"/>
                <w:color w:val="auto"/>
              </w:rPr>
            </w:pPr>
          </w:p>
        </w:tc>
        <w:tc>
          <w:tcPr>
            <w:tcW w:w="660" w:type="dxa"/>
            <w:vAlign w:val="bottom"/>
            <w:tcBorders>
              <w:bottom w:val="single" w:sz="8" w:color="D1D2D4"/>
            </w:tcBorders>
          </w:tcPr>
          <w:p>
            <w:pPr>
              <w:spacing w:after="0"/>
              <w:rPr>
                <w:sz w:val="16"/>
                <w:szCs w:val="16"/>
                <w:color w:val="auto"/>
              </w:rPr>
            </w:pPr>
          </w:p>
        </w:tc>
        <w:tc>
          <w:tcPr>
            <w:tcW w:w="120" w:type="dxa"/>
            <w:vAlign w:val="bottom"/>
            <w:tcBorders>
              <w:bottom w:val="single" w:sz="8" w:color="D1D2D4"/>
            </w:tcBorders>
          </w:tcPr>
          <w:p>
            <w:pPr>
              <w:spacing w:after="0"/>
              <w:rPr>
                <w:sz w:val="16"/>
                <w:szCs w:val="16"/>
                <w:color w:val="auto"/>
              </w:rPr>
            </w:pPr>
          </w:p>
        </w:tc>
        <w:tc>
          <w:tcPr>
            <w:tcW w:w="940" w:type="dxa"/>
            <w:vAlign w:val="bottom"/>
            <w:tcBorders>
              <w:bottom w:val="single" w:sz="8" w:color="D1D2D4"/>
            </w:tcBorders>
          </w:tcPr>
          <w:p>
            <w:pPr>
              <w:spacing w:after="0"/>
              <w:rPr>
                <w:sz w:val="16"/>
                <w:szCs w:val="16"/>
                <w:color w:val="auto"/>
              </w:rPr>
            </w:pPr>
          </w:p>
        </w:tc>
        <w:tc>
          <w:tcPr>
            <w:tcW w:w="1260" w:type="dxa"/>
            <w:vAlign w:val="bottom"/>
            <w:tcBorders>
              <w:bottom w:val="single" w:sz="8" w:color="D1D2D4"/>
            </w:tcBorders>
          </w:tcPr>
          <w:p>
            <w:pPr>
              <w:spacing w:after="0"/>
              <w:rPr>
                <w:sz w:val="16"/>
                <w:szCs w:val="16"/>
                <w:color w:val="auto"/>
              </w:rPr>
            </w:pPr>
          </w:p>
        </w:tc>
        <w:tc>
          <w:tcPr>
            <w:tcW w:w="600" w:type="dxa"/>
            <w:vAlign w:val="bottom"/>
            <w:tcBorders>
              <w:bottom w:val="single" w:sz="8" w:color="D1D2D4"/>
            </w:tcBorders>
          </w:tcPr>
          <w:p>
            <w:pPr>
              <w:spacing w:after="0"/>
              <w:rPr>
                <w:sz w:val="16"/>
                <w:szCs w:val="16"/>
                <w:color w:val="auto"/>
              </w:rPr>
            </w:pPr>
          </w:p>
        </w:tc>
        <w:tc>
          <w:tcPr>
            <w:tcW w:w="200" w:type="dxa"/>
            <w:vAlign w:val="bottom"/>
            <w:tcBorders>
              <w:bottom w:val="single" w:sz="8" w:color="D1D2D4"/>
            </w:tcBorders>
          </w:tcPr>
          <w:p>
            <w:pPr>
              <w:spacing w:after="0"/>
              <w:rPr>
                <w:sz w:val="16"/>
                <w:szCs w:val="16"/>
                <w:color w:val="auto"/>
              </w:rPr>
            </w:pPr>
          </w:p>
        </w:tc>
        <w:tc>
          <w:tcPr>
            <w:tcW w:w="980" w:type="dxa"/>
            <w:vAlign w:val="bottom"/>
            <w:tcBorders>
              <w:bottom w:val="single" w:sz="8" w:color="D1D2D4"/>
            </w:tcBorders>
          </w:tcPr>
          <w:p>
            <w:pPr>
              <w:spacing w:after="0"/>
              <w:rPr>
                <w:sz w:val="16"/>
                <w:szCs w:val="16"/>
                <w:color w:val="auto"/>
              </w:rPr>
            </w:pPr>
          </w:p>
        </w:tc>
        <w:tc>
          <w:tcPr>
            <w:tcW w:w="1080" w:type="dxa"/>
            <w:vAlign w:val="bottom"/>
            <w:tcBorders>
              <w:bottom w:val="single" w:sz="8" w:color="D1D2D4"/>
            </w:tcBorders>
          </w:tcPr>
          <w:p>
            <w:pPr>
              <w:spacing w:after="0"/>
              <w:rPr>
                <w:sz w:val="16"/>
                <w:szCs w:val="16"/>
                <w:color w:val="auto"/>
              </w:rPr>
            </w:pPr>
          </w:p>
        </w:tc>
        <w:tc>
          <w:tcPr>
            <w:tcW w:w="820" w:type="dxa"/>
            <w:vAlign w:val="bottom"/>
            <w:tcBorders>
              <w:bottom w:val="single" w:sz="8" w:color="D1D2D4"/>
            </w:tcBorders>
          </w:tcPr>
          <w:p>
            <w:pPr>
              <w:spacing w:after="0"/>
              <w:rPr>
                <w:sz w:val="16"/>
                <w:szCs w:val="16"/>
                <w:color w:val="auto"/>
              </w:rPr>
            </w:pPr>
          </w:p>
        </w:tc>
        <w:tc>
          <w:tcPr>
            <w:tcW w:w="180" w:type="dxa"/>
            <w:vAlign w:val="bottom"/>
            <w:tcBorders>
              <w:bottom w:val="single" w:sz="8" w:color="D1D2D4"/>
            </w:tcBorders>
          </w:tcPr>
          <w:p>
            <w:pPr>
              <w:spacing w:after="0"/>
              <w:rPr>
                <w:sz w:val="16"/>
                <w:szCs w:val="16"/>
                <w:color w:val="auto"/>
              </w:rPr>
            </w:pPr>
          </w:p>
        </w:tc>
        <w:tc>
          <w:tcPr>
            <w:tcW w:w="660" w:type="dxa"/>
            <w:vAlign w:val="bottom"/>
            <w:tcBorders>
              <w:bottom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40"/>
              <w:spacing w:after="0"/>
              <w:rPr>
                <w:sz w:val="20"/>
                <w:szCs w:val="20"/>
                <w:color w:val="auto"/>
              </w:rPr>
            </w:pPr>
            <w:r>
              <w:rPr>
                <w:rFonts w:ascii="Arial" w:cs="Arial" w:eastAsia="Arial" w:hAnsi="Arial"/>
                <w:sz w:val="13"/>
                <w:szCs w:val="13"/>
                <w:color w:val="auto"/>
              </w:rPr>
              <w:t>ACI</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1D2D4"/>
            </w:tcBorders>
            <w:gridSpan w:val="2"/>
          </w:tcPr>
          <w:p>
            <w:pPr>
              <w:jc w:val="right"/>
              <w:ind w:right="117"/>
              <w:spacing w:after="0"/>
              <w:rPr>
                <w:sz w:val="20"/>
                <w:szCs w:val="20"/>
                <w:color w:val="auto"/>
              </w:rPr>
            </w:pPr>
            <w:r>
              <w:rPr>
                <w:rFonts w:ascii="Arial" w:cs="Arial" w:eastAsia="Arial" w:hAnsi="Arial"/>
                <w:sz w:val="13"/>
                <w:szCs w:val="13"/>
                <w:color w:val="auto"/>
              </w:rPr>
              <w:t>$1,950,000</w:t>
            </w:r>
          </w:p>
        </w:tc>
        <w:tc>
          <w:tcPr>
            <w:tcW w:w="780" w:type="dxa"/>
            <w:vAlign w:val="bottom"/>
            <w:tcBorders>
              <w:bottom w:val="single" w:sz="8" w:color="D1D2D4"/>
            </w:tcBorders>
            <w:gridSpan w:val="2"/>
          </w:tcPr>
          <w:p>
            <w:pPr>
              <w:jc w:val="right"/>
              <w:ind w:right="120"/>
              <w:spacing w:after="0"/>
              <w:rPr>
                <w:sz w:val="20"/>
                <w:szCs w:val="20"/>
                <w:color w:val="auto"/>
              </w:rPr>
            </w:pPr>
            <w:r>
              <w:rPr>
                <w:rFonts w:ascii="Arial" w:cs="Arial" w:eastAsia="Arial" w:hAnsi="Arial"/>
                <w:sz w:val="13"/>
                <w:szCs w:val="13"/>
                <w:color w:val="auto"/>
                <w:w w:val="98"/>
              </w:rPr>
              <w:t>$3,900,000</w:t>
            </w: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(2)</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14,179</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56,713</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113,426</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3"/>
              </w:rPr>
              <w:t>2,437,525</w:t>
            </w:r>
          </w:p>
        </w:tc>
        <w:tc>
          <w:tcPr>
            <w:tcW w:w="0" w:type="dxa"/>
            <w:vAlign w:val="bottom"/>
          </w:tcPr>
          <w:p>
            <w:pPr>
              <w:spacing w:after="0"/>
              <w:rPr>
                <w:sz w:val="1"/>
                <w:szCs w:val="1"/>
                <w:color w:val="auto"/>
              </w:rPr>
            </w:pPr>
          </w:p>
        </w:tc>
      </w:tr>
      <w:tr>
        <w:trPr>
          <w:trHeight w:val="209"/>
        </w:trPr>
        <w:tc>
          <w:tcPr>
            <w:tcW w:w="1360" w:type="dxa"/>
            <w:vAlign w:val="bottom"/>
          </w:tcPr>
          <w:p>
            <w:pPr>
              <w:ind w:left="4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(3)</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56,713</w:t>
            </w: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3"/>
              </w:rPr>
              <w:t>2,437,525</w:t>
            </w:r>
          </w:p>
        </w:tc>
        <w:tc>
          <w:tcPr>
            <w:tcW w:w="0" w:type="dxa"/>
            <w:vAlign w:val="bottom"/>
          </w:tcPr>
          <w:p>
            <w:pPr>
              <w:spacing w:after="0"/>
              <w:rPr>
                <w:sz w:val="1"/>
                <w:szCs w:val="1"/>
                <w:color w:val="auto"/>
              </w:rPr>
            </w:pPr>
          </w:p>
        </w:tc>
      </w:tr>
      <w:tr>
        <w:trPr>
          <w:trHeight w:val="209"/>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(4)</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9,795</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39,180</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78,360</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3"/>
              </w:rPr>
              <w:t>2,437,780</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D1D2D4"/>
            </w:tcBorders>
          </w:tcPr>
          <w:p>
            <w:pPr>
              <w:ind w:left="4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(5)</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104,213</w:t>
            </w:r>
          </w:p>
        </w:tc>
        <w:tc>
          <w:tcPr>
            <w:tcW w:w="82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rPr>
              <w:t>$42.98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3"/>
              </w:rPr>
              <w:t>2,437,542</w:t>
            </w:r>
          </w:p>
        </w:tc>
        <w:tc>
          <w:tcPr>
            <w:tcW w:w="0" w:type="dxa"/>
            <w:vAlign w:val="bottom"/>
          </w:tcPr>
          <w:p>
            <w:pPr>
              <w:spacing w:after="0"/>
              <w:rPr>
                <w:sz w:val="1"/>
                <w:szCs w:val="1"/>
                <w:color w:val="auto"/>
              </w:rPr>
            </w:pPr>
          </w:p>
        </w:tc>
      </w:tr>
      <w:tr>
        <w:trPr>
          <w:trHeight w:val="178"/>
        </w:trPr>
        <w:tc>
          <w:tcPr>
            <w:tcW w:w="1360" w:type="dxa"/>
            <w:vAlign w:val="bottom"/>
          </w:tcPr>
          <w:p>
            <w:pPr>
              <w:ind w:left="40"/>
              <w:spacing w:after="0"/>
              <w:rPr>
                <w:sz w:val="20"/>
                <w:szCs w:val="20"/>
                <w:color w:val="auto"/>
              </w:rPr>
            </w:pPr>
            <w:r>
              <w:rPr>
                <w:rFonts w:ascii="Arial" w:cs="Arial" w:eastAsia="Arial" w:hAnsi="Arial"/>
                <w:sz w:val="13"/>
                <w:szCs w:val="13"/>
                <w:b w:val="1"/>
                <w:bCs w:val="1"/>
                <w:color w:val="00529B"/>
              </w:rPr>
              <w:t>R. Peterson</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2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12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40"/>
              <w:spacing w:after="0"/>
              <w:rPr>
                <w:sz w:val="20"/>
                <w:szCs w:val="20"/>
                <w:color w:val="auto"/>
              </w:rPr>
            </w:pPr>
            <w:r>
              <w:rPr>
                <w:rFonts w:ascii="Arial" w:cs="Arial" w:eastAsia="Arial" w:hAnsi="Arial"/>
                <w:sz w:val="13"/>
                <w:szCs w:val="13"/>
                <w:color w:val="auto"/>
              </w:rPr>
              <w:t>ACI</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700,000</w:t>
            </w:r>
          </w:p>
        </w:tc>
        <w:tc>
          <w:tcPr>
            <w:tcW w:w="780" w:type="dxa"/>
            <w:vAlign w:val="bottom"/>
            <w:tcBorders>
              <w:bottom w:val="single" w:sz="8" w:color="D1D2D4"/>
            </w:tcBorders>
            <w:gridSpan w:val="2"/>
          </w:tcPr>
          <w:p>
            <w:pPr>
              <w:jc w:val="right"/>
              <w:ind w:right="120"/>
              <w:spacing w:after="0"/>
              <w:rPr>
                <w:sz w:val="20"/>
                <w:szCs w:val="20"/>
                <w:color w:val="auto"/>
              </w:rPr>
            </w:pPr>
            <w:r>
              <w:rPr>
                <w:rFonts w:ascii="Arial" w:cs="Arial" w:eastAsia="Arial" w:hAnsi="Arial"/>
                <w:sz w:val="13"/>
                <w:szCs w:val="13"/>
                <w:color w:val="auto"/>
                <w:w w:val="98"/>
              </w:rPr>
              <w:t>$1,400,000</w:t>
            </w: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(2)</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4,654</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18,614</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37,228</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800,030</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(3)</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18,614</w:t>
            </w: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800,030</w:t>
            </w:r>
          </w:p>
        </w:tc>
        <w:tc>
          <w:tcPr>
            <w:tcW w:w="0" w:type="dxa"/>
            <w:vAlign w:val="bottom"/>
          </w:tcPr>
          <w:p>
            <w:pPr>
              <w:spacing w:after="0"/>
              <w:rPr>
                <w:sz w:val="1"/>
                <w:szCs w:val="1"/>
                <w:color w:val="auto"/>
              </w:rPr>
            </w:pPr>
          </w:p>
        </w:tc>
      </w:tr>
      <w:tr>
        <w:trPr>
          <w:trHeight w:val="209"/>
        </w:trPr>
        <w:tc>
          <w:tcPr>
            <w:tcW w:w="1360" w:type="dxa"/>
            <w:vAlign w:val="bottom"/>
          </w:tcPr>
          <w:p>
            <w:pPr>
              <w:ind w:left="40"/>
              <w:spacing w:after="0" w:line="210" w:lineRule="exact"/>
              <w:rPr>
                <w:sz w:val="20"/>
                <w:szCs w:val="20"/>
                <w:color w:val="auto"/>
              </w:rPr>
            </w:pPr>
            <w:r>
              <w:rPr>
                <w:rFonts w:ascii="Arial" w:cs="Arial" w:eastAsia="Arial" w:hAnsi="Arial"/>
                <w:sz w:val="24"/>
                <w:szCs w:val="24"/>
                <w:color w:val="auto"/>
                <w:vertAlign w:val="subscript"/>
              </w:rPr>
              <w:t>TSR</w:t>
            </w:r>
            <w:r>
              <w:rPr>
                <w:rFonts w:ascii="Arial" w:cs="Arial" w:eastAsia="Arial" w:hAnsi="Arial"/>
                <w:sz w:val="10"/>
                <w:szCs w:val="10"/>
                <w:color w:val="auto"/>
              </w:rPr>
              <w:t>(4)</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3,215</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12,859</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25,718</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800,087</w:t>
            </w:r>
          </w:p>
        </w:tc>
        <w:tc>
          <w:tcPr>
            <w:tcW w:w="0" w:type="dxa"/>
            <w:vAlign w:val="bottom"/>
          </w:tcPr>
          <w:p>
            <w:pPr>
              <w:spacing w:after="0"/>
              <w:rPr>
                <w:sz w:val="1"/>
                <w:szCs w:val="1"/>
                <w:color w:val="auto"/>
              </w:rPr>
            </w:pPr>
          </w:p>
        </w:tc>
      </w:tr>
      <w:tr>
        <w:trPr>
          <w:trHeight w:val="209"/>
        </w:trPr>
        <w:tc>
          <w:tcPr>
            <w:tcW w:w="1360" w:type="dxa"/>
            <w:vAlign w:val="bottom"/>
            <w:tcBorders>
              <w:bottom w:val="single" w:sz="8" w:color="D1D2D4"/>
            </w:tcBorders>
          </w:tcPr>
          <w:p>
            <w:pPr>
              <w:ind w:left="4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(5)</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34,204</w:t>
            </w:r>
          </w:p>
        </w:tc>
        <w:tc>
          <w:tcPr>
            <w:tcW w:w="82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rPr>
              <w:t>$42.98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800,032</w:t>
            </w:r>
          </w:p>
        </w:tc>
        <w:tc>
          <w:tcPr>
            <w:tcW w:w="0" w:type="dxa"/>
            <w:vAlign w:val="bottom"/>
          </w:tcPr>
          <w:p>
            <w:pPr>
              <w:spacing w:after="0"/>
              <w:rPr>
                <w:sz w:val="1"/>
                <w:szCs w:val="1"/>
                <w:color w:val="auto"/>
              </w:rPr>
            </w:pPr>
          </w:p>
        </w:tc>
      </w:tr>
      <w:tr>
        <w:trPr>
          <w:trHeight w:val="179"/>
        </w:trPr>
        <w:tc>
          <w:tcPr>
            <w:tcW w:w="1360" w:type="dxa"/>
            <w:vAlign w:val="bottom"/>
          </w:tcPr>
          <w:p>
            <w:pPr>
              <w:ind w:left="40"/>
              <w:spacing w:after="0"/>
              <w:rPr>
                <w:sz w:val="20"/>
                <w:szCs w:val="20"/>
                <w:color w:val="auto"/>
              </w:rPr>
            </w:pPr>
            <w:r>
              <w:rPr>
                <w:rFonts w:ascii="Arial" w:cs="Arial" w:eastAsia="Arial" w:hAnsi="Arial"/>
                <w:sz w:val="13"/>
                <w:szCs w:val="13"/>
                <w:b w:val="1"/>
                <w:bCs w:val="1"/>
                <w:color w:val="00529B"/>
              </w:rPr>
              <w:t>P. Bennett</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2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12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40"/>
              <w:spacing w:after="0"/>
              <w:rPr>
                <w:sz w:val="20"/>
                <w:szCs w:val="20"/>
                <w:color w:val="auto"/>
              </w:rPr>
            </w:pPr>
            <w:r>
              <w:rPr>
                <w:rFonts w:ascii="Arial" w:cs="Arial" w:eastAsia="Arial" w:hAnsi="Arial"/>
                <w:sz w:val="13"/>
                <w:szCs w:val="13"/>
                <w:color w:val="auto"/>
              </w:rPr>
              <w:t>ACI</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600,000</w:t>
            </w:r>
          </w:p>
        </w:tc>
        <w:tc>
          <w:tcPr>
            <w:tcW w:w="780" w:type="dxa"/>
            <w:vAlign w:val="bottom"/>
            <w:tcBorders>
              <w:bottom w:val="single" w:sz="8" w:color="D1D2D4"/>
            </w:tcBorders>
            <w:gridSpan w:val="2"/>
          </w:tcPr>
          <w:p>
            <w:pPr>
              <w:jc w:val="right"/>
              <w:ind w:right="120"/>
              <w:spacing w:after="0"/>
              <w:rPr>
                <w:sz w:val="20"/>
                <w:szCs w:val="20"/>
                <w:color w:val="auto"/>
              </w:rPr>
            </w:pPr>
            <w:r>
              <w:rPr>
                <w:rFonts w:ascii="Arial" w:cs="Arial" w:eastAsia="Arial" w:hAnsi="Arial"/>
                <w:sz w:val="13"/>
                <w:szCs w:val="13"/>
                <w:color w:val="auto"/>
                <w:w w:val="98"/>
              </w:rPr>
              <w:t>$1,200,000</w:t>
            </w: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(2)</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2,909</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11,634</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23,268</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500,029</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(3)</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11,634</w:t>
            </w: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500,029</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(4)</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2,010</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8,037</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16,074</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500,062</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D1D2D4"/>
            </w:tcBorders>
          </w:tcPr>
          <w:p>
            <w:pPr>
              <w:ind w:left="4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(5)</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21,377</w:t>
            </w:r>
          </w:p>
        </w:tc>
        <w:tc>
          <w:tcPr>
            <w:tcW w:w="82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rPr>
              <w:t>$42.98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500,008</w:t>
            </w:r>
          </w:p>
        </w:tc>
        <w:tc>
          <w:tcPr>
            <w:tcW w:w="0" w:type="dxa"/>
            <w:vAlign w:val="bottom"/>
          </w:tcPr>
          <w:p>
            <w:pPr>
              <w:spacing w:after="0"/>
              <w:rPr>
                <w:sz w:val="1"/>
                <w:szCs w:val="1"/>
                <w:color w:val="auto"/>
              </w:rPr>
            </w:pPr>
          </w:p>
        </w:tc>
      </w:tr>
      <w:tr>
        <w:trPr>
          <w:trHeight w:val="178"/>
        </w:trPr>
        <w:tc>
          <w:tcPr>
            <w:tcW w:w="1360" w:type="dxa"/>
            <w:vAlign w:val="bottom"/>
          </w:tcPr>
          <w:p>
            <w:pPr>
              <w:ind w:left="40"/>
              <w:spacing w:after="0"/>
              <w:rPr>
                <w:sz w:val="20"/>
                <w:szCs w:val="20"/>
                <w:color w:val="auto"/>
              </w:rPr>
            </w:pPr>
            <w:r>
              <w:rPr>
                <w:rFonts w:ascii="Arial" w:cs="Arial" w:eastAsia="Arial" w:hAnsi="Arial"/>
                <w:sz w:val="13"/>
                <w:szCs w:val="13"/>
                <w:b w:val="1"/>
                <w:bCs w:val="1"/>
                <w:color w:val="00529B"/>
              </w:rPr>
              <w:t>K. Dillon</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2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12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40"/>
              <w:spacing w:after="0"/>
              <w:rPr>
                <w:sz w:val="20"/>
                <w:szCs w:val="20"/>
                <w:color w:val="auto"/>
              </w:rPr>
            </w:pPr>
            <w:r>
              <w:rPr>
                <w:rFonts w:ascii="Arial" w:cs="Arial" w:eastAsia="Arial" w:hAnsi="Arial"/>
                <w:sz w:val="13"/>
                <w:szCs w:val="13"/>
                <w:color w:val="auto"/>
              </w:rPr>
              <w:t>ACI</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825,000</w:t>
            </w:r>
          </w:p>
        </w:tc>
        <w:tc>
          <w:tcPr>
            <w:tcW w:w="780" w:type="dxa"/>
            <w:vAlign w:val="bottom"/>
            <w:tcBorders>
              <w:bottom w:val="single" w:sz="8" w:color="D1D2D4"/>
            </w:tcBorders>
            <w:gridSpan w:val="2"/>
          </w:tcPr>
          <w:p>
            <w:pPr>
              <w:jc w:val="right"/>
              <w:ind w:right="120"/>
              <w:spacing w:after="0"/>
              <w:rPr>
                <w:sz w:val="20"/>
                <w:szCs w:val="20"/>
                <w:color w:val="auto"/>
              </w:rPr>
            </w:pPr>
            <w:r>
              <w:rPr>
                <w:rFonts w:ascii="Arial" w:cs="Arial" w:eastAsia="Arial" w:hAnsi="Arial"/>
                <w:sz w:val="13"/>
                <w:szCs w:val="13"/>
                <w:color w:val="auto"/>
                <w:w w:val="98"/>
              </w:rPr>
              <w:t>$1,650,000</w:t>
            </w: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(2)</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5,090</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20,359</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40,718</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875,030</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(3)</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20,359</w:t>
            </w: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875,030</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(4)</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3,517</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14,065</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28,130</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875,124</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D1D2D4"/>
            </w:tcBorders>
          </w:tcPr>
          <w:p>
            <w:pPr>
              <w:ind w:left="4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(5)</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37,410</w:t>
            </w:r>
          </w:p>
        </w:tc>
        <w:tc>
          <w:tcPr>
            <w:tcW w:w="82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rPr>
              <w:t>$42.98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875,020</w:t>
            </w:r>
          </w:p>
        </w:tc>
        <w:tc>
          <w:tcPr>
            <w:tcW w:w="0" w:type="dxa"/>
            <w:vAlign w:val="bottom"/>
          </w:tcPr>
          <w:p>
            <w:pPr>
              <w:spacing w:after="0"/>
              <w:rPr>
                <w:sz w:val="1"/>
                <w:szCs w:val="1"/>
                <w:color w:val="auto"/>
              </w:rPr>
            </w:pPr>
          </w:p>
        </w:tc>
      </w:tr>
      <w:tr>
        <w:trPr>
          <w:trHeight w:val="178"/>
        </w:trPr>
        <w:tc>
          <w:tcPr>
            <w:tcW w:w="1360" w:type="dxa"/>
            <w:vAlign w:val="bottom"/>
          </w:tcPr>
          <w:p>
            <w:pPr>
              <w:ind w:left="40"/>
              <w:spacing w:after="0"/>
              <w:rPr>
                <w:sz w:val="20"/>
                <w:szCs w:val="20"/>
                <w:color w:val="auto"/>
              </w:rPr>
            </w:pPr>
            <w:r>
              <w:rPr>
                <w:rFonts w:ascii="Arial" w:cs="Arial" w:eastAsia="Arial" w:hAnsi="Arial"/>
                <w:sz w:val="13"/>
                <w:szCs w:val="13"/>
                <w:b w:val="1"/>
                <w:bCs w:val="1"/>
                <w:color w:val="00529B"/>
              </w:rPr>
              <w:t>R. Jackson</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2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12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40"/>
              <w:spacing w:after="0"/>
              <w:rPr>
                <w:sz w:val="20"/>
                <w:szCs w:val="20"/>
                <w:color w:val="auto"/>
              </w:rPr>
            </w:pPr>
            <w:r>
              <w:rPr>
                <w:rFonts w:ascii="Arial" w:cs="Arial" w:eastAsia="Arial" w:hAnsi="Arial"/>
                <w:sz w:val="13"/>
                <w:szCs w:val="13"/>
                <w:color w:val="auto"/>
              </w:rPr>
              <w:t>ACI</w:t>
            </w:r>
          </w:p>
        </w:tc>
        <w:tc>
          <w:tcPr>
            <w:tcW w:w="7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700,000</w:t>
            </w:r>
          </w:p>
        </w:tc>
        <w:tc>
          <w:tcPr>
            <w:tcW w:w="780" w:type="dxa"/>
            <w:vAlign w:val="bottom"/>
            <w:tcBorders>
              <w:bottom w:val="single" w:sz="8" w:color="D1D2D4"/>
            </w:tcBorders>
            <w:gridSpan w:val="2"/>
          </w:tcPr>
          <w:p>
            <w:pPr>
              <w:jc w:val="right"/>
              <w:ind w:right="120"/>
              <w:spacing w:after="0"/>
              <w:rPr>
                <w:sz w:val="20"/>
                <w:szCs w:val="20"/>
                <w:color w:val="auto"/>
              </w:rPr>
            </w:pPr>
            <w:r>
              <w:rPr>
                <w:rFonts w:ascii="Arial" w:cs="Arial" w:eastAsia="Arial" w:hAnsi="Arial"/>
                <w:sz w:val="13"/>
                <w:szCs w:val="13"/>
                <w:color w:val="auto"/>
                <w:w w:val="98"/>
              </w:rPr>
              <w:t>$1,400,000</w:t>
            </w:r>
          </w:p>
        </w:tc>
        <w:tc>
          <w:tcPr>
            <w:tcW w:w="940" w:type="dxa"/>
            <w:vAlign w:val="bottom"/>
            <w:tcBorders>
              <w:bottom w:val="single" w:sz="8" w:color="D1D2D4"/>
            </w:tcBorders>
          </w:tcPr>
          <w:p>
            <w:pPr>
              <w:spacing w:after="0"/>
              <w:rPr>
                <w:sz w:val="15"/>
                <w:szCs w:val="15"/>
                <w:color w:val="auto"/>
              </w:rPr>
            </w:pPr>
          </w:p>
        </w:tc>
        <w:tc>
          <w:tcPr>
            <w:tcW w:w="1260" w:type="dxa"/>
            <w:vAlign w:val="bottom"/>
            <w:tcBorders>
              <w:bottom w:val="single" w:sz="8" w:color="D1D2D4"/>
            </w:tcBorders>
          </w:tcPr>
          <w:p>
            <w:pPr>
              <w:spacing w:after="0"/>
              <w:rPr>
                <w:sz w:val="15"/>
                <w:szCs w:val="15"/>
                <w:color w:val="auto"/>
              </w:rPr>
            </w:pPr>
          </w:p>
        </w:tc>
        <w:tc>
          <w:tcPr>
            <w:tcW w:w="600" w:type="dxa"/>
            <w:vAlign w:val="bottom"/>
            <w:tcBorders>
              <w:bottom w:val="single" w:sz="8" w:color="D1D2D4"/>
            </w:tcBorders>
          </w:tcPr>
          <w:p>
            <w:pPr>
              <w:spacing w:after="0"/>
              <w:rPr>
                <w:sz w:val="15"/>
                <w:szCs w:val="15"/>
                <w:color w:val="auto"/>
              </w:rPr>
            </w:pPr>
          </w:p>
        </w:tc>
        <w:tc>
          <w:tcPr>
            <w:tcW w:w="200" w:type="dxa"/>
            <w:vAlign w:val="bottom"/>
            <w:tcBorders>
              <w:bottom w:val="single" w:sz="8" w:color="D1D2D4"/>
            </w:tcBorders>
          </w:tcPr>
          <w:p>
            <w:pPr>
              <w:spacing w:after="0"/>
              <w:rPr>
                <w:sz w:val="15"/>
                <w:szCs w:val="15"/>
                <w:color w:val="auto"/>
              </w:rPr>
            </w:pPr>
          </w:p>
        </w:tc>
        <w:tc>
          <w:tcPr>
            <w:tcW w:w="9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(2)</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4,654</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18,614</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37,228</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800,030</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(3)</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18,614</w:t>
            </w: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800,030</w:t>
            </w:r>
          </w:p>
        </w:tc>
        <w:tc>
          <w:tcPr>
            <w:tcW w:w="0" w:type="dxa"/>
            <w:vAlign w:val="bottom"/>
          </w:tcPr>
          <w:p>
            <w:pPr>
              <w:spacing w:after="0"/>
              <w:rPr>
                <w:sz w:val="1"/>
                <w:szCs w:val="1"/>
                <w:color w:val="auto"/>
              </w:rPr>
            </w:pPr>
          </w:p>
        </w:tc>
      </w:tr>
      <w:tr>
        <w:trPr>
          <w:trHeight w:val="210"/>
        </w:trPr>
        <w:tc>
          <w:tcPr>
            <w:tcW w:w="1360" w:type="dxa"/>
            <w:vAlign w:val="bottom"/>
          </w:tcPr>
          <w:p>
            <w:pPr>
              <w:ind w:left="4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(4)</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3,215</w:t>
            </w:r>
          </w:p>
        </w:tc>
        <w:tc>
          <w:tcPr>
            <w:tcW w:w="1260" w:type="dxa"/>
            <w:vAlign w:val="bottom"/>
            <w:tcBorders>
              <w:bottom w:val="single" w:sz="8" w:color="D1D2D4"/>
            </w:tcBorders>
          </w:tcPr>
          <w:p>
            <w:pPr>
              <w:jc w:val="right"/>
              <w:ind w:right="377"/>
              <w:spacing w:after="0"/>
              <w:rPr>
                <w:sz w:val="20"/>
                <w:szCs w:val="20"/>
                <w:color w:val="auto"/>
              </w:rPr>
            </w:pPr>
            <w:r>
              <w:rPr>
                <w:rFonts w:ascii="Arial" w:cs="Arial" w:eastAsia="Arial" w:hAnsi="Arial"/>
                <w:sz w:val="13"/>
                <w:szCs w:val="13"/>
                <w:color w:val="auto"/>
              </w:rPr>
              <w:t>12,859</w:t>
            </w:r>
          </w:p>
        </w:tc>
        <w:tc>
          <w:tcPr>
            <w:tcW w:w="800" w:type="dxa"/>
            <w:vAlign w:val="bottom"/>
            <w:tcBorders>
              <w:bottom w:val="single" w:sz="8" w:color="D1D2D4"/>
            </w:tcBorders>
            <w:gridSpan w:val="2"/>
          </w:tcPr>
          <w:p>
            <w:pPr>
              <w:jc w:val="right"/>
              <w:ind w:right="200"/>
              <w:spacing w:after="0"/>
              <w:rPr>
                <w:sz w:val="20"/>
                <w:szCs w:val="20"/>
                <w:color w:val="auto"/>
              </w:rPr>
            </w:pPr>
            <w:r>
              <w:rPr>
                <w:rFonts w:ascii="Arial" w:cs="Arial" w:eastAsia="Arial" w:hAnsi="Arial"/>
                <w:sz w:val="13"/>
                <w:szCs w:val="13"/>
                <w:color w:val="auto"/>
              </w:rPr>
              <w:t>25,718</w:t>
            </w: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800,087</w:t>
            </w:r>
          </w:p>
        </w:tc>
        <w:tc>
          <w:tcPr>
            <w:tcW w:w="0" w:type="dxa"/>
            <w:vAlign w:val="bottom"/>
          </w:tcPr>
          <w:p>
            <w:pPr>
              <w:spacing w:after="0"/>
              <w:rPr>
                <w:sz w:val="1"/>
                <w:szCs w:val="1"/>
                <w:color w:val="auto"/>
              </w:rPr>
            </w:pPr>
          </w:p>
        </w:tc>
      </w:tr>
      <w:tr>
        <w:trPr>
          <w:trHeight w:val="209"/>
        </w:trPr>
        <w:tc>
          <w:tcPr>
            <w:tcW w:w="1360" w:type="dxa"/>
            <w:vAlign w:val="bottom"/>
            <w:tcBorders>
              <w:bottom w:val="single" w:sz="8" w:color="D1D2D4"/>
            </w:tcBorders>
          </w:tcPr>
          <w:p>
            <w:pPr>
              <w:ind w:left="4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(5)</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02/11/2022</w:t>
            </w:r>
          </w:p>
        </w:tc>
        <w:tc>
          <w:tcPr>
            <w:tcW w:w="68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12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spacing w:after="0"/>
              <w:rPr>
                <w:sz w:val="18"/>
                <w:szCs w:val="18"/>
                <w:color w:val="auto"/>
              </w:rPr>
            </w:pPr>
          </w:p>
        </w:tc>
        <w:tc>
          <w:tcPr>
            <w:tcW w:w="200" w:type="dxa"/>
            <w:vAlign w:val="bottom"/>
            <w:tcBorders>
              <w:bottom w:val="single" w:sz="8" w:color="D1D2D4"/>
            </w:tcBorders>
          </w:tcPr>
          <w:p>
            <w:pPr>
              <w:spacing w:after="0"/>
              <w:rPr>
                <w:sz w:val="18"/>
                <w:szCs w:val="18"/>
                <w:color w:val="auto"/>
              </w:rPr>
            </w:pPr>
          </w:p>
        </w:tc>
        <w:tc>
          <w:tcPr>
            <w:tcW w:w="9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137"/>
              <w:spacing w:after="0"/>
              <w:rPr>
                <w:sz w:val="20"/>
                <w:szCs w:val="20"/>
                <w:color w:val="auto"/>
              </w:rPr>
            </w:pPr>
            <w:r>
              <w:rPr>
                <w:rFonts w:ascii="Arial" w:cs="Arial" w:eastAsia="Arial" w:hAnsi="Arial"/>
                <w:sz w:val="13"/>
                <w:szCs w:val="13"/>
                <w:color w:val="auto"/>
              </w:rPr>
              <w:t>34,204</w:t>
            </w:r>
          </w:p>
        </w:tc>
        <w:tc>
          <w:tcPr>
            <w:tcW w:w="82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rPr>
              <w:t>$42.98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800,032</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Tables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00529B"/>
                <w:w w:val="96"/>
              </w:rPr>
              <w:t>Estimated Possible Payouts</w:t>
            </w:r>
          </w:p>
        </w:tc>
        <w:tc>
          <w:tcPr>
            <w:tcW w:w="26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00529B"/>
                <w:w w:val="97"/>
              </w:rPr>
              <w:t>Estimated Future Payouts</w:t>
            </w:r>
          </w:p>
        </w:tc>
        <w:tc>
          <w:tcPr>
            <w:tcW w:w="880" w:type="dxa"/>
            <w:vAlign w:val="bottom"/>
          </w:tcPr>
          <w:p>
            <w:pPr>
              <w:jc w:val="right"/>
              <w:ind w:right="78"/>
              <w:spacing w:after="0"/>
              <w:rPr>
                <w:sz w:val="20"/>
                <w:szCs w:val="20"/>
                <w:color w:val="auto"/>
              </w:rPr>
            </w:pPr>
            <w:r>
              <w:rPr>
                <w:rFonts w:ascii="Arial" w:cs="Arial" w:eastAsia="Arial" w:hAnsi="Arial"/>
                <w:sz w:val="13"/>
                <w:szCs w:val="13"/>
                <w:b w:val="1"/>
                <w:bCs w:val="1"/>
                <w:color w:val="00529B"/>
              </w:rPr>
              <w:t>All Other</w:t>
            </w:r>
          </w:p>
        </w:tc>
        <w:tc>
          <w:tcPr>
            <w:tcW w:w="920" w:type="dxa"/>
            <w:vAlign w:val="bottom"/>
          </w:tcPr>
          <w:p>
            <w:pPr>
              <w:jc w:val="right"/>
              <w:ind w:right="58"/>
              <w:spacing w:after="0"/>
              <w:rPr>
                <w:sz w:val="20"/>
                <w:szCs w:val="20"/>
                <w:color w:val="auto"/>
              </w:rPr>
            </w:pPr>
            <w:r>
              <w:rPr>
                <w:rFonts w:ascii="Arial" w:cs="Arial" w:eastAsia="Arial" w:hAnsi="Arial"/>
                <w:sz w:val="13"/>
                <w:szCs w:val="13"/>
                <w:b w:val="1"/>
                <w:bCs w:val="1"/>
                <w:color w:val="00529B"/>
              </w:rPr>
              <w:t>All Other</w:t>
            </w:r>
          </w:p>
        </w:tc>
        <w:tc>
          <w:tcPr>
            <w:tcW w:w="88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00529B"/>
              </w:rPr>
              <w:t>Grant</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00529B"/>
                <w:w w:val="97"/>
              </w:rPr>
              <w:t>Under Non-Equity Incentive</w:t>
            </w:r>
          </w:p>
        </w:tc>
        <w:tc>
          <w:tcPr>
            <w:tcW w:w="26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00529B"/>
                <w:w w:val="96"/>
              </w:rPr>
              <w:t>Under Equity Incentive</w:t>
            </w:r>
          </w:p>
        </w:tc>
        <w:tc>
          <w:tcPr>
            <w:tcW w:w="880" w:type="dxa"/>
            <w:vAlign w:val="bottom"/>
          </w:tcPr>
          <w:p>
            <w:pPr>
              <w:jc w:val="right"/>
              <w:ind w:right="78"/>
              <w:spacing w:after="0"/>
              <w:rPr>
                <w:sz w:val="20"/>
                <w:szCs w:val="20"/>
                <w:color w:val="auto"/>
              </w:rPr>
            </w:pPr>
            <w:r>
              <w:rPr>
                <w:rFonts w:ascii="Arial" w:cs="Arial" w:eastAsia="Arial" w:hAnsi="Arial"/>
                <w:sz w:val="13"/>
                <w:szCs w:val="13"/>
                <w:b w:val="1"/>
                <w:bCs w:val="1"/>
                <w:color w:val="00529B"/>
              </w:rPr>
              <w:t>Stock</w:t>
            </w:r>
          </w:p>
        </w:tc>
        <w:tc>
          <w:tcPr>
            <w:tcW w:w="920" w:type="dxa"/>
            <w:vAlign w:val="bottom"/>
          </w:tcPr>
          <w:p>
            <w:pPr>
              <w:jc w:val="right"/>
              <w:ind w:right="58"/>
              <w:spacing w:after="0"/>
              <w:rPr>
                <w:sz w:val="20"/>
                <w:szCs w:val="20"/>
                <w:color w:val="auto"/>
              </w:rPr>
            </w:pPr>
            <w:r>
              <w:rPr>
                <w:rFonts w:ascii="Arial" w:cs="Arial" w:eastAsia="Arial" w:hAnsi="Arial"/>
                <w:sz w:val="13"/>
                <w:szCs w:val="13"/>
                <w:b w:val="1"/>
                <w:bCs w:val="1"/>
                <w:color w:val="00529B"/>
              </w:rPr>
              <w:t>Option</w:t>
            </w:r>
          </w:p>
        </w:tc>
        <w:tc>
          <w:tcPr>
            <w:tcW w:w="880" w:type="dxa"/>
            <w:vAlign w:val="bottom"/>
          </w:tcPr>
          <w:p>
            <w:pPr>
              <w:spacing w:after="0"/>
              <w:rPr>
                <w:sz w:val="12"/>
                <w:szCs w:val="1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00529B"/>
              </w:rPr>
              <w:t>Date Fair</w:t>
            </w: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00529B"/>
            </w:tcBorders>
          </w:tcPr>
          <w:p>
            <w:pPr>
              <w:spacing w:after="0"/>
              <w:rPr>
                <w:sz w:val="13"/>
                <w:szCs w:val="13"/>
                <w:color w:val="auto"/>
              </w:rPr>
            </w:pPr>
          </w:p>
        </w:tc>
        <w:tc>
          <w:tcPr>
            <w:tcW w:w="980" w:type="dxa"/>
            <w:vAlign w:val="bottom"/>
            <w:tcBorders>
              <w:bottom w:val="single" w:sz="8" w:color="00529B"/>
            </w:tcBorders>
            <w:gridSpan w:val="2"/>
          </w:tcPr>
          <w:p>
            <w:pPr>
              <w:jc w:val="center"/>
              <w:spacing w:after="0" w:line="149" w:lineRule="exact"/>
              <w:rPr>
                <w:sz w:val="20"/>
                <w:szCs w:val="20"/>
                <w:color w:val="auto"/>
              </w:rPr>
            </w:pPr>
            <w:r>
              <w:rPr>
                <w:rFonts w:ascii="Arial" w:cs="Arial" w:eastAsia="Arial" w:hAnsi="Arial"/>
                <w:sz w:val="11"/>
                <w:szCs w:val="11"/>
                <w:b w:val="1"/>
                <w:bCs w:val="1"/>
                <w:color w:val="00529B"/>
              </w:rPr>
              <w:t>Plan Awards</w:t>
            </w:r>
            <w:r>
              <w:rPr>
                <w:rFonts w:ascii="Arial" w:cs="Arial" w:eastAsia="Arial" w:hAnsi="Arial"/>
                <w:sz w:val="17"/>
                <w:szCs w:val="17"/>
                <w:b w:val="1"/>
                <w:bCs w:val="1"/>
                <w:color w:val="00529B"/>
                <w:vertAlign w:val="superscript"/>
              </w:rPr>
              <w:t>(1)</w:t>
            </w:r>
          </w:p>
        </w:tc>
        <w:tc>
          <w:tcPr>
            <w:tcW w:w="640" w:type="dxa"/>
            <w:vAlign w:val="bottom"/>
            <w:tcBorders>
              <w:bottom w:val="single" w:sz="8" w:color="00529B"/>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00529B"/>
            </w:tcBorders>
          </w:tcPr>
          <w:p>
            <w:pPr>
              <w:spacing w:after="0"/>
              <w:rPr>
                <w:sz w:val="13"/>
                <w:szCs w:val="13"/>
                <w:color w:val="auto"/>
              </w:rPr>
            </w:pPr>
          </w:p>
        </w:tc>
        <w:tc>
          <w:tcPr>
            <w:tcW w:w="980" w:type="dxa"/>
            <w:vAlign w:val="bottom"/>
            <w:tcBorders>
              <w:bottom w:val="single" w:sz="8" w:color="00529B"/>
            </w:tcBorders>
          </w:tcPr>
          <w:p>
            <w:pPr>
              <w:jc w:val="center"/>
              <w:spacing w:after="0"/>
              <w:rPr>
                <w:sz w:val="20"/>
                <w:szCs w:val="20"/>
                <w:color w:val="auto"/>
              </w:rPr>
            </w:pPr>
            <w:r>
              <w:rPr>
                <w:rFonts w:ascii="Arial" w:cs="Arial" w:eastAsia="Arial" w:hAnsi="Arial"/>
                <w:sz w:val="13"/>
                <w:szCs w:val="13"/>
                <w:b w:val="1"/>
                <w:bCs w:val="1"/>
                <w:color w:val="00529B"/>
                <w:w w:val="97"/>
              </w:rPr>
              <w:t>Plan Awards</w:t>
            </w:r>
          </w:p>
        </w:tc>
        <w:tc>
          <w:tcPr>
            <w:tcW w:w="700" w:type="dxa"/>
            <w:vAlign w:val="bottom"/>
            <w:tcBorders>
              <w:bottom w:val="single" w:sz="8" w:color="00529B"/>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b w:val="1"/>
                <w:bCs w:val="1"/>
                <w:color w:val="00529B"/>
              </w:rPr>
              <w:t>Awards:</w:t>
            </w:r>
          </w:p>
        </w:tc>
        <w:tc>
          <w:tcPr>
            <w:tcW w:w="920" w:type="dxa"/>
            <w:vAlign w:val="bottom"/>
          </w:tcPr>
          <w:p>
            <w:pPr>
              <w:jc w:val="right"/>
              <w:ind w:right="58"/>
              <w:spacing w:after="0"/>
              <w:rPr>
                <w:sz w:val="20"/>
                <w:szCs w:val="20"/>
                <w:color w:val="auto"/>
              </w:rPr>
            </w:pPr>
            <w:r>
              <w:rPr>
                <w:rFonts w:ascii="Arial" w:cs="Arial" w:eastAsia="Arial" w:hAnsi="Arial"/>
                <w:sz w:val="13"/>
                <w:szCs w:val="13"/>
                <w:b w:val="1"/>
                <w:bCs w:val="1"/>
                <w:color w:val="00529B"/>
              </w:rPr>
              <w:t>Awards:</w:t>
            </w:r>
          </w:p>
        </w:tc>
        <w:tc>
          <w:tcPr>
            <w:tcW w:w="880" w:type="dxa"/>
            <w:vAlign w:val="bottom"/>
          </w:tcPr>
          <w:p>
            <w:pPr>
              <w:spacing w:after="0"/>
              <w:rPr>
                <w:sz w:val="13"/>
                <w:szCs w:val="1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00529B"/>
              </w:rPr>
              <w:t>Value of</w:t>
            </w:r>
          </w:p>
        </w:tc>
        <w:tc>
          <w:tcPr>
            <w:tcW w:w="0" w:type="dxa"/>
            <w:vAlign w:val="bottom"/>
          </w:tcPr>
          <w:p>
            <w:pPr>
              <w:spacing w:after="0"/>
              <w:rPr>
                <w:sz w:val="1"/>
                <w:szCs w:val="1"/>
                <w:color w:val="auto"/>
              </w:rPr>
            </w:pPr>
          </w:p>
        </w:tc>
      </w:tr>
      <w:tr>
        <w:trPr>
          <w:trHeight w:val="104"/>
        </w:trPr>
        <w:tc>
          <w:tcPr>
            <w:tcW w:w="1860" w:type="dxa"/>
            <w:vAlign w:val="bottom"/>
            <w:vMerge w:val="restart"/>
          </w:tcPr>
          <w:p>
            <w:pPr>
              <w:ind w:left="60"/>
              <w:spacing w:after="0"/>
              <w:rPr>
                <w:sz w:val="20"/>
                <w:szCs w:val="20"/>
                <w:color w:val="auto"/>
              </w:rPr>
            </w:pPr>
            <w:r>
              <w:rPr>
                <w:rFonts w:ascii="Arial" w:cs="Arial" w:eastAsia="Arial" w:hAnsi="Arial"/>
                <w:sz w:val="13"/>
                <w:szCs w:val="13"/>
                <w:b w:val="1"/>
                <w:bCs w:val="1"/>
                <w:color w:val="00529B"/>
              </w:rPr>
              <w:t>Name/</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ind w:right="78"/>
              <w:spacing w:after="0" w:line="104" w:lineRule="exact"/>
              <w:rPr>
                <w:sz w:val="20"/>
                <w:szCs w:val="20"/>
                <w:color w:val="auto"/>
              </w:rPr>
            </w:pPr>
            <w:r>
              <w:rPr>
                <w:rFonts w:ascii="Arial" w:cs="Arial" w:eastAsia="Arial" w:hAnsi="Arial"/>
                <w:sz w:val="12"/>
                <w:szCs w:val="12"/>
                <w:b w:val="1"/>
                <w:bCs w:val="1"/>
                <w:color w:val="00529B"/>
              </w:rPr>
              <w:t># of</w:t>
            </w:r>
          </w:p>
        </w:tc>
        <w:tc>
          <w:tcPr>
            <w:tcW w:w="920" w:type="dxa"/>
            <w:vAlign w:val="bottom"/>
          </w:tcPr>
          <w:p>
            <w:pPr>
              <w:jc w:val="right"/>
              <w:ind w:right="58"/>
              <w:spacing w:after="0" w:line="104" w:lineRule="exact"/>
              <w:rPr>
                <w:sz w:val="20"/>
                <w:szCs w:val="20"/>
                <w:color w:val="auto"/>
              </w:rPr>
            </w:pPr>
            <w:r>
              <w:rPr>
                <w:rFonts w:ascii="Arial" w:cs="Arial" w:eastAsia="Arial" w:hAnsi="Arial"/>
                <w:sz w:val="12"/>
                <w:szCs w:val="12"/>
                <w:b w:val="1"/>
                <w:bCs w:val="1"/>
                <w:color w:val="00529B"/>
              </w:rPr>
              <w:t># of</w:t>
            </w:r>
          </w:p>
        </w:tc>
        <w:tc>
          <w:tcPr>
            <w:tcW w:w="880" w:type="dxa"/>
            <w:vAlign w:val="bottom"/>
          </w:tcPr>
          <w:p>
            <w:pPr>
              <w:jc w:val="right"/>
              <w:ind w:right="178"/>
              <w:spacing w:after="0" w:line="104" w:lineRule="exact"/>
              <w:rPr>
                <w:sz w:val="20"/>
                <w:szCs w:val="20"/>
                <w:color w:val="auto"/>
              </w:rPr>
            </w:pPr>
            <w:r>
              <w:rPr>
                <w:rFonts w:ascii="Arial" w:cs="Arial" w:eastAsia="Arial" w:hAnsi="Arial"/>
                <w:sz w:val="12"/>
                <w:szCs w:val="12"/>
                <w:b w:val="1"/>
                <w:bCs w:val="1"/>
                <w:color w:val="00529B"/>
              </w:rPr>
              <w:t>Exercise</w:t>
            </w:r>
          </w:p>
        </w:tc>
        <w:tc>
          <w:tcPr>
            <w:tcW w:w="940" w:type="dxa"/>
            <w:vAlign w:val="bottom"/>
          </w:tcPr>
          <w:p>
            <w:pPr>
              <w:jc w:val="right"/>
              <w:ind w:right="37"/>
              <w:spacing w:after="0" w:line="104" w:lineRule="exact"/>
              <w:rPr>
                <w:sz w:val="20"/>
                <w:szCs w:val="20"/>
                <w:color w:val="auto"/>
              </w:rPr>
            </w:pPr>
            <w:r>
              <w:rPr>
                <w:rFonts w:ascii="Arial" w:cs="Arial" w:eastAsia="Arial" w:hAnsi="Arial"/>
                <w:sz w:val="12"/>
                <w:szCs w:val="12"/>
                <w:b w:val="1"/>
                <w:bCs w:val="1"/>
                <w:color w:val="00529B"/>
              </w:rPr>
              <w:t>Stock and</w:t>
            </w:r>
          </w:p>
        </w:tc>
        <w:tc>
          <w:tcPr>
            <w:tcW w:w="0" w:type="dxa"/>
            <w:vAlign w:val="bottom"/>
          </w:tcPr>
          <w:p>
            <w:pPr>
              <w:spacing w:after="0"/>
              <w:rPr>
                <w:sz w:val="1"/>
                <w:szCs w:val="1"/>
                <w:color w:val="auto"/>
              </w:rPr>
            </w:pPr>
          </w:p>
        </w:tc>
      </w:tr>
      <w:tr>
        <w:trPr>
          <w:trHeight w:val="135"/>
        </w:trPr>
        <w:tc>
          <w:tcPr>
            <w:tcW w:w="1860" w:type="dxa"/>
            <w:vAlign w:val="bottom"/>
            <w:vMerge w:val="continue"/>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Grant</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00529B"/>
              </w:rPr>
              <w:t>Threshold</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Target</w:t>
            </w:r>
          </w:p>
        </w:tc>
        <w:tc>
          <w:tcPr>
            <w:tcW w:w="1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00529B"/>
              </w:rPr>
              <w:t>Maximum</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Threshold</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00529B"/>
              </w:rPr>
              <w:t>Target #</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00529B"/>
              </w:rPr>
              <w:t>Maximum</w:t>
            </w:r>
          </w:p>
        </w:tc>
        <w:tc>
          <w:tcPr>
            <w:tcW w:w="880" w:type="dxa"/>
            <w:vAlign w:val="bottom"/>
          </w:tcPr>
          <w:p>
            <w:pPr>
              <w:jc w:val="right"/>
              <w:ind w:right="78"/>
              <w:spacing w:after="0" w:line="135" w:lineRule="exact"/>
              <w:rPr>
                <w:sz w:val="20"/>
                <w:szCs w:val="20"/>
                <w:color w:val="auto"/>
              </w:rPr>
            </w:pPr>
            <w:r>
              <w:rPr>
                <w:rFonts w:ascii="Arial" w:cs="Arial" w:eastAsia="Arial" w:hAnsi="Arial"/>
                <w:sz w:val="13"/>
                <w:szCs w:val="13"/>
                <w:b w:val="1"/>
                <w:bCs w:val="1"/>
                <w:color w:val="00529B"/>
              </w:rPr>
              <w:t>Shares of</w:t>
            </w:r>
          </w:p>
        </w:tc>
        <w:tc>
          <w:tcPr>
            <w:tcW w:w="92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Securities</w:t>
            </w:r>
          </w:p>
        </w:tc>
        <w:tc>
          <w:tcPr>
            <w:tcW w:w="880" w:type="dxa"/>
            <w:vAlign w:val="bottom"/>
          </w:tcPr>
          <w:p>
            <w:pPr>
              <w:jc w:val="right"/>
              <w:ind w:right="178"/>
              <w:spacing w:after="0" w:line="135" w:lineRule="exact"/>
              <w:rPr>
                <w:sz w:val="20"/>
                <w:szCs w:val="20"/>
                <w:color w:val="auto"/>
              </w:rPr>
            </w:pPr>
            <w:r>
              <w:rPr>
                <w:rFonts w:ascii="Arial" w:cs="Arial" w:eastAsia="Arial" w:hAnsi="Arial"/>
                <w:sz w:val="13"/>
                <w:szCs w:val="13"/>
                <w:b w:val="1"/>
                <w:bCs w:val="1"/>
                <w:color w:val="00529B"/>
              </w:rPr>
              <w:t>Price of</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Option</w:t>
            </w:r>
          </w:p>
        </w:tc>
        <w:tc>
          <w:tcPr>
            <w:tcW w:w="0" w:type="dxa"/>
            <w:vAlign w:val="bottom"/>
          </w:tcPr>
          <w:p>
            <w:pPr>
              <w:spacing w:after="0"/>
              <w:rPr>
                <w:sz w:val="1"/>
                <w:szCs w:val="1"/>
                <w:color w:val="auto"/>
              </w:rPr>
            </w:pPr>
          </w:p>
        </w:tc>
      </w:tr>
      <w:tr>
        <w:trPr>
          <w:trHeight w:val="135"/>
        </w:trPr>
        <w:tc>
          <w:tcPr>
            <w:tcW w:w="1860" w:type="dxa"/>
            <w:vAlign w:val="bottom"/>
          </w:tcPr>
          <w:p>
            <w:pPr>
              <w:ind w:left="60"/>
              <w:spacing w:after="0" w:line="135" w:lineRule="exact"/>
              <w:rPr>
                <w:sz w:val="20"/>
                <w:szCs w:val="20"/>
                <w:color w:val="auto"/>
              </w:rPr>
            </w:pPr>
            <w:r>
              <w:rPr>
                <w:rFonts w:ascii="Arial" w:cs="Arial" w:eastAsia="Arial" w:hAnsi="Arial"/>
                <w:sz w:val="13"/>
                <w:szCs w:val="13"/>
                <w:b w:val="1"/>
                <w:bCs w:val="1"/>
                <w:color w:val="00529B"/>
              </w:rPr>
              <w:t>Type of</w:t>
            </w:r>
          </w:p>
        </w:tc>
        <w:tc>
          <w:tcPr>
            <w:tcW w:w="70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tcPr>
          <w:p>
            <w:pPr>
              <w:jc w:val="right"/>
              <w:ind w:right="78"/>
              <w:spacing w:after="0" w:line="135" w:lineRule="exact"/>
              <w:rPr>
                <w:sz w:val="20"/>
                <w:szCs w:val="20"/>
                <w:color w:val="auto"/>
              </w:rPr>
            </w:pPr>
            <w:r>
              <w:rPr>
                <w:rFonts w:ascii="Arial" w:cs="Arial" w:eastAsia="Arial" w:hAnsi="Arial"/>
                <w:sz w:val="13"/>
                <w:szCs w:val="13"/>
                <w:b w:val="1"/>
                <w:bCs w:val="1"/>
                <w:color w:val="00529B"/>
              </w:rPr>
              <w:t>Stock or</w:t>
            </w:r>
          </w:p>
        </w:tc>
        <w:tc>
          <w:tcPr>
            <w:tcW w:w="92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Underlying</w:t>
            </w:r>
          </w:p>
        </w:tc>
        <w:tc>
          <w:tcPr>
            <w:tcW w:w="880" w:type="dxa"/>
            <w:vAlign w:val="bottom"/>
          </w:tcPr>
          <w:p>
            <w:pPr>
              <w:jc w:val="right"/>
              <w:ind w:right="178"/>
              <w:spacing w:after="0" w:line="135" w:lineRule="exact"/>
              <w:rPr>
                <w:sz w:val="20"/>
                <w:szCs w:val="20"/>
                <w:color w:val="auto"/>
              </w:rPr>
            </w:pPr>
            <w:r>
              <w:rPr>
                <w:rFonts w:ascii="Arial" w:cs="Arial" w:eastAsia="Arial" w:hAnsi="Arial"/>
                <w:sz w:val="13"/>
                <w:szCs w:val="13"/>
                <w:b w:val="1"/>
                <w:bCs w:val="1"/>
                <w:color w:val="00529B"/>
              </w:rPr>
              <w:t>Options</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Awards</w:t>
            </w:r>
          </w:p>
        </w:tc>
        <w:tc>
          <w:tcPr>
            <w:tcW w:w="0" w:type="dxa"/>
            <w:vAlign w:val="bottom"/>
          </w:tcPr>
          <w:p>
            <w:pPr>
              <w:spacing w:after="0"/>
              <w:rPr>
                <w:sz w:val="1"/>
                <w:szCs w:val="1"/>
                <w:color w:val="auto"/>
              </w:rPr>
            </w:pPr>
          </w:p>
        </w:tc>
      </w:tr>
      <w:tr>
        <w:trPr>
          <w:trHeight w:val="187"/>
        </w:trPr>
        <w:tc>
          <w:tcPr>
            <w:tcW w:w="186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Award</w:t>
            </w:r>
          </w:p>
        </w:tc>
        <w:tc>
          <w:tcPr>
            <w:tcW w:w="70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Date</w:t>
            </w:r>
          </w:p>
        </w:tc>
        <w:tc>
          <w:tcPr>
            <w:tcW w:w="720" w:type="dxa"/>
            <w:vAlign w:val="bottom"/>
            <w:tcBorders>
              <w:bottom w:val="single" w:sz="8" w:color="00529B"/>
            </w:tcBorders>
            <w:gridSpan w:val="2"/>
          </w:tcPr>
          <w:p>
            <w:pPr>
              <w:jc w:val="right"/>
              <w:spacing w:after="0"/>
              <w:rPr>
                <w:sz w:val="20"/>
                <w:szCs w:val="20"/>
                <w:color w:val="auto"/>
              </w:rPr>
            </w:pPr>
            <w:r>
              <w:rPr>
                <w:rFonts w:ascii="Arial" w:cs="Arial" w:eastAsia="Arial" w:hAnsi="Arial"/>
                <w:sz w:val="13"/>
                <w:szCs w:val="13"/>
                <w:b w:val="1"/>
                <w:bCs w:val="1"/>
                <w:color w:val="00529B"/>
              </w:rPr>
              <w:t>$</w:t>
            </w:r>
          </w:p>
        </w:tc>
        <w:tc>
          <w:tcPr>
            <w:tcW w:w="8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w:t>
            </w:r>
          </w:p>
        </w:tc>
        <w:tc>
          <w:tcPr>
            <w:tcW w:w="160" w:type="dxa"/>
            <w:vAlign w:val="bottom"/>
            <w:tcBorders>
              <w:bottom w:val="single" w:sz="8" w:color="00529B"/>
            </w:tcBorders>
          </w:tcPr>
          <w:p>
            <w:pPr>
              <w:spacing w:after="0"/>
              <w:rPr>
                <w:sz w:val="16"/>
                <w:szCs w:val="16"/>
                <w:color w:val="auto"/>
              </w:rPr>
            </w:pPr>
          </w:p>
        </w:tc>
        <w:tc>
          <w:tcPr>
            <w:tcW w:w="740" w:type="dxa"/>
            <w:vAlign w:val="bottom"/>
            <w:tcBorders>
              <w:bottom w:val="single" w:sz="8" w:color="00529B"/>
            </w:tcBorders>
            <w:gridSpan w:val="2"/>
          </w:tcPr>
          <w:p>
            <w:pPr>
              <w:jc w:val="right"/>
              <w:ind w:right="100"/>
              <w:spacing w:after="0"/>
              <w:rPr>
                <w:sz w:val="20"/>
                <w:szCs w:val="20"/>
                <w:color w:val="auto"/>
              </w:rPr>
            </w:pPr>
            <w:r>
              <w:rPr>
                <w:rFonts w:ascii="Arial" w:cs="Arial" w:eastAsia="Arial" w:hAnsi="Arial"/>
                <w:sz w:val="13"/>
                <w:szCs w:val="13"/>
                <w:b w:val="1"/>
                <w:bCs w:val="1"/>
                <w:color w:val="00529B"/>
              </w:rPr>
              <w:t>$</w:t>
            </w:r>
          </w:p>
        </w:tc>
        <w:tc>
          <w:tcPr>
            <w:tcW w:w="76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 Shares</w:t>
            </w:r>
          </w:p>
        </w:tc>
        <w:tc>
          <w:tcPr>
            <w:tcW w:w="98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b w:val="1"/>
                <w:bCs w:val="1"/>
                <w:color w:val="00529B"/>
              </w:rPr>
              <w:t>Shares</w:t>
            </w:r>
          </w:p>
        </w:tc>
        <w:tc>
          <w:tcPr>
            <w:tcW w:w="880" w:type="dxa"/>
            <w:vAlign w:val="bottom"/>
            <w:tcBorders>
              <w:bottom w:val="single" w:sz="8" w:color="00529B"/>
            </w:tcBorders>
            <w:gridSpan w:val="2"/>
          </w:tcPr>
          <w:p>
            <w:pPr>
              <w:jc w:val="right"/>
              <w:ind w:right="180"/>
              <w:spacing w:after="0"/>
              <w:rPr>
                <w:sz w:val="20"/>
                <w:szCs w:val="20"/>
                <w:color w:val="auto"/>
              </w:rPr>
            </w:pPr>
            <w:r>
              <w:rPr>
                <w:rFonts w:ascii="Arial" w:cs="Arial" w:eastAsia="Arial" w:hAnsi="Arial"/>
                <w:sz w:val="13"/>
                <w:szCs w:val="13"/>
                <w:b w:val="1"/>
                <w:bCs w:val="1"/>
                <w:color w:val="00529B"/>
              </w:rPr>
              <w:t># Shares</w:t>
            </w:r>
          </w:p>
        </w:tc>
        <w:tc>
          <w:tcPr>
            <w:tcW w:w="880" w:type="dxa"/>
            <w:vAlign w:val="bottom"/>
            <w:tcBorders>
              <w:bottom w:val="single" w:sz="8" w:color="00529B"/>
            </w:tcBorders>
          </w:tcPr>
          <w:p>
            <w:pPr>
              <w:jc w:val="right"/>
              <w:ind w:right="78"/>
              <w:spacing w:after="0"/>
              <w:rPr>
                <w:sz w:val="20"/>
                <w:szCs w:val="20"/>
                <w:color w:val="auto"/>
              </w:rPr>
            </w:pPr>
            <w:r>
              <w:rPr>
                <w:rFonts w:ascii="Arial" w:cs="Arial" w:eastAsia="Arial" w:hAnsi="Arial"/>
                <w:sz w:val="13"/>
                <w:szCs w:val="13"/>
                <w:b w:val="1"/>
                <w:bCs w:val="1"/>
                <w:color w:val="00529B"/>
              </w:rPr>
              <w:t>Units</w:t>
            </w:r>
          </w:p>
        </w:tc>
        <w:tc>
          <w:tcPr>
            <w:tcW w:w="920" w:type="dxa"/>
            <w:vAlign w:val="bottom"/>
            <w:tcBorders>
              <w:bottom w:val="single" w:sz="8" w:color="00529B"/>
            </w:tcBorders>
          </w:tcPr>
          <w:p>
            <w:pPr>
              <w:jc w:val="right"/>
              <w:ind w:right="58"/>
              <w:spacing w:after="0"/>
              <w:rPr>
                <w:sz w:val="20"/>
                <w:szCs w:val="20"/>
                <w:color w:val="auto"/>
              </w:rPr>
            </w:pPr>
            <w:r>
              <w:rPr>
                <w:rFonts w:ascii="Arial" w:cs="Arial" w:eastAsia="Arial" w:hAnsi="Arial"/>
                <w:sz w:val="13"/>
                <w:szCs w:val="13"/>
                <w:b w:val="1"/>
                <w:bCs w:val="1"/>
                <w:color w:val="00529B"/>
              </w:rPr>
              <w:t>Options</w:t>
            </w:r>
          </w:p>
        </w:tc>
        <w:tc>
          <w:tcPr>
            <w:tcW w:w="880" w:type="dxa"/>
            <w:vAlign w:val="bottom"/>
            <w:tcBorders>
              <w:bottom w:val="single" w:sz="8" w:color="00529B"/>
            </w:tcBorders>
          </w:tcPr>
          <w:p>
            <w:pPr>
              <w:jc w:val="right"/>
              <w:ind w:right="178"/>
              <w:spacing w:after="0"/>
              <w:rPr>
                <w:sz w:val="20"/>
                <w:szCs w:val="20"/>
                <w:color w:val="auto"/>
              </w:rPr>
            </w:pPr>
            <w:r>
              <w:rPr>
                <w:rFonts w:ascii="Arial" w:cs="Arial" w:eastAsia="Arial" w:hAnsi="Arial"/>
                <w:sz w:val="13"/>
                <w:szCs w:val="13"/>
                <w:b w:val="1"/>
                <w:bCs w:val="1"/>
                <w:color w:val="00529B"/>
              </w:rPr>
              <w:t>($)</w:t>
            </w:r>
          </w:p>
        </w:tc>
        <w:tc>
          <w:tcPr>
            <w:tcW w:w="94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rPr>
              <w:t>($)</w:t>
            </w:r>
          </w:p>
        </w:tc>
        <w:tc>
          <w:tcPr>
            <w:tcW w:w="0" w:type="dxa"/>
            <w:vAlign w:val="bottom"/>
          </w:tcPr>
          <w:p>
            <w:pPr>
              <w:spacing w:after="0"/>
              <w:rPr>
                <w:sz w:val="1"/>
                <w:szCs w:val="1"/>
                <w:color w:val="auto"/>
              </w:rPr>
            </w:pPr>
          </w:p>
        </w:tc>
      </w:tr>
      <w:tr>
        <w:trPr>
          <w:trHeight w:val="222"/>
        </w:trPr>
        <w:tc>
          <w:tcPr>
            <w:tcW w:w="1860" w:type="dxa"/>
            <w:vAlign w:val="bottom"/>
          </w:tcPr>
          <w:p>
            <w:pPr>
              <w:ind w:left="60"/>
              <w:spacing w:after="0"/>
              <w:rPr>
                <w:sz w:val="20"/>
                <w:szCs w:val="20"/>
                <w:color w:val="auto"/>
              </w:rPr>
            </w:pPr>
            <w:r>
              <w:rPr>
                <w:rFonts w:ascii="Arial" w:cs="Arial" w:eastAsia="Arial" w:hAnsi="Arial"/>
                <w:sz w:val="13"/>
                <w:szCs w:val="13"/>
                <w:b w:val="1"/>
                <w:bCs w:val="1"/>
                <w:color w:val="00529B"/>
              </w:rPr>
              <w:t>M. Backus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ACI</w:t>
            </w:r>
          </w:p>
        </w:tc>
        <w:tc>
          <w:tcPr>
            <w:tcW w:w="700" w:type="dxa"/>
            <w:vAlign w:val="bottom"/>
            <w:tcBorders>
              <w:bottom w:val="single" w:sz="8" w:color="D1D2D4"/>
            </w:tcBorders>
          </w:tcPr>
          <w:p>
            <w:pPr>
              <w:spacing w:after="0"/>
              <w:rPr>
                <w:sz w:val="4"/>
                <w:szCs w:val="4"/>
                <w:color w:val="auto"/>
              </w:rPr>
            </w:pPr>
          </w:p>
        </w:tc>
        <w:tc>
          <w:tcPr>
            <w:tcW w:w="80" w:type="dxa"/>
            <w:vAlign w:val="bottom"/>
            <w:tcBorders>
              <w:bottom w:val="single" w:sz="8" w:color="D1D2D4"/>
            </w:tcBorders>
          </w:tcPr>
          <w:p>
            <w:pPr>
              <w:spacing w:after="0"/>
              <w:rPr>
                <w:sz w:val="4"/>
                <w:szCs w:val="4"/>
                <w:color w:val="auto"/>
              </w:rPr>
            </w:pPr>
          </w:p>
        </w:tc>
        <w:tc>
          <w:tcPr>
            <w:tcW w:w="640" w:type="dxa"/>
            <w:vAlign w:val="bottom"/>
            <w:tcBorders>
              <w:bottom w:val="single" w:sz="8" w:color="D1D2D4"/>
            </w:tcBorders>
          </w:tcPr>
          <w:p>
            <w:pPr>
              <w:spacing w:after="0"/>
              <w:rPr>
                <w:sz w:val="4"/>
                <w:szCs w:val="4"/>
                <w:color w:val="auto"/>
              </w:rPr>
            </w:pPr>
          </w:p>
        </w:tc>
        <w:tc>
          <w:tcPr>
            <w:tcW w:w="820" w:type="dxa"/>
            <w:vAlign w:val="bottom"/>
            <w:tcBorders>
              <w:bottom w:val="single" w:sz="8" w:color="D1D2D4"/>
            </w:tcBorders>
          </w:tcPr>
          <w:p>
            <w:pPr>
              <w:spacing w:after="0"/>
              <w:rPr>
                <w:sz w:val="4"/>
                <w:szCs w:val="4"/>
                <w:color w:val="auto"/>
              </w:rPr>
            </w:pPr>
          </w:p>
        </w:tc>
        <w:tc>
          <w:tcPr>
            <w:tcW w:w="160" w:type="dxa"/>
            <w:vAlign w:val="bottom"/>
            <w:tcBorders>
              <w:bottom w:val="single" w:sz="8" w:color="D1D2D4"/>
            </w:tcBorders>
          </w:tcPr>
          <w:p>
            <w:pPr>
              <w:spacing w:after="0"/>
              <w:rPr>
                <w:sz w:val="4"/>
                <w:szCs w:val="4"/>
                <w:color w:val="auto"/>
              </w:rPr>
            </w:pPr>
          </w:p>
        </w:tc>
        <w:tc>
          <w:tcPr>
            <w:tcW w:w="640" w:type="dxa"/>
            <w:vAlign w:val="bottom"/>
            <w:tcBorders>
              <w:bottom w:val="single" w:sz="8" w:color="D1D2D4"/>
            </w:tcBorders>
          </w:tcPr>
          <w:p>
            <w:pPr>
              <w:spacing w:after="0"/>
              <w:rPr>
                <w:sz w:val="4"/>
                <w:szCs w:val="4"/>
                <w:color w:val="auto"/>
              </w:rPr>
            </w:pPr>
          </w:p>
        </w:tc>
        <w:tc>
          <w:tcPr>
            <w:tcW w:w="100" w:type="dxa"/>
            <w:vAlign w:val="bottom"/>
            <w:tcBorders>
              <w:bottom w:val="single" w:sz="8" w:color="D1D2D4"/>
            </w:tcBorders>
          </w:tcPr>
          <w:p>
            <w:pPr>
              <w:spacing w:after="0"/>
              <w:rPr>
                <w:sz w:val="4"/>
                <w:szCs w:val="4"/>
                <w:color w:val="auto"/>
              </w:rPr>
            </w:pPr>
          </w:p>
        </w:tc>
        <w:tc>
          <w:tcPr>
            <w:tcW w:w="760" w:type="dxa"/>
            <w:vAlign w:val="bottom"/>
            <w:tcBorders>
              <w:bottom w:val="single" w:sz="8" w:color="D1D2D4"/>
            </w:tcBorders>
          </w:tcPr>
          <w:p>
            <w:pPr>
              <w:spacing w:after="0"/>
              <w:rPr>
                <w:sz w:val="4"/>
                <w:szCs w:val="4"/>
                <w:color w:val="auto"/>
              </w:rPr>
            </w:pPr>
          </w:p>
        </w:tc>
        <w:tc>
          <w:tcPr>
            <w:tcW w:w="980" w:type="dxa"/>
            <w:vAlign w:val="bottom"/>
            <w:tcBorders>
              <w:bottom w:val="single" w:sz="8" w:color="D1D2D4"/>
            </w:tcBorders>
          </w:tcPr>
          <w:p>
            <w:pPr>
              <w:spacing w:after="0"/>
              <w:rPr>
                <w:sz w:val="4"/>
                <w:szCs w:val="4"/>
                <w:color w:val="auto"/>
              </w:rPr>
            </w:pPr>
          </w:p>
        </w:tc>
        <w:tc>
          <w:tcPr>
            <w:tcW w:w="700" w:type="dxa"/>
            <w:vAlign w:val="bottom"/>
            <w:tcBorders>
              <w:bottom w:val="single" w:sz="8" w:color="D1D2D4"/>
            </w:tcBorders>
          </w:tcPr>
          <w:p>
            <w:pPr>
              <w:spacing w:after="0"/>
              <w:rPr>
                <w:sz w:val="4"/>
                <w:szCs w:val="4"/>
                <w:color w:val="auto"/>
              </w:rPr>
            </w:pPr>
          </w:p>
        </w:tc>
        <w:tc>
          <w:tcPr>
            <w:tcW w:w="180" w:type="dxa"/>
            <w:vAlign w:val="bottom"/>
            <w:tcBorders>
              <w:bottom w:val="single" w:sz="8" w:color="D1D2D4"/>
            </w:tcBorders>
          </w:tcPr>
          <w:p>
            <w:pPr>
              <w:spacing w:after="0"/>
              <w:rPr>
                <w:sz w:val="4"/>
                <w:szCs w:val="4"/>
                <w:color w:val="auto"/>
              </w:rPr>
            </w:pPr>
          </w:p>
        </w:tc>
        <w:tc>
          <w:tcPr>
            <w:tcW w:w="880" w:type="dxa"/>
            <w:vAlign w:val="bottom"/>
            <w:tcBorders>
              <w:bottom w:val="single" w:sz="8" w:color="D1D2D4"/>
            </w:tcBorders>
          </w:tcPr>
          <w:p>
            <w:pPr>
              <w:spacing w:after="0"/>
              <w:rPr>
                <w:sz w:val="4"/>
                <w:szCs w:val="4"/>
                <w:color w:val="auto"/>
              </w:rPr>
            </w:pPr>
          </w:p>
        </w:tc>
        <w:tc>
          <w:tcPr>
            <w:tcW w:w="920" w:type="dxa"/>
            <w:vAlign w:val="bottom"/>
            <w:tcBorders>
              <w:bottom w:val="single" w:sz="8" w:color="D1D2D4"/>
            </w:tcBorders>
          </w:tcPr>
          <w:p>
            <w:pPr>
              <w:spacing w:after="0"/>
              <w:rPr>
                <w:sz w:val="4"/>
                <w:szCs w:val="4"/>
                <w:color w:val="auto"/>
              </w:rPr>
            </w:pPr>
          </w:p>
        </w:tc>
        <w:tc>
          <w:tcPr>
            <w:tcW w:w="880" w:type="dxa"/>
            <w:vAlign w:val="bottom"/>
            <w:tcBorders>
              <w:bottom w:val="single" w:sz="8" w:color="D1D2D4"/>
            </w:tcBorders>
          </w:tcPr>
          <w:p>
            <w:pPr>
              <w:spacing w:after="0"/>
              <w:rPr>
                <w:sz w:val="4"/>
                <w:szCs w:val="4"/>
                <w:color w:val="auto"/>
              </w:rPr>
            </w:pPr>
          </w:p>
        </w:tc>
        <w:tc>
          <w:tcPr>
            <w:tcW w:w="940" w:type="dxa"/>
            <w:vAlign w:val="bottom"/>
            <w:tcBorders>
              <w:bottom w:val="single" w:sz="8" w:color="D1D2D4"/>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$825,000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1,650,000</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(2)</w:t>
            </w:r>
          </w:p>
        </w:tc>
        <w:tc>
          <w:tcPr>
            <w:tcW w:w="700" w:type="dxa"/>
            <w:vAlign w:val="bottom"/>
            <w:tcBorders>
              <w:bottom w:val="single" w:sz="8" w:color="D1D2D4"/>
            </w:tcBorders>
          </w:tcPr>
          <w:p>
            <w:pPr>
              <w:spacing w:after="0"/>
              <w:rPr>
                <w:sz w:val="4"/>
                <w:szCs w:val="4"/>
                <w:color w:val="auto"/>
              </w:rPr>
            </w:pPr>
          </w:p>
        </w:tc>
        <w:tc>
          <w:tcPr>
            <w:tcW w:w="80" w:type="dxa"/>
            <w:vAlign w:val="bottom"/>
            <w:tcBorders>
              <w:bottom w:val="single" w:sz="8" w:color="D1D2D4"/>
            </w:tcBorders>
          </w:tcPr>
          <w:p>
            <w:pPr>
              <w:spacing w:after="0"/>
              <w:rPr>
                <w:sz w:val="4"/>
                <w:szCs w:val="4"/>
                <w:color w:val="auto"/>
              </w:rPr>
            </w:pPr>
          </w:p>
        </w:tc>
        <w:tc>
          <w:tcPr>
            <w:tcW w:w="640" w:type="dxa"/>
            <w:vAlign w:val="bottom"/>
            <w:tcBorders>
              <w:bottom w:val="single" w:sz="8" w:color="D1D2D4"/>
            </w:tcBorders>
          </w:tcPr>
          <w:p>
            <w:pPr>
              <w:spacing w:after="0"/>
              <w:rPr>
                <w:sz w:val="4"/>
                <w:szCs w:val="4"/>
                <w:color w:val="auto"/>
              </w:rPr>
            </w:pPr>
          </w:p>
        </w:tc>
        <w:tc>
          <w:tcPr>
            <w:tcW w:w="820" w:type="dxa"/>
            <w:vAlign w:val="bottom"/>
            <w:tcBorders>
              <w:bottom w:val="single" w:sz="8" w:color="D1D2D4"/>
            </w:tcBorders>
          </w:tcPr>
          <w:p>
            <w:pPr>
              <w:spacing w:after="0"/>
              <w:rPr>
                <w:sz w:val="4"/>
                <w:szCs w:val="4"/>
                <w:color w:val="auto"/>
              </w:rPr>
            </w:pPr>
          </w:p>
        </w:tc>
        <w:tc>
          <w:tcPr>
            <w:tcW w:w="160" w:type="dxa"/>
            <w:vAlign w:val="bottom"/>
            <w:tcBorders>
              <w:bottom w:val="single" w:sz="8" w:color="D1D2D4"/>
            </w:tcBorders>
          </w:tcPr>
          <w:p>
            <w:pPr>
              <w:spacing w:after="0"/>
              <w:rPr>
                <w:sz w:val="4"/>
                <w:szCs w:val="4"/>
                <w:color w:val="auto"/>
              </w:rPr>
            </w:pPr>
          </w:p>
        </w:tc>
        <w:tc>
          <w:tcPr>
            <w:tcW w:w="640" w:type="dxa"/>
            <w:vAlign w:val="bottom"/>
            <w:tcBorders>
              <w:bottom w:val="single" w:sz="8" w:color="D1D2D4"/>
            </w:tcBorders>
          </w:tcPr>
          <w:p>
            <w:pPr>
              <w:spacing w:after="0"/>
              <w:rPr>
                <w:sz w:val="4"/>
                <w:szCs w:val="4"/>
                <w:color w:val="auto"/>
              </w:rPr>
            </w:pPr>
          </w:p>
        </w:tc>
        <w:tc>
          <w:tcPr>
            <w:tcW w:w="100" w:type="dxa"/>
            <w:vAlign w:val="bottom"/>
            <w:tcBorders>
              <w:bottom w:val="single" w:sz="8" w:color="D1D2D4"/>
            </w:tcBorders>
          </w:tcPr>
          <w:p>
            <w:pPr>
              <w:spacing w:after="0"/>
              <w:rPr>
                <w:sz w:val="4"/>
                <w:szCs w:val="4"/>
                <w:color w:val="auto"/>
              </w:rPr>
            </w:pPr>
          </w:p>
        </w:tc>
        <w:tc>
          <w:tcPr>
            <w:tcW w:w="760" w:type="dxa"/>
            <w:vAlign w:val="bottom"/>
            <w:tcBorders>
              <w:bottom w:val="single" w:sz="8" w:color="D1D2D4"/>
            </w:tcBorders>
          </w:tcPr>
          <w:p>
            <w:pPr>
              <w:spacing w:after="0"/>
              <w:rPr>
                <w:sz w:val="4"/>
                <w:szCs w:val="4"/>
                <w:color w:val="auto"/>
              </w:rPr>
            </w:pPr>
          </w:p>
        </w:tc>
        <w:tc>
          <w:tcPr>
            <w:tcW w:w="980" w:type="dxa"/>
            <w:vAlign w:val="bottom"/>
            <w:tcBorders>
              <w:bottom w:val="single" w:sz="8" w:color="D1D2D4"/>
            </w:tcBorders>
          </w:tcPr>
          <w:p>
            <w:pPr>
              <w:spacing w:after="0"/>
              <w:rPr>
                <w:sz w:val="4"/>
                <w:szCs w:val="4"/>
                <w:color w:val="auto"/>
              </w:rPr>
            </w:pPr>
          </w:p>
        </w:tc>
        <w:tc>
          <w:tcPr>
            <w:tcW w:w="700" w:type="dxa"/>
            <w:vAlign w:val="bottom"/>
            <w:tcBorders>
              <w:bottom w:val="single" w:sz="8" w:color="D1D2D4"/>
            </w:tcBorders>
          </w:tcPr>
          <w:p>
            <w:pPr>
              <w:spacing w:after="0"/>
              <w:rPr>
                <w:sz w:val="4"/>
                <w:szCs w:val="4"/>
                <w:color w:val="auto"/>
              </w:rPr>
            </w:pPr>
          </w:p>
        </w:tc>
        <w:tc>
          <w:tcPr>
            <w:tcW w:w="180" w:type="dxa"/>
            <w:vAlign w:val="bottom"/>
            <w:tcBorders>
              <w:bottom w:val="single" w:sz="8" w:color="D1D2D4"/>
            </w:tcBorders>
          </w:tcPr>
          <w:p>
            <w:pPr>
              <w:spacing w:after="0"/>
              <w:rPr>
                <w:sz w:val="4"/>
                <w:szCs w:val="4"/>
                <w:color w:val="auto"/>
              </w:rPr>
            </w:pPr>
          </w:p>
        </w:tc>
        <w:tc>
          <w:tcPr>
            <w:tcW w:w="880" w:type="dxa"/>
            <w:vAlign w:val="bottom"/>
            <w:tcBorders>
              <w:bottom w:val="single" w:sz="8" w:color="D1D2D4"/>
            </w:tcBorders>
          </w:tcPr>
          <w:p>
            <w:pPr>
              <w:spacing w:after="0"/>
              <w:rPr>
                <w:sz w:val="4"/>
                <w:szCs w:val="4"/>
                <w:color w:val="auto"/>
              </w:rPr>
            </w:pPr>
          </w:p>
        </w:tc>
        <w:tc>
          <w:tcPr>
            <w:tcW w:w="920" w:type="dxa"/>
            <w:vAlign w:val="bottom"/>
            <w:tcBorders>
              <w:bottom w:val="single" w:sz="8" w:color="D1D2D4"/>
            </w:tcBorders>
          </w:tcPr>
          <w:p>
            <w:pPr>
              <w:spacing w:after="0"/>
              <w:rPr>
                <w:sz w:val="4"/>
                <w:szCs w:val="4"/>
                <w:color w:val="auto"/>
              </w:rPr>
            </w:pPr>
          </w:p>
        </w:tc>
        <w:tc>
          <w:tcPr>
            <w:tcW w:w="880" w:type="dxa"/>
            <w:vAlign w:val="bottom"/>
            <w:tcBorders>
              <w:bottom w:val="single" w:sz="8" w:color="D1D2D4"/>
            </w:tcBorders>
          </w:tcPr>
          <w:p>
            <w:pPr>
              <w:spacing w:after="0"/>
              <w:rPr>
                <w:sz w:val="4"/>
                <w:szCs w:val="4"/>
                <w:color w:val="auto"/>
              </w:rPr>
            </w:pPr>
          </w:p>
        </w:tc>
        <w:tc>
          <w:tcPr>
            <w:tcW w:w="940" w:type="dxa"/>
            <w:vAlign w:val="bottom"/>
            <w:tcBorders>
              <w:bottom w:val="single" w:sz="8" w:color="D1D2D4"/>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860" w:type="dxa"/>
            <w:vAlign w:val="bottom"/>
            <w:vMerge w:val="continue"/>
          </w:tcPr>
          <w:p>
            <w:pPr>
              <w:spacing w:after="0"/>
              <w:rPr>
                <w:sz w:val="24"/>
                <w:szCs w:val="24"/>
                <w:color w:val="auto"/>
              </w:rPr>
            </w:pP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02/11/2022</w:t>
            </w:r>
          </w:p>
        </w:tc>
        <w:tc>
          <w:tcPr>
            <w:tcW w:w="8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820" w:type="dxa"/>
            <w:vAlign w:val="bottom"/>
            <w:tcBorders>
              <w:bottom w:val="single" w:sz="8" w:color="D1D2D4"/>
            </w:tcBorders>
          </w:tcPr>
          <w:p>
            <w:pPr>
              <w:spacing w:after="0"/>
              <w:rPr>
                <w:sz w:val="24"/>
                <w:szCs w:val="24"/>
                <w:color w:val="auto"/>
              </w:rPr>
            </w:pPr>
          </w:p>
        </w:tc>
        <w:tc>
          <w:tcPr>
            <w:tcW w:w="16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100" w:type="dxa"/>
            <w:vAlign w:val="bottom"/>
            <w:tcBorders>
              <w:bottom w:val="single" w:sz="8" w:color="D1D2D4"/>
            </w:tcBorders>
          </w:tcPr>
          <w:p>
            <w:pPr>
              <w:spacing w:after="0"/>
              <w:rPr>
                <w:sz w:val="24"/>
                <w:szCs w:val="24"/>
                <w:color w:val="auto"/>
              </w:rPr>
            </w:pPr>
          </w:p>
        </w:tc>
        <w:tc>
          <w:tcPr>
            <w:tcW w:w="7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4,945</w:t>
            </w:r>
          </w:p>
        </w:tc>
        <w:tc>
          <w:tcPr>
            <w:tcW w:w="9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19,777</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39,554</w:t>
            </w:r>
          </w:p>
        </w:tc>
        <w:tc>
          <w:tcPr>
            <w:tcW w:w="880" w:type="dxa"/>
            <w:vAlign w:val="bottom"/>
            <w:tcBorders>
              <w:bottom w:val="single" w:sz="8" w:color="D1D2D4"/>
            </w:tcBorders>
          </w:tcPr>
          <w:p>
            <w:pPr>
              <w:spacing w:after="0"/>
              <w:rPr>
                <w:sz w:val="24"/>
                <w:szCs w:val="24"/>
                <w:color w:val="auto"/>
              </w:rPr>
            </w:pPr>
          </w:p>
        </w:tc>
        <w:tc>
          <w:tcPr>
            <w:tcW w:w="920" w:type="dxa"/>
            <w:vAlign w:val="bottom"/>
            <w:tcBorders>
              <w:bottom w:val="single" w:sz="8" w:color="D1D2D4"/>
            </w:tcBorders>
          </w:tcPr>
          <w:p>
            <w:pPr>
              <w:spacing w:after="0"/>
              <w:rPr>
                <w:sz w:val="24"/>
                <w:szCs w:val="24"/>
                <w:color w:val="auto"/>
              </w:rPr>
            </w:pPr>
          </w:p>
        </w:tc>
        <w:tc>
          <w:tcPr>
            <w:tcW w:w="880" w:type="dxa"/>
            <w:vAlign w:val="bottom"/>
            <w:tcBorders>
              <w:bottom w:val="single" w:sz="8" w:color="D1D2D4"/>
            </w:tcBorders>
          </w:tcPr>
          <w:p>
            <w:pPr>
              <w:spacing w:after="0"/>
              <w:rPr>
                <w:sz w:val="24"/>
                <w:szCs w:val="24"/>
                <w:color w:val="auto"/>
              </w:rPr>
            </w:pPr>
          </w:p>
        </w:tc>
        <w:tc>
          <w:tcPr>
            <w:tcW w:w="9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$850,015</w:t>
            </w:r>
          </w:p>
        </w:tc>
        <w:tc>
          <w:tcPr>
            <w:tcW w:w="0" w:type="dxa"/>
            <w:vAlign w:val="bottom"/>
          </w:tcPr>
          <w:p>
            <w:pPr>
              <w:spacing w:after="0"/>
              <w:rPr>
                <w:sz w:val="1"/>
                <w:szCs w:val="1"/>
                <w:color w:val="auto"/>
              </w:rPr>
            </w:pPr>
          </w:p>
        </w:tc>
      </w:tr>
      <w:tr>
        <w:trPr>
          <w:trHeight w:val="290"/>
        </w:trPr>
        <w:tc>
          <w:tcPr>
            <w:tcW w:w="1860" w:type="dxa"/>
            <w:vAlign w:val="bottom"/>
          </w:tcPr>
          <w:p>
            <w:pPr>
              <w:ind w:left="60"/>
              <w:spacing w:after="0"/>
              <w:rPr>
                <w:sz w:val="20"/>
                <w:szCs w:val="20"/>
                <w:color w:val="auto"/>
              </w:rPr>
            </w:pPr>
            <w:r>
              <w:rPr>
                <w:rFonts w:ascii="Arial" w:cs="Arial" w:eastAsia="Arial" w:hAnsi="Arial"/>
                <w:sz w:val="25"/>
                <w:szCs w:val="25"/>
                <w:color w:val="auto"/>
                <w:vertAlign w:val="subscript"/>
              </w:rPr>
              <w:t>RSU</w:t>
            </w:r>
            <w:r>
              <w:rPr>
                <w:rFonts w:ascii="Arial" w:cs="Arial" w:eastAsia="Arial" w:hAnsi="Arial"/>
                <w:sz w:val="10"/>
                <w:szCs w:val="10"/>
                <w:color w:val="auto"/>
              </w:rPr>
              <w:t>(3)</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02/11/2022</w:t>
            </w:r>
          </w:p>
        </w:tc>
        <w:tc>
          <w:tcPr>
            <w:tcW w:w="8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820" w:type="dxa"/>
            <w:vAlign w:val="bottom"/>
            <w:tcBorders>
              <w:bottom w:val="single" w:sz="8" w:color="D1D2D4"/>
            </w:tcBorders>
          </w:tcPr>
          <w:p>
            <w:pPr>
              <w:spacing w:after="0"/>
              <w:rPr>
                <w:sz w:val="24"/>
                <w:szCs w:val="24"/>
                <w:color w:val="auto"/>
              </w:rPr>
            </w:pPr>
          </w:p>
        </w:tc>
        <w:tc>
          <w:tcPr>
            <w:tcW w:w="16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100" w:type="dxa"/>
            <w:vAlign w:val="bottom"/>
            <w:tcBorders>
              <w:bottom w:val="single" w:sz="8" w:color="D1D2D4"/>
            </w:tcBorders>
          </w:tcPr>
          <w:p>
            <w:pPr>
              <w:spacing w:after="0"/>
              <w:rPr>
                <w:sz w:val="24"/>
                <w:szCs w:val="24"/>
                <w:color w:val="auto"/>
              </w:rPr>
            </w:pPr>
          </w:p>
        </w:tc>
        <w:tc>
          <w:tcPr>
            <w:tcW w:w="760" w:type="dxa"/>
            <w:vAlign w:val="bottom"/>
            <w:tcBorders>
              <w:bottom w:val="single" w:sz="8" w:color="D1D2D4"/>
            </w:tcBorders>
          </w:tcPr>
          <w:p>
            <w:pPr>
              <w:spacing w:after="0"/>
              <w:rPr>
                <w:sz w:val="24"/>
                <w:szCs w:val="24"/>
                <w:color w:val="auto"/>
              </w:rPr>
            </w:pPr>
          </w:p>
        </w:tc>
        <w:tc>
          <w:tcPr>
            <w:tcW w:w="980" w:type="dxa"/>
            <w:vAlign w:val="bottom"/>
            <w:tcBorders>
              <w:bottom w:val="single" w:sz="8" w:color="D1D2D4"/>
            </w:tcBorders>
          </w:tcPr>
          <w:p>
            <w:pPr>
              <w:spacing w:after="0"/>
              <w:rPr>
                <w:sz w:val="24"/>
                <w:szCs w:val="24"/>
                <w:color w:val="auto"/>
              </w:rPr>
            </w:pPr>
          </w:p>
        </w:tc>
        <w:tc>
          <w:tcPr>
            <w:tcW w:w="700" w:type="dxa"/>
            <w:vAlign w:val="bottom"/>
            <w:tcBorders>
              <w:bottom w:val="single" w:sz="8" w:color="D1D2D4"/>
            </w:tcBorders>
          </w:tcPr>
          <w:p>
            <w:pPr>
              <w:spacing w:after="0"/>
              <w:rPr>
                <w:sz w:val="24"/>
                <w:szCs w:val="24"/>
                <w:color w:val="auto"/>
              </w:rPr>
            </w:pPr>
          </w:p>
        </w:tc>
        <w:tc>
          <w:tcPr>
            <w:tcW w:w="180" w:type="dxa"/>
            <w:vAlign w:val="bottom"/>
            <w:tcBorders>
              <w:bottom w:val="single" w:sz="8" w:color="D1D2D4"/>
            </w:tcBorders>
          </w:tcPr>
          <w:p>
            <w:pPr>
              <w:spacing w:after="0"/>
              <w:rPr>
                <w:sz w:val="24"/>
                <w:szCs w:val="24"/>
                <w:color w:val="auto"/>
              </w:rPr>
            </w:pPr>
          </w:p>
        </w:tc>
        <w:tc>
          <w:tcPr>
            <w:tcW w:w="880" w:type="dxa"/>
            <w:vAlign w:val="bottom"/>
            <w:tcBorders>
              <w:bottom w:val="single" w:sz="8" w:color="D1D2D4"/>
            </w:tcBorders>
          </w:tcPr>
          <w:p>
            <w:pPr>
              <w:jc w:val="right"/>
              <w:ind w:right="78"/>
              <w:spacing w:after="0"/>
              <w:rPr>
                <w:sz w:val="20"/>
                <w:szCs w:val="20"/>
                <w:color w:val="auto"/>
              </w:rPr>
            </w:pPr>
            <w:r>
              <w:rPr>
                <w:rFonts w:ascii="Arial" w:cs="Arial" w:eastAsia="Arial" w:hAnsi="Arial"/>
                <w:sz w:val="13"/>
                <w:szCs w:val="13"/>
                <w:color w:val="auto"/>
              </w:rPr>
              <w:t>19,777</w:t>
            </w:r>
          </w:p>
        </w:tc>
        <w:tc>
          <w:tcPr>
            <w:tcW w:w="920" w:type="dxa"/>
            <w:vAlign w:val="bottom"/>
            <w:tcBorders>
              <w:bottom w:val="single" w:sz="8" w:color="D1D2D4"/>
            </w:tcBorders>
          </w:tcPr>
          <w:p>
            <w:pPr>
              <w:spacing w:after="0"/>
              <w:rPr>
                <w:sz w:val="24"/>
                <w:szCs w:val="24"/>
                <w:color w:val="auto"/>
              </w:rPr>
            </w:pPr>
          </w:p>
        </w:tc>
        <w:tc>
          <w:tcPr>
            <w:tcW w:w="880" w:type="dxa"/>
            <w:vAlign w:val="bottom"/>
            <w:tcBorders>
              <w:bottom w:val="single" w:sz="8" w:color="D1D2D4"/>
            </w:tcBorders>
          </w:tcPr>
          <w:p>
            <w:pPr>
              <w:spacing w:after="0"/>
              <w:rPr>
                <w:sz w:val="24"/>
                <w:szCs w:val="24"/>
                <w:color w:val="auto"/>
              </w:rPr>
            </w:pPr>
          </w:p>
        </w:tc>
        <w:tc>
          <w:tcPr>
            <w:tcW w:w="9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$850,015</w:t>
            </w:r>
          </w:p>
        </w:tc>
        <w:tc>
          <w:tcPr>
            <w:tcW w:w="0" w:type="dxa"/>
            <w:vAlign w:val="bottom"/>
          </w:tcPr>
          <w:p>
            <w:pPr>
              <w:spacing w:after="0"/>
              <w:rPr>
                <w:sz w:val="1"/>
                <w:szCs w:val="1"/>
                <w:color w:val="auto"/>
              </w:rPr>
            </w:pPr>
          </w:p>
        </w:tc>
      </w:tr>
      <w:tr>
        <w:trPr>
          <w:trHeight w:val="291"/>
        </w:trPr>
        <w:tc>
          <w:tcPr>
            <w:tcW w:w="1860" w:type="dxa"/>
            <w:vAlign w:val="bottom"/>
          </w:tcPr>
          <w:p>
            <w:pPr>
              <w:ind w:left="60"/>
              <w:spacing w:after="0"/>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(4)</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02/11/2022</w:t>
            </w:r>
          </w:p>
        </w:tc>
        <w:tc>
          <w:tcPr>
            <w:tcW w:w="8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820" w:type="dxa"/>
            <w:vAlign w:val="bottom"/>
            <w:tcBorders>
              <w:bottom w:val="single" w:sz="8" w:color="D1D2D4"/>
            </w:tcBorders>
          </w:tcPr>
          <w:p>
            <w:pPr>
              <w:spacing w:after="0"/>
              <w:rPr>
                <w:sz w:val="24"/>
                <w:szCs w:val="24"/>
                <w:color w:val="auto"/>
              </w:rPr>
            </w:pPr>
          </w:p>
        </w:tc>
        <w:tc>
          <w:tcPr>
            <w:tcW w:w="16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100" w:type="dxa"/>
            <w:vAlign w:val="bottom"/>
            <w:tcBorders>
              <w:bottom w:val="single" w:sz="8" w:color="D1D2D4"/>
            </w:tcBorders>
          </w:tcPr>
          <w:p>
            <w:pPr>
              <w:spacing w:after="0"/>
              <w:rPr>
                <w:sz w:val="24"/>
                <w:szCs w:val="24"/>
                <w:color w:val="auto"/>
              </w:rPr>
            </w:pPr>
          </w:p>
        </w:tc>
        <w:tc>
          <w:tcPr>
            <w:tcW w:w="7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3,416</w:t>
            </w:r>
          </w:p>
        </w:tc>
        <w:tc>
          <w:tcPr>
            <w:tcW w:w="9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13,663</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27,326</w:t>
            </w:r>
          </w:p>
        </w:tc>
        <w:tc>
          <w:tcPr>
            <w:tcW w:w="880" w:type="dxa"/>
            <w:vAlign w:val="bottom"/>
            <w:tcBorders>
              <w:bottom w:val="single" w:sz="8" w:color="D1D2D4"/>
            </w:tcBorders>
          </w:tcPr>
          <w:p>
            <w:pPr>
              <w:spacing w:after="0"/>
              <w:rPr>
                <w:sz w:val="24"/>
                <w:szCs w:val="24"/>
                <w:color w:val="auto"/>
              </w:rPr>
            </w:pPr>
          </w:p>
        </w:tc>
        <w:tc>
          <w:tcPr>
            <w:tcW w:w="920" w:type="dxa"/>
            <w:vAlign w:val="bottom"/>
            <w:tcBorders>
              <w:bottom w:val="single" w:sz="8" w:color="D1D2D4"/>
            </w:tcBorders>
          </w:tcPr>
          <w:p>
            <w:pPr>
              <w:spacing w:after="0"/>
              <w:rPr>
                <w:sz w:val="24"/>
                <w:szCs w:val="24"/>
                <w:color w:val="auto"/>
              </w:rPr>
            </w:pPr>
          </w:p>
        </w:tc>
        <w:tc>
          <w:tcPr>
            <w:tcW w:w="880" w:type="dxa"/>
            <w:vAlign w:val="bottom"/>
            <w:tcBorders>
              <w:bottom w:val="single" w:sz="8" w:color="D1D2D4"/>
            </w:tcBorders>
          </w:tcPr>
          <w:p>
            <w:pPr>
              <w:spacing w:after="0"/>
              <w:rPr>
                <w:sz w:val="24"/>
                <w:szCs w:val="24"/>
                <w:color w:val="auto"/>
              </w:rPr>
            </w:pPr>
          </w:p>
        </w:tc>
        <w:tc>
          <w:tcPr>
            <w:tcW w:w="9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$850,112</w:t>
            </w:r>
          </w:p>
        </w:tc>
        <w:tc>
          <w:tcPr>
            <w:tcW w:w="0" w:type="dxa"/>
            <w:vAlign w:val="bottom"/>
          </w:tcPr>
          <w:p>
            <w:pPr>
              <w:spacing w:after="0"/>
              <w:rPr>
                <w:sz w:val="1"/>
                <w:szCs w:val="1"/>
                <w:color w:val="auto"/>
              </w:rPr>
            </w:pPr>
          </w:p>
        </w:tc>
      </w:tr>
      <w:tr>
        <w:trPr>
          <w:trHeight w:val="291"/>
        </w:trPr>
        <w:tc>
          <w:tcPr>
            <w:tcW w:w="1860" w:type="dxa"/>
            <w:vAlign w:val="bottom"/>
          </w:tcPr>
          <w:p>
            <w:pPr>
              <w:ind w:left="60"/>
              <w:spacing w:after="0"/>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(5)</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02/11/2022</w:t>
            </w:r>
          </w:p>
        </w:tc>
        <w:tc>
          <w:tcPr>
            <w:tcW w:w="8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820" w:type="dxa"/>
            <w:vAlign w:val="bottom"/>
            <w:tcBorders>
              <w:bottom w:val="single" w:sz="8" w:color="D1D2D4"/>
            </w:tcBorders>
          </w:tcPr>
          <w:p>
            <w:pPr>
              <w:spacing w:after="0"/>
              <w:rPr>
                <w:sz w:val="24"/>
                <w:szCs w:val="24"/>
                <w:color w:val="auto"/>
              </w:rPr>
            </w:pPr>
          </w:p>
        </w:tc>
        <w:tc>
          <w:tcPr>
            <w:tcW w:w="160" w:type="dxa"/>
            <w:vAlign w:val="bottom"/>
            <w:tcBorders>
              <w:bottom w:val="single" w:sz="8" w:color="D1D2D4"/>
            </w:tcBorders>
          </w:tcPr>
          <w:p>
            <w:pPr>
              <w:spacing w:after="0"/>
              <w:rPr>
                <w:sz w:val="24"/>
                <w:szCs w:val="24"/>
                <w:color w:val="auto"/>
              </w:rPr>
            </w:pPr>
          </w:p>
        </w:tc>
        <w:tc>
          <w:tcPr>
            <w:tcW w:w="640" w:type="dxa"/>
            <w:vAlign w:val="bottom"/>
            <w:tcBorders>
              <w:bottom w:val="single" w:sz="8" w:color="D1D2D4"/>
            </w:tcBorders>
          </w:tcPr>
          <w:p>
            <w:pPr>
              <w:spacing w:after="0"/>
              <w:rPr>
                <w:sz w:val="24"/>
                <w:szCs w:val="24"/>
                <w:color w:val="auto"/>
              </w:rPr>
            </w:pPr>
          </w:p>
        </w:tc>
        <w:tc>
          <w:tcPr>
            <w:tcW w:w="100" w:type="dxa"/>
            <w:vAlign w:val="bottom"/>
            <w:tcBorders>
              <w:bottom w:val="single" w:sz="8" w:color="D1D2D4"/>
            </w:tcBorders>
          </w:tcPr>
          <w:p>
            <w:pPr>
              <w:spacing w:after="0"/>
              <w:rPr>
                <w:sz w:val="24"/>
                <w:szCs w:val="24"/>
                <w:color w:val="auto"/>
              </w:rPr>
            </w:pPr>
          </w:p>
        </w:tc>
        <w:tc>
          <w:tcPr>
            <w:tcW w:w="760" w:type="dxa"/>
            <w:vAlign w:val="bottom"/>
            <w:tcBorders>
              <w:bottom w:val="single" w:sz="8" w:color="D1D2D4"/>
            </w:tcBorders>
          </w:tcPr>
          <w:p>
            <w:pPr>
              <w:spacing w:after="0"/>
              <w:rPr>
                <w:sz w:val="24"/>
                <w:szCs w:val="24"/>
                <w:color w:val="auto"/>
              </w:rPr>
            </w:pPr>
          </w:p>
        </w:tc>
        <w:tc>
          <w:tcPr>
            <w:tcW w:w="980" w:type="dxa"/>
            <w:vAlign w:val="bottom"/>
            <w:tcBorders>
              <w:bottom w:val="single" w:sz="8" w:color="D1D2D4"/>
            </w:tcBorders>
          </w:tcPr>
          <w:p>
            <w:pPr>
              <w:spacing w:after="0"/>
              <w:rPr>
                <w:sz w:val="24"/>
                <w:szCs w:val="24"/>
                <w:color w:val="auto"/>
              </w:rPr>
            </w:pPr>
          </w:p>
        </w:tc>
        <w:tc>
          <w:tcPr>
            <w:tcW w:w="700" w:type="dxa"/>
            <w:vAlign w:val="bottom"/>
            <w:tcBorders>
              <w:bottom w:val="single" w:sz="8" w:color="D1D2D4"/>
            </w:tcBorders>
          </w:tcPr>
          <w:p>
            <w:pPr>
              <w:spacing w:after="0"/>
              <w:rPr>
                <w:sz w:val="24"/>
                <w:szCs w:val="24"/>
                <w:color w:val="auto"/>
              </w:rPr>
            </w:pPr>
          </w:p>
        </w:tc>
        <w:tc>
          <w:tcPr>
            <w:tcW w:w="180" w:type="dxa"/>
            <w:vAlign w:val="bottom"/>
            <w:tcBorders>
              <w:bottom w:val="single" w:sz="8" w:color="D1D2D4"/>
            </w:tcBorders>
          </w:tcPr>
          <w:p>
            <w:pPr>
              <w:spacing w:after="0"/>
              <w:rPr>
                <w:sz w:val="24"/>
                <w:szCs w:val="24"/>
                <w:color w:val="auto"/>
              </w:rPr>
            </w:pPr>
          </w:p>
        </w:tc>
        <w:tc>
          <w:tcPr>
            <w:tcW w:w="880" w:type="dxa"/>
            <w:vAlign w:val="bottom"/>
            <w:tcBorders>
              <w:bottom w:val="single" w:sz="8" w:color="D1D2D4"/>
            </w:tcBorders>
          </w:tcPr>
          <w:p>
            <w:pPr>
              <w:spacing w:after="0"/>
              <w:rPr>
                <w:sz w:val="24"/>
                <w:szCs w:val="24"/>
                <w:color w:val="auto"/>
              </w:rPr>
            </w:pPr>
          </w:p>
        </w:tc>
        <w:tc>
          <w:tcPr>
            <w:tcW w:w="9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36,341</w:t>
            </w:r>
          </w:p>
        </w:tc>
        <w:tc>
          <w:tcPr>
            <w:tcW w:w="880" w:type="dxa"/>
            <w:vAlign w:val="bottom"/>
            <w:tcBorders>
              <w:bottom w:val="single" w:sz="8" w:color="D1D2D4"/>
            </w:tcBorders>
          </w:tcPr>
          <w:p>
            <w:pPr>
              <w:jc w:val="right"/>
              <w:ind w:right="178"/>
              <w:spacing w:after="0"/>
              <w:rPr>
                <w:sz w:val="20"/>
                <w:szCs w:val="20"/>
                <w:color w:val="auto"/>
              </w:rPr>
            </w:pPr>
            <w:r>
              <w:rPr>
                <w:rFonts w:ascii="Arial" w:cs="Arial" w:eastAsia="Arial" w:hAnsi="Arial"/>
                <w:sz w:val="13"/>
                <w:szCs w:val="13"/>
                <w:color w:val="auto"/>
              </w:rPr>
              <w:t>$42.98</w:t>
            </w:r>
          </w:p>
        </w:tc>
        <w:tc>
          <w:tcPr>
            <w:tcW w:w="9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$850,016</w:t>
            </w:r>
          </w:p>
        </w:tc>
        <w:tc>
          <w:tcPr>
            <w:tcW w:w="0" w:type="dxa"/>
            <w:vAlign w:val="bottom"/>
          </w:tcPr>
          <w:p>
            <w:pPr>
              <w:spacing w:after="0"/>
              <w:rPr>
                <w:sz w:val="1"/>
                <w:szCs w:val="1"/>
                <w:color w:val="auto"/>
              </w:rPr>
            </w:pPr>
          </w:p>
        </w:tc>
      </w:tr>
      <w:tr>
        <w:trPr>
          <w:trHeight w:val="172"/>
        </w:trPr>
        <w:tc>
          <w:tcPr>
            <w:tcW w:w="1860" w:type="dxa"/>
            <w:vAlign w:val="bottom"/>
          </w:tcPr>
          <w:p>
            <w:pPr>
              <w:ind w:left="60"/>
              <w:spacing w:after="0"/>
              <w:rPr>
                <w:sz w:val="20"/>
                <w:szCs w:val="20"/>
                <w:color w:val="auto"/>
              </w:rPr>
            </w:pPr>
            <w:r>
              <w:rPr>
                <w:rFonts w:ascii="Arial" w:cs="Arial" w:eastAsia="Arial" w:hAnsi="Arial"/>
                <w:sz w:val="13"/>
                <w:szCs w:val="13"/>
                <w:color w:val="auto"/>
              </w:rPr>
              <w:t>2022 RSU</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09/29/2022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78"/>
              <w:spacing w:after="0"/>
              <w:rPr>
                <w:sz w:val="20"/>
                <w:szCs w:val="20"/>
                <w:color w:val="auto"/>
              </w:rPr>
            </w:pPr>
            <w:r>
              <w:rPr>
                <w:rFonts w:ascii="Arial" w:cs="Arial" w:eastAsia="Arial" w:hAnsi="Arial"/>
                <w:sz w:val="13"/>
                <w:szCs w:val="13"/>
                <w:color w:val="auto"/>
              </w:rPr>
              <w:t>13,172</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$818,113</w:t>
            </w:r>
          </w:p>
        </w:tc>
        <w:tc>
          <w:tcPr>
            <w:tcW w:w="0" w:type="dxa"/>
            <w:vAlign w:val="bottom"/>
          </w:tcPr>
          <w:p>
            <w:pPr>
              <w:spacing w:after="0"/>
              <w:rPr>
                <w:sz w:val="1"/>
                <w:szCs w:val="1"/>
                <w:color w:val="auto"/>
              </w:rPr>
            </w:pPr>
          </w:p>
        </w:tc>
      </w:tr>
      <w:tr>
        <w:trPr>
          <w:trHeight w:val="253"/>
        </w:trPr>
        <w:tc>
          <w:tcPr>
            <w:tcW w:w="1860" w:type="dxa"/>
            <w:vAlign w:val="bottom"/>
          </w:tcPr>
          <w:p>
            <w:pPr>
              <w:ind w:left="60"/>
              <w:spacing w:after="0"/>
              <w:rPr>
                <w:sz w:val="20"/>
                <w:szCs w:val="20"/>
                <w:color w:val="auto"/>
              </w:rPr>
            </w:pPr>
            <w:r>
              <w:rPr>
                <w:rFonts w:ascii="Arial" w:cs="Arial" w:eastAsia="Arial" w:hAnsi="Arial"/>
                <w:sz w:val="13"/>
                <w:szCs w:val="13"/>
                <w:color w:val="auto"/>
              </w:rPr>
              <w:t>Modification</w:t>
            </w:r>
            <w:r>
              <w:rPr>
                <w:rFonts w:ascii="Arial" w:cs="Arial" w:eastAsia="Arial" w:hAnsi="Arial"/>
                <w:sz w:val="20"/>
                <w:szCs w:val="20"/>
                <w:color w:val="auto"/>
                <w:vertAlign w:val="superscript"/>
              </w:rPr>
              <w:t>(6)</w:t>
            </w:r>
          </w:p>
        </w:tc>
        <w:tc>
          <w:tcPr>
            <w:tcW w:w="700" w:type="dxa"/>
            <w:vAlign w:val="bottom"/>
            <w:tcBorders>
              <w:bottom w:val="single" w:sz="8" w:color="D1D2D4"/>
            </w:tcBorders>
            <w:vMerge w:val="continue"/>
          </w:tcPr>
          <w:p>
            <w:pPr>
              <w:spacing w:after="0"/>
              <w:rPr>
                <w:sz w:val="22"/>
                <w:szCs w:val="22"/>
                <w:color w:val="auto"/>
              </w:rPr>
            </w:pPr>
          </w:p>
        </w:tc>
        <w:tc>
          <w:tcPr>
            <w:tcW w:w="8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tcPr>
          <w:p>
            <w:pPr>
              <w:spacing w:after="0"/>
              <w:rPr>
                <w:sz w:val="22"/>
                <w:szCs w:val="22"/>
                <w:color w:val="auto"/>
              </w:rPr>
            </w:pPr>
          </w:p>
        </w:tc>
        <w:tc>
          <w:tcPr>
            <w:tcW w:w="820" w:type="dxa"/>
            <w:vAlign w:val="bottom"/>
            <w:tcBorders>
              <w:bottom w:val="single" w:sz="8" w:color="D1D2D4"/>
            </w:tcBorders>
          </w:tcPr>
          <w:p>
            <w:pPr>
              <w:spacing w:after="0"/>
              <w:rPr>
                <w:sz w:val="22"/>
                <w:szCs w:val="22"/>
                <w:color w:val="auto"/>
              </w:rPr>
            </w:pPr>
          </w:p>
        </w:tc>
        <w:tc>
          <w:tcPr>
            <w:tcW w:w="16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tcPr>
          <w:p>
            <w:pPr>
              <w:spacing w:after="0"/>
              <w:rPr>
                <w:sz w:val="22"/>
                <w:szCs w:val="22"/>
                <w:color w:val="auto"/>
              </w:rPr>
            </w:pPr>
          </w:p>
        </w:tc>
        <w:tc>
          <w:tcPr>
            <w:tcW w:w="100" w:type="dxa"/>
            <w:vAlign w:val="bottom"/>
            <w:tcBorders>
              <w:bottom w:val="single" w:sz="8" w:color="D1D2D4"/>
            </w:tcBorders>
          </w:tcPr>
          <w:p>
            <w:pPr>
              <w:spacing w:after="0"/>
              <w:rPr>
                <w:sz w:val="22"/>
                <w:szCs w:val="22"/>
                <w:color w:val="auto"/>
              </w:rPr>
            </w:pPr>
          </w:p>
        </w:tc>
        <w:tc>
          <w:tcPr>
            <w:tcW w:w="760" w:type="dxa"/>
            <w:vAlign w:val="bottom"/>
            <w:tcBorders>
              <w:bottom w:val="single" w:sz="8" w:color="D1D2D4"/>
            </w:tcBorders>
          </w:tcPr>
          <w:p>
            <w:pPr>
              <w:spacing w:after="0"/>
              <w:rPr>
                <w:sz w:val="22"/>
                <w:szCs w:val="22"/>
                <w:color w:val="auto"/>
              </w:rPr>
            </w:pPr>
          </w:p>
        </w:tc>
        <w:tc>
          <w:tcPr>
            <w:tcW w:w="980" w:type="dxa"/>
            <w:vAlign w:val="bottom"/>
            <w:tcBorders>
              <w:bottom w:val="single" w:sz="8" w:color="D1D2D4"/>
            </w:tcBorders>
          </w:tcPr>
          <w:p>
            <w:pPr>
              <w:spacing w:after="0"/>
              <w:rPr>
                <w:sz w:val="22"/>
                <w:szCs w:val="22"/>
                <w:color w:val="auto"/>
              </w:rPr>
            </w:pPr>
          </w:p>
        </w:tc>
        <w:tc>
          <w:tcPr>
            <w:tcW w:w="700" w:type="dxa"/>
            <w:vAlign w:val="bottom"/>
            <w:tcBorders>
              <w:bottom w:val="single" w:sz="8" w:color="D1D2D4"/>
            </w:tcBorders>
          </w:tcPr>
          <w:p>
            <w:pPr>
              <w:spacing w:after="0"/>
              <w:rPr>
                <w:sz w:val="22"/>
                <w:szCs w:val="22"/>
                <w:color w:val="auto"/>
              </w:rPr>
            </w:pPr>
          </w:p>
        </w:tc>
        <w:tc>
          <w:tcPr>
            <w:tcW w:w="180" w:type="dxa"/>
            <w:vAlign w:val="bottom"/>
            <w:tcBorders>
              <w:bottom w:val="single" w:sz="8" w:color="D1D2D4"/>
            </w:tcBorders>
          </w:tcPr>
          <w:p>
            <w:pPr>
              <w:spacing w:after="0"/>
              <w:rPr>
                <w:sz w:val="22"/>
                <w:szCs w:val="22"/>
                <w:color w:val="auto"/>
              </w:rPr>
            </w:pPr>
          </w:p>
        </w:tc>
        <w:tc>
          <w:tcPr>
            <w:tcW w:w="880" w:type="dxa"/>
            <w:vAlign w:val="bottom"/>
            <w:tcBorders>
              <w:bottom w:val="single" w:sz="8" w:color="D1D2D4"/>
            </w:tcBorders>
            <w:vMerge w:val="continue"/>
          </w:tcPr>
          <w:p>
            <w:pPr>
              <w:spacing w:after="0"/>
              <w:rPr>
                <w:sz w:val="22"/>
                <w:szCs w:val="22"/>
                <w:color w:val="auto"/>
              </w:rPr>
            </w:pPr>
          </w:p>
        </w:tc>
        <w:tc>
          <w:tcPr>
            <w:tcW w:w="920" w:type="dxa"/>
            <w:vAlign w:val="bottom"/>
            <w:tcBorders>
              <w:bottom w:val="single" w:sz="8" w:color="D1D2D4"/>
            </w:tcBorders>
          </w:tcPr>
          <w:p>
            <w:pPr>
              <w:spacing w:after="0"/>
              <w:rPr>
                <w:sz w:val="22"/>
                <w:szCs w:val="22"/>
                <w:color w:val="auto"/>
              </w:rPr>
            </w:pPr>
          </w:p>
        </w:tc>
        <w:tc>
          <w:tcPr>
            <w:tcW w:w="880" w:type="dxa"/>
            <w:vAlign w:val="bottom"/>
            <w:tcBorders>
              <w:bottom w:val="single" w:sz="8" w:color="D1D2D4"/>
            </w:tcBorders>
          </w:tcPr>
          <w:p>
            <w:pPr>
              <w:spacing w:after="0"/>
              <w:rPr>
                <w:sz w:val="22"/>
                <w:szCs w:val="22"/>
                <w:color w:val="auto"/>
              </w:rPr>
            </w:pPr>
          </w:p>
        </w:tc>
        <w:tc>
          <w:tcPr>
            <w:tcW w:w="940" w:type="dxa"/>
            <w:vAlign w:val="bottom"/>
            <w:tcBorders>
              <w:bottom w:val="single" w:sz="8" w:color="D1D2D4"/>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860" w:type="dxa"/>
            <w:vAlign w:val="bottom"/>
          </w:tcPr>
          <w:p>
            <w:pPr>
              <w:ind w:left="60"/>
              <w:spacing w:after="0"/>
              <w:rPr>
                <w:sz w:val="20"/>
                <w:szCs w:val="20"/>
                <w:color w:val="auto"/>
              </w:rPr>
            </w:pPr>
            <w:r>
              <w:rPr>
                <w:rFonts w:ascii="Arial" w:cs="Arial" w:eastAsia="Arial" w:hAnsi="Arial"/>
                <w:sz w:val="13"/>
                <w:szCs w:val="13"/>
                <w:color w:val="auto"/>
              </w:rPr>
              <w:t>2021 RSU</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09/29/2022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78"/>
              <w:spacing w:after="0"/>
              <w:rPr>
                <w:sz w:val="20"/>
                <w:szCs w:val="20"/>
                <w:color w:val="auto"/>
              </w:rPr>
            </w:pPr>
            <w:r>
              <w:rPr>
                <w:rFonts w:ascii="Arial" w:cs="Arial" w:eastAsia="Arial" w:hAnsi="Arial"/>
                <w:sz w:val="13"/>
                <w:szCs w:val="13"/>
                <w:color w:val="auto"/>
              </w:rPr>
              <w:t>9,819</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$609,858</w:t>
            </w:r>
          </w:p>
        </w:tc>
        <w:tc>
          <w:tcPr>
            <w:tcW w:w="0" w:type="dxa"/>
            <w:vAlign w:val="bottom"/>
          </w:tcPr>
          <w:p>
            <w:pPr>
              <w:spacing w:after="0"/>
              <w:rPr>
                <w:sz w:val="1"/>
                <w:szCs w:val="1"/>
                <w:color w:val="auto"/>
              </w:rPr>
            </w:pPr>
          </w:p>
        </w:tc>
      </w:tr>
      <w:tr>
        <w:trPr>
          <w:trHeight w:val="253"/>
        </w:trPr>
        <w:tc>
          <w:tcPr>
            <w:tcW w:w="1860" w:type="dxa"/>
            <w:vAlign w:val="bottom"/>
          </w:tcPr>
          <w:p>
            <w:pPr>
              <w:ind w:left="60"/>
              <w:spacing w:after="0"/>
              <w:rPr>
                <w:sz w:val="20"/>
                <w:szCs w:val="20"/>
                <w:color w:val="auto"/>
              </w:rPr>
            </w:pPr>
            <w:r>
              <w:rPr>
                <w:rFonts w:ascii="Arial" w:cs="Arial" w:eastAsia="Arial" w:hAnsi="Arial"/>
                <w:sz w:val="13"/>
                <w:szCs w:val="13"/>
                <w:color w:val="auto"/>
              </w:rPr>
              <w:t>Modification</w:t>
            </w:r>
            <w:r>
              <w:rPr>
                <w:rFonts w:ascii="Arial" w:cs="Arial" w:eastAsia="Arial" w:hAnsi="Arial"/>
                <w:sz w:val="20"/>
                <w:szCs w:val="20"/>
                <w:color w:val="auto"/>
                <w:vertAlign w:val="superscript"/>
              </w:rPr>
              <w:t>(6)</w:t>
            </w:r>
          </w:p>
        </w:tc>
        <w:tc>
          <w:tcPr>
            <w:tcW w:w="700" w:type="dxa"/>
            <w:vAlign w:val="bottom"/>
            <w:tcBorders>
              <w:bottom w:val="single" w:sz="8" w:color="D1D2D4"/>
            </w:tcBorders>
            <w:vMerge w:val="continue"/>
          </w:tcPr>
          <w:p>
            <w:pPr>
              <w:spacing w:after="0"/>
              <w:rPr>
                <w:sz w:val="22"/>
                <w:szCs w:val="22"/>
                <w:color w:val="auto"/>
              </w:rPr>
            </w:pPr>
          </w:p>
        </w:tc>
        <w:tc>
          <w:tcPr>
            <w:tcW w:w="8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tcPr>
          <w:p>
            <w:pPr>
              <w:spacing w:after="0"/>
              <w:rPr>
                <w:sz w:val="22"/>
                <w:szCs w:val="22"/>
                <w:color w:val="auto"/>
              </w:rPr>
            </w:pPr>
          </w:p>
        </w:tc>
        <w:tc>
          <w:tcPr>
            <w:tcW w:w="820" w:type="dxa"/>
            <w:vAlign w:val="bottom"/>
            <w:tcBorders>
              <w:bottom w:val="single" w:sz="8" w:color="D1D2D4"/>
            </w:tcBorders>
          </w:tcPr>
          <w:p>
            <w:pPr>
              <w:spacing w:after="0"/>
              <w:rPr>
                <w:sz w:val="22"/>
                <w:szCs w:val="22"/>
                <w:color w:val="auto"/>
              </w:rPr>
            </w:pPr>
          </w:p>
        </w:tc>
        <w:tc>
          <w:tcPr>
            <w:tcW w:w="16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tcPr>
          <w:p>
            <w:pPr>
              <w:spacing w:after="0"/>
              <w:rPr>
                <w:sz w:val="22"/>
                <w:szCs w:val="22"/>
                <w:color w:val="auto"/>
              </w:rPr>
            </w:pPr>
          </w:p>
        </w:tc>
        <w:tc>
          <w:tcPr>
            <w:tcW w:w="100" w:type="dxa"/>
            <w:vAlign w:val="bottom"/>
            <w:tcBorders>
              <w:bottom w:val="single" w:sz="8" w:color="D1D2D4"/>
            </w:tcBorders>
          </w:tcPr>
          <w:p>
            <w:pPr>
              <w:spacing w:after="0"/>
              <w:rPr>
                <w:sz w:val="22"/>
                <w:szCs w:val="22"/>
                <w:color w:val="auto"/>
              </w:rPr>
            </w:pPr>
          </w:p>
        </w:tc>
        <w:tc>
          <w:tcPr>
            <w:tcW w:w="760" w:type="dxa"/>
            <w:vAlign w:val="bottom"/>
            <w:tcBorders>
              <w:bottom w:val="single" w:sz="8" w:color="D1D2D4"/>
            </w:tcBorders>
          </w:tcPr>
          <w:p>
            <w:pPr>
              <w:spacing w:after="0"/>
              <w:rPr>
                <w:sz w:val="22"/>
                <w:szCs w:val="22"/>
                <w:color w:val="auto"/>
              </w:rPr>
            </w:pPr>
          </w:p>
        </w:tc>
        <w:tc>
          <w:tcPr>
            <w:tcW w:w="980" w:type="dxa"/>
            <w:vAlign w:val="bottom"/>
            <w:tcBorders>
              <w:bottom w:val="single" w:sz="8" w:color="D1D2D4"/>
            </w:tcBorders>
          </w:tcPr>
          <w:p>
            <w:pPr>
              <w:spacing w:after="0"/>
              <w:rPr>
                <w:sz w:val="22"/>
                <w:szCs w:val="22"/>
                <w:color w:val="auto"/>
              </w:rPr>
            </w:pPr>
          </w:p>
        </w:tc>
        <w:tc>
          <w:tcPr>
            <w:tcW w:w="700" w:type="dxa"/>
            <w:vAlign w:val="bottom"/>
            <w:tcBorders>
              <w:bottom w:val="single" w:sz="8" w:color="D1D2D4"/>
            </w:tcBorders>
          </w:tcPr>
          <w:p>
            <w:pPr>
              <w:spacing w:after="0"/>
              <w:rPr>
                <w:sz w:val="22"/>
                <w:szCs w:val="22"/>
                <w:color w:val="auto"/>
              </w:rPr>
            </w:pPr>
          </w:p>
        </w:tc>
        <w:tc>
          <w:tcPr>
            <w:tcW w:w="180" w:type="dxa"/>
            <w:vAlign w:val="bottom"/>
            <w:tcBorders>
              <w:bottom w:val="single" w:sz="8" w:color="D1D2D4"/>
            </w:tcBorders>
          </w:tcPr>
          <w:p>
            <w:pPr>
              <w:spacing w:after="0"/>
              <w:rPr>
                <w:sz w:val="22"/>
                <w:szCs w:val="22"/>
                <w:color w:val="auto"/>
              </w:rPr>
            </w:pPr>
          </w:p>
        </w:tc>
        <w:tc>
          <w:tcPr>
            <w:tcW w:w="880" w:type="dxa"/>
            <w:vAlign w:val="bottom"/>
            <w:tcBorders>
              <w:bottom w:val="single" w:sz="8" w:color="D1D2D4"/>
            </w:tcBorders>
            <w:vMerge w:val="continue"/>
          </w:tcPr>
          <w:p>
            <w:pPr>
              <w:spacing w:after="0"/>
              <w:rPr>
                <w:sz w:val="22"/>
                <w:szCs w:val="22"/>
                <w:color w:val="auto"/>
              </w:rPr>
            </w:pPr>
          </w:p>
        </w:tc>
        <w:tc>
          <w:tcPr>
            <w:tcW w:w="920" w:type="dxa"/>
            <w:vAlign w:val="bottom"/>
            <w:tcBorders>
              <w:bottom w:val="single" w:sz="8" w:color="D1D2D4"/>
            </w:tcBorders>
          </w:tcPr>
          <w:p>
            <w:pPr>
              <w:spacing w:after="0"/>
              <w:rPr>
                <w:sz w:val="22"/>
                <w:szCs w:val="22"/>
                <w:color w:val="auto"/>
              </w:rPr>
            </w:pPr>
          </w:p>
        </w:tc>
        <w:tc>
          <w:tcPr>
            <w:tcW w:w="880" w:type="dxa"/>
            <w:vAlign w:val="bottom"/>
            <w:tcBorders>
              <w:bottom w:val="single" w:sz="8" w:color="D1D2D4"/>
            </w:tcBorders>
          </w:tcPr>
          <w:p>
            <w:pPr>
              <w:spacing w:after="0"/>
              <w:rPr>
                <w:sz w:val="22"/>
                <w:szCs w:val="22"/>
                <w:color w:val="auto"/>
              </w:rPr>
            </w:pPr>
          </w:p>
        </w:tc>
        <w:tc>
          <w:tcPr>
            <w:tcW w:w="940" w:type="dxa"/>
            <w:vAlign w:val="bottom"/>
            <w:tcBorders>
              <w:bottom w:val="single" w:sz="8" w:color="D1D2D4"/>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860" w:type="dxa"/>
            <w:vAlign w:val="bottom"/>
          </w:tcPr>
          <w:p>
            <w:pPr>
              <w:ind w:left="60"/>
              <w:spacing w:after="0"/>
              <w:rPr>
                <w:sz w:val="20"/>
                <w:szCs w:val="20"/>
                <w:color w:val="auto"/>
              </w:rPr>
            </w:pPr>
            <w:r>
              <w:rPr>
                <w:rFonts w:ascii="Arial" w:cs="Arial" w:eastAsia="Arial" w:hAnsi="Arial"/>
                <w:sz w:val="13"/>
                <w:szCs w:val="13"/>
                <w:color w:val="auto"/>
              </w:rPr>
              <w:t>2022 NQSO</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09/29/2022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3"/>
                <w:szCs w:val="13"/>
                <w:color w:val="auto"/>
              </w:rPr>
              <w:t>24,205</w:t>
            </w:r>
          </w:p>
        </w:tc>
        <w:tc>
          <w:tcPr>
            <w:tcW w:w="880" w:type="dxa"/>
            <w:vAlign w:val="bottom"/>
            <w:vMerge w:val="restart"/>
          </w:tcPr>
          <w:p>
            <w:pPr>
              <w:jc w:val="right"/>
              <w:ind w:right="178"/>
              <w:spacing w:after="0"/>
              <w:rPr>
                <w:sz w:val="20"/>
                <w:szCs w:val="20"/>
                <w:color w:val="auto"/>
              </w:rPr>
            </w:pPr>
            <w:r>
              <w:rPr>
                <w:rFonts w:ascii="Arial" w:cs="Arial" w:eastAsia="Arial" w:hAnsi="Arial"/>
                <w:sz w:val="13"/>
                <w:szCs w:val="13"/>
                <w:color w:val="auto"/>
              </w:rPr>
              <w:t>$42.98</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$922,242</w:t>
            </w:r>
          </w:p>
        </w:tc>
        <w:tc>
          <w:tcPr>
            <w:tcW w:w="0" w:type="dxa"/>
            <w:vAlign w:val="bottom"/>
          </w:tcPr>
          <w:p>
            <w:pPr>
              <w:spacing w:after="0"/>
              <w:rPr>
                <w:sz w:val="1"/>
                <w:szCs w:val="1"/>
                <w:color w:val="auto"/>
              </w:rPr>
            </w:pPr>
          </w:p>
        </w:tc>
      </w:tr>
      <w:tr>
        <w:trPr>
          <w:trHeight w:val="253"/>
        </w:trPr>
        <w:tc>
          <w:tcPr>
            <w:tcW w:w="1860" w:type="dxa"/>
            <w:vAlign w:val="bottom"/>
          </w:tcPr>
          <w:p>
            <w:pPr>
              <w:ind w:left="60"/>
              <w:spacing w:after="0"/>
              <w:rPr>
                <w:sz w:val="20"/>
                <w:szCs w:val="20"/>
                <w:color w:val="auto"/>
              </w:rPr>
            </w:pPr>
            <w:r>
              <w:rPr>
                <w:rFonts w:ascii="Arial" w:cs="Arial" w:eastAsia="Arial" w:hAnsi="Arial"/>
                <w:sz w:val="13"/>
                <w:szCs w:val="13"/>
                <w:color w:val="auto"/>
              </w:rPr>
              <w:t>Modification</w:t>
            </w:r>
            <w:r>
              <w:rPr>
                <w:rFonts w:ascii="Arial" w:cs="Arial" w:eastAsia="Arial" w:hAnsi="Arial"/>
                <w:sz w:val="20"/>
                <w:szCs w:val="20"/>
                <w:color w:val="auto"/>
                <w:vertAlign w:val="superscript"/>
              </w:rPr>
              <w:t>(6)</w:t>
            </w:r>
          </w:p>
        </w:tc>
        <w:tc>
          <w:tcPr>
            <w:tcW w:w="700" w:type="dxa"/>
            <w:vAlign w:val="bottom"/>
            <w:tcBorders>
              <w:bottom w:val="single" w:sz="8" w:color="D1D2D4"/>
            </w:tcBorders>
            <w:vMerge w:val="continue"/>
          </w:tcPr>
          <w:p>
            <w:pPr>
              <w:spacing w:after="0"/>
              <w:rPr>
                <w:sz w:val="22"/>
                <w:szCs w:val="22"/>
                <w:color w:val="auto"/>
              </w:rPr>
            </w:pPr>
          </w:p>
        </w:tc>
        <w:tc>
          <w:tcPr>
            <w:tcW w:w="8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tcPr>
          <w:p>
            <w:pPr>
              <w:spacing w:after="0"/>
              <w:rPr>
                <w:sz w:val="22"/>
                <w:szCs w:val="22"/>
                <w:color w:val="auto"/>
              </w:rPr>
            </w:pPr>
          </w:p>
        </w:tc>
        <w:tc>
          <w:tcPr>
            <w:tcW w:w="820" w:type="dxa"/>
            <w:vAlign w:val="bottom"/>
            <w:tcBorders>
              <w:bottom w:val="single" w:sz="8" w:color="D1D2D4"/>
            </w:tcBorders>
          </w:tcPr>
          <w:p>
            <w:pPr>
              <w:spacing w:after="0"/>
              <w:rPr>
                <w:sz w:val="22"/>
                <w:szCs w:val="22"/>
                <w:color w:val="auto"/>
              </w:rPr>
            </w:pPr>
          </w:p>
        </w:tc>
        <w:tc>
          <w:tcPr>
            <w:tcW w:w="16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tcPr>
          <w:p>
            <w:pPr>
              <w:spacing w:after="0"/>
              <w:rPr>
                <w:sz w:val="22"/>
                <w:szCs w:val="22"/>
                <w:color w:val="auto"/>
              </w:rPr>
            </w:pPr>
          </w:p>
        </w:tc>
        <w:tc>
          <w:tcPr>
            <w:tcW w:w="100" w:type="dxa"/>
            <w:vAlign w:val="bottom"/>
            <w:tcBorders>
              <w:bottom w:val="single" w:sz="8" w:color="D1D2D4"/>
            </w:tcBorders>
          </w:tcPr>
          <w:p>
            <w:pPr>
              <w:spacing w:after="0"/>
              <w:rPr>
                <w:sz w:val="22"/>
                <w:szCs w:val="22"/>
                <w:color w:val="auto"/>
              </w:rPr>
            </w:pPr>
          </w:p>
        </w:tc>
        <w:tc>
          <w:tcPr>
            <w:tcW w:w="760" w:type="dxa"/>
            <w:vAlign w:val="bottom"/>
            <w:tcBorders>
              <w:bottom w:val="single" w:sz="8" w:color="D1D2D4"/>
            </w:tcBorders>
          </w:tcPr>
          <w:p>
            <w:pPr>
              <w:spacing w:after="0"/>
              <w:rPr>
                <w:sz w:val="22"/>
                <w:szCs w:val="22"/>
                <w:color w:val="auto"/>
              </w:rPr>
            </w:pPr>
          </w:p>
        </w:tc>
        <w:tc>
          <w:tcPr>
            <w:tcW w:w="980" w:type="dxa"/>
            <w:vAlign w:val="bottom"/>
            <w:tcBorders>
              <w:bottom w:val="single" w:sz="8" w:color="D1D2D4"/>
            </w:tcBorders>
          </w:tcPr>
          <w:p>
            <w:pPr>
              <w:spacing w:after="0"/>
              <w:rPr>
                <w:sz w:val="22"/>
                <w:szCs w:val="22"/>
                <w:color w:val="auto"/>
              </w:rPr>
            </w:pPr>
          </w:p>
        </w:tc>
        <w:tc>
          <w:tcPr>
            <w:tcW w:w="700" w:type="dxa"/>
            <w:vAlign w:val="bottom"/>
            <w:tcBorders>
              <w:bottom w:val="single" w:sz="8" w:color="D1D2D4"/>
            </w:tcBorders>
          </w:tcPr>
          <w:p>
            <w:pPr>
              <w:spacing w:after="0"/>
              <w:rPr>
                <w:sz w:val="22"/>
                <w:szCs w:val="22"/>
                <w:color w:val="auto"/>
              </w:rPr>
            </w:pPr>
          </w:p>
        </w:tc>
        <w:tc>
          <w:tcPr>
            <w:tcW w:w="180" w:type="dxa"/>
            <w:vAlign w:val="bottom"/>
            <w:tcBorders>
              <w:bottom w:val="single" w:sz="8" w:color="D1D2D4"/>
            </w:tcBorders>
          </w:tcPr>
          <w:p>
            <w:pPr>
              <w:spacing w:after="0"/>
              <w:rPr>
                <w:sz w:val="22"/>
                <w:szCs w:val="22"/>
                <w:color w:val="auto"/>
              </w:rPr>
            </w:pPr>
          </w:p>
        </w:tc>
        <w:tc>
          <w:tcPr>
            <w:tcW w:w="880" w:type="dxa"/>
            <w:vAlign w:val="bottom"/>
            <w:tcBorders>
              <w:bottom w:val="single" w:sz="8" w:color="D1D2D4"/>
            </w:tcBorders>
          </w:tcPr>
          <w:p>
            <w:pPr>
              <w:spacing w:after="0"/>
              <w:rPr>
                <w:sz w:val="22"/>
                <w:szCs w:val="22"/>
                <w:color w:val="auto"/>
              </w:rPr>
            </w:pPr>
          </w:p>
        </w:tc>
        <w:tc>
          <w:tcPr>
            <w:tcW w:w="920" w:type="dxa"/>
            <w:vAlign w:val="bottom"/>
            <w:tcBorders>
              <w:bottom w:val="single" w:sz="8" w:color="D1D2D4"/>
            </w:tcBorders>
            <w:vMerge w:val="continue"/>
          </w:tcPr>
          <w:p>
            <w:pPr>
              <w:spacing w:after="0"/>
              <w:rPr>
                <w:sz w:val="22"/>
                <w:szCs w:val="22"/>
                <w:color w:val="auto"/>
              </w:rPr>
            </w:pPr>
          </w:p>
        </w:tc>
        <w:tc>
          <w:tcPr>
            <w:tcW w:w="880" w:type="dxa"/>
            <w:vAlign w:val="bottom"/>
            <w:tcBorders>
              <w:bottom w:val="single" w:sz="8" w:color="D1D2D4"/>
            </w:tcBorders>
            <w:vMerge w:val="continue"/>
          </w:tcPr>
          <w:p>
            <w:pPr>
              <w:spacing w:after="0"/>
              <w:rPr>
                <w:sz w:val="22"/>
                <w:szCs w:val="22"/>
                <w:color w:val="auto"/>
              </w:rPr>
            </w:pPr>
          </w:p>
        </w:tc>
        <w:tc>
          <w:tcPr>
            <w:tcW w:w="940" w:type="dxa"/>
            <w:vAlign w:val="bottom"/>
            <w:tcBorders>
              <w:bottom w:val="single" w:sz="8" w:color="D1D2D4"/>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860" w:type="dxa"/>
            <w:vAlign w:val="bottom"/>
          </w:tcPr>
          <w:p>
            <w:pPr>
              <w:ind w:left="60"/>
              <w:spacing w:after="0"/>
              <w:rPr>
                <w:sz w:val="20"/>
                <w:szCs w:val="20"/>
                <w:color w:val="auto"/>
              </w:rPr>
            </w:pPr>
            <w:r>
              <w:rPr>
                <w:rFonts w:ascii="Arial" w:cs="Arial" w:eastAsia="Arial" w:hAnsi="Arial"/>
                <w:sz w:val="13"/>
                <w:szCs w:val="13"/>
                <w:color w:val="auto"/>
              </w:rPr>
              <w:t>2021 NQSO</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09/29/2022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3"/>
                <w:szCs w:val="13"/>
                <w:color w:val="auto"/>
              </w:rPr>
              <w:t>19,599</w:t>
            </w:r>
          </w:p>
        </w:tc>
        <w:tc>
          <w:tcPr>
            <w:tcW w:w="880" w:type="dxa"/>
            <w:vAlign w:val="bottom"/>
            <w:vMerge w:val="restart"/>
          </w:tcPr>
          <w:p>
            <w:pPr>
              <w:jc w:val="right"/>
              <w:ind w:right="178"/>
              <w:spacing w:after="0"/>
              <w:rPr>
                <w:sz w:val="20"/>
                <w:szCs w:val="20"/>
                <w:color w:val="auto"/>
              </w:rPr>
            </w:pPr>
            <w:r>
              <w:rPr>
                <w:rFonts w:ascii="Arial" w:cs="Arial" w:eastAsia="Arial" w:hAnsi="Arial"/>
                <w:sz w:val="13"/>
                <w:szCs w:val="13"/>
                <w:color w:val="auto"/>
              </w:rPr>
              <w:t>$25.39</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$868,614</w:t>
            </w:r>
          </w:p>
        </w:tc>
        <w:tc>
          <w:tcPr>
            <w:tcW w:w="0" w:type="dxa"/>
            <w:vAlign w:val="bottom"/>
          </w:tcPr>
          <w:p>
            <w:pPr>
              <w:spacing w:after="0"/>
              <w:rPr>
                <w:sz w:val="1"/>
                <w:szCs w:val="1"/>
                <w:color w:val="auto"/>
              </w:rPr>
            </w:pPr>
          </w:p>
        </w:tc>
      </w:tr>
      <w:tr>
        <w:trPr>
          <w:trHeight w:val="260"/>
        </w:trPr>
        <w:tc>
          <w:tcPr>
            <w:tcW w:w="1860" w:type="dxa"/>
            <w:vAlign w:val="bottom"/>
            <w:tcBorders>
              <w:bottom w:val="single" w:sz="8" w:color="00529B"/>
            </w:tcBorders>
          </w:tcPr>
          <w:p>
            <w:pPr>
              <w:ind w:left="60"/>
              <w:spacing w:after="0"/>
              <w:rPr>
                <w:sz w:val="20"/>
                <w:szCs w:val="20"/>
                <w:color w:val="auto"/>
              </w:rPr>
            </w:pPr>
            <w:r>
              <w:rPr>
                <w:rFonts w:ascii="Arial" w:cs="Arial" w:eastAsia="Arial" w:hAnsi="Arial"/>
                <w:sz w:val="13"/>
                <w:szCs w:val="13"/>
                <w:color w:val="auto"/>
              </w:rPr>
              <w:t>Modification</w:t>
            </w:r>
            <w:r>
              <w:rPr>
                <w:rFonts w:ascii="Arial" w:cs="Arial" w:eastAsia="Arial" w:hAnsi="Arial"/>
                <w:sz w:val="20"/>
                <w:szCs w:val="20"/>
                <w:color w:val="auto"/>
                <w:vertAlign w:val="superscript"/>
              </w:rPr>
              <w:t>(6)</w:t>
            </w:r>
          </w:p>
        </w:tc>
        <w:tc>
          <w:tcPr>
            <w:tcW w:w="700" w:type="dxa"/>
            <w:vAlign w:val="bottom"/>
            <w:tcBorders>
              <w:bottom w:val="single" w:sz="8" w:color="00529B"/>
            </w:tcBorders>
            <w:vMerge w:val="continue"/>
          </w:tcPr>
          <w:p>
            <w:pPr>
              <w:spacing w:after="0"/>
              <w:rPr>
                <w:sz w:val="22"/>
                <w:szCs w:val="22"/>
                <w:color w:val="auto"/>
              </w:rPr>
            </w:pPr>
          </w:p>
        </w:tc>
        <w:tc>
          <w:tcPr>
            <w:tcW w:w="80" w:type="dxa"/>
            <w:vAlign w:val="bottom"/>
            <w:tcBorders>
              <w:bottom w:val="single" w:sz="8" w:color="00529B"/>
            </w:tcBorders>
          </w:tcPr>
          <w:p>
            <w:pPr>
              <w:spacing w:after="0"/>
              <w:rPr>
                <w:sz w:val="22"/>
                <w:szCs w:val="22"/>
                <w:color w:val="auto"/>
              </w:rPr>
            </w:pPr>
          </w:p>
        </w:tc>
        <w:tc>
          <w:tcPr>
            <w:tcW w:w="640" w:type="dxa"/>
            <w:vAlign w:val="bottom"/>
            <w:tcBorders>
              <w:bottom w:val="single" w:sz="8" w:color="00529B"/>
            </w:tcBorders>
          </w:tcPr>
          <w:p>
            <w:pPr>
              <w:spacing w:after="0"/>
              <w:rPr>
                <w:sz w:val="22"/>
                <w:szCs w:val="22"/>
                <w:color w:val="auto"/>
              </w:rPr>
            </w:pPr>
          </w:p>
        </w:tc>
        <w:tc>
          <w:tcPr>
            <w:tcW w:w="820" w:type="dxa"/>
            <w:vAlign w:val="bottom"/>
            <w:tcBorders>
              <w:bottom w:val="single" w:sz="8" w:color="00529B"/>
            </w:tcBorders>
          </w:tcPr>
          <w:p>
            <w:pPr>
              <w:spacing w:after="0"/>
              <w:rPr>
                <w:sz w:val="22"/>
                <w:szCs w:val="22"/>
                <w:color w:val="auto"/>
              </w:rPr>
            </w:pPr>
          </w:p>
        </w:tc>
        <w:tc>
          <w:tcPr>
            <w:tcW w:w="160" w:type="dxa"/>
            <w:vAlign w:val="bottom"/>
            <w:tcBorders>
              <w:bottom w:val="single" w:sz="8" w:color="00529B"/>
            </w:tcBorders>
          </w:tcPr>
          <w:p>
            <w:pPr>
              <w:spacing w:after="0"/>
              <w:rPr>
                <w:sz w:val="22"/>
                <w:szCs w:val="22"/>
                <w:color w:val="auto"/>
              </w:rPr>
            </w:pPr>
          </w:p>
        </w:tc>
        <w:tc>
          <w:tcPr>
            <w:tcW w:w="640" w:type="dxa"/>
            <w:vAlign w:val="bottom"/>
            <w:tcBorders>
              <w:bottom w:val="single" w:sz="8" w:color="00529B"/>
            </w:tcBorders>
          </w:tcPr>
          <w:p>
            <w:pPr>
              <w:spacing w:after="0"/>
              <w:rPr>
                <w:sz w:val="22"/>
                <w:szCs w:val="22"/>
                <w:color w:val="auto"/>
              </w:rPr>
            </w:pPr>
          </w:p>
        </w:tc>
        <w:tc>
          <w:tcPr>
            <w:tcW w:w="100" w:type="dxa"/>
            <w:vAlign w:val="bottom"/>
            <w:tcBorders>
              <w:bottom w:val="single" w:sz="8" w:color="00529B"/>
            </w:tcBorders>
          </w:tcPr>
          <w:p>
            <w:pPr>
              <w:spacing w:after="0"/>
              <w:rPr>
                <w:sz w:val="22"/>
                <w:szCs w:val="22"/>
                <w:color w:val="auto"/>
              </w:rPr>
            </w:pPr>
          </w:p>
        </w:tc>
        <w:tc>
          <w:tcPr>
            <w:tcW w:w="760" w:type="dxa"/>
            <w:vAlign w:val="bottom"/>
            <w:tcBorders>
              <w:bottom w:val="single" w:sz="8" w:color="00529B"/>
            </w:tcBorders>
          </w:tcPr>
          <w:p>
            <w:pPr>
              <w:spacing w:after="0"/>
              <w:rPr>
                <w:sz w:val="22"/>
                <w:szCs w:val="22"/>
                <w:color w:val="auto"/>
              </w:rPr>
            </w:pPr>
          </w:p>
        </w:tc>
        <w:tc>
          <w:tcPr>
            <w:tcW w:w="980" w:type="dxa"/>
            <w:vAlign w:val="bottom"/>
            <w:tcBorders>
              <w:bottom w:val="single" w:sz="8" w:color="00529B"/>
            </w:tcBorders>
          </w:tcPr>
          <w:p>
            <w:pPr>
              <w:spacing w:after="0"/>
              <w:rPr>
                <w:sz w:val="22"/>
                <w:szCs w:val="22"/>
                <w:color w:val="auto"/>
              </w:rPr>
            </w:pPr>
          </w:p>
        </w:tc>
        <w:tc>
          <w:tcPr>
            <w:tcW w:w="700" w:type="dxa"/>
            <w:vAlign w:val="bottom"/>
            <w:tcBorders>
              <w:bottom w:val="single" w:sz="8" w:color="00529B"/>
            </w:tcBorders>
          </w:tcPr>
          <w:p>
            <w:pPr>
              <w:spacing w:after="0"/>
              <w:rPr>
                <w:sz w:val="22"/>
                <w:szCs w:val="22"/>
                <w:color w:val="auto"/>
              </w:rPr>
            </w:pPr>
          </w:p>
        </w:tc>
        <w:tc>
          <w:tcPr>
            <w:tcW w:w="180" w:type="dxa"/>
            <w:vAlign w:val="bottom"/>
            <w:tcBorders>
              <w:bottom w:val="single" w:sz="8" w:color="00529B"/>
            </w:tcBorders>
          </w:tcPr>
          <w:p>
            <w:pPr>
              <w:spacing w:after="0"/>
              <w:rPr>
                <w:sz w:val="22"/>
                <w:szCs w:val="22"/>
                <w:color w:val="auto"/>
              </w:rPr>
            </w:pPr>
          </w:p>
        </w:tc>
        <w:tc>
          <w:tcPr>
            <w:tcW w:w="880" w:type="dxa"/>
            <w:vAlign w:val="bottom"/>
            <w:tcBorders>
              <w:bottom w:val="single" w:sz="8" w:color="00529B"/>
            </w:tcBorders>
          </w:tcPr>
          <w:p>
            <w:pPr>
              <w:spacing w:after="0"/>
              <w:rPr>
                <w:sz w:val="22"/>
                <w:szCs w:val="22"/>
                <w:color w:val="auto"/>
              </w:rPr>
            </w:pPr>
          </w:p>
        </w:tc>
        <w:tc>
          <w:tcPr>
            <w:tcW w:w="920" w:type="dxa"/>
            <w:vAlign w:val="bottom"/>
            <w:tcBorders>
              <w:bottom w:val="single" w:sz="8" w:color="00529B"/>
            </w:tcBorders>
            <w:vMerge w:val="continue"/>
          </w:tcPr>
          <w:p>
            <w:pPr>
              <w:spacing w:after="0"/>
              <w:rPr>
                <w:sz w:val="22"/>
                <w:szCs w:val="22"/>
                <w:color w:val="auto"/>
              </w:rPr>
            </w:pPr>
          </w:p>
        </w:tc>
        <w:tc>
          <w:tcPr>
            <w:tcW w:w="880" w:type="dxa"/>
            <w:vAlign w:val="bottom"/>
            <w:tcBorders>
              <w:bottom w:val="single" w:sz="8" w:color="00529B"/>
            </w:tcBorders>
            <w:vMerge w:val="continue"/>
          </w:tcPr>
          <w:p>
            <w:pPr>
              <w:spacing w:after="0"/>
              <w:rPr>
                <w:sz w:val="22"/>
                <w:szCs w:val="22"/>
                <w:color w:val="auto"/>
              </w:rPr>
            </w:pPr>
          </w:p>
        </w:tc>
        <w:tc>
          <w:tcPr>
            <w:tcW w:w="940" w:type="dxa"/>
            <w:vAlign w:val="bottom"/>
            <w:tcBorders>
              <w:bottom w:val="single" w:sz="8" w:color="00529B"/>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right="60" w:hanging="290"/>
        <w:spacing w:after="0" w:line="229" w:lineRule="auto"/>
        <w:tabs>
          <w:tab w:leader="none" w:pos="500" w:val="left"/>
        </w:tabs>
        <w:numPr>
          <w:ilvl w:val="0"/>
          <w:numId w:val="66"/>
        </w:numPr>
        <w:rPr>
          <w:rFonts w:ascii="Arial" w:cs="Arial" w:eastAsia="Arial" w:hAnsi="Arial"/>
          <w:sz w:val="10"/>
          <w:szCs w:val="10"/>
          <w:color w:val="auto"/>
        </w:rPr>
      </w:pPr>
      <w:r>
        <w:rPr>
          <w:rFonts w:ascii="Arial" w:cs="Arial" w:eastAsia="Arial" w:hAnsi="Arial"/>
          <w:sz w:val="13"/>
          <w:szCs w:val="13"/>
          <w:color w:val="auto"/>
        </w:rPr>
        <w:t>Amounts shown reflect the possible payout range of the 2022 ACI award. For the actual amounts earned pursuant to the ACI award, see the “Non-Equity Incentive Plan Compensation” column of the Summary Compensation Table on page 61. For 2022, payout of the ACI award was based on Occidental’s performance with respect to certain key company performance metrics and the Compensation Committee’s assessment of each NEO’s individual performance. The ACI award is described further under “</w:t>
      </w:r>
      <w:r>
        <w:rPr>
          <w:rFonts w:ascii="Arial" w:cs="Arial" w:eastAsia="Arial" w:hAnsi="Arial"/>
          <w:sz w:val="13"/>
          <w:szCs w:val="13"/>
          <w:i w:val="1"/>
          <w:iCs w:val="1"/>
          <w:color w:val="auto"/>
        </w:rPr>
        <w:t>Compensation Discussion and Analysis—Elements of the 2022</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 Program—Annual Cash Incentive</w:t>
      </w:r>
      <w:r>
        <w:rPr>
          <w:rFonts w:ascii="Arial" w:cs="Arial" w:eastAsia="Arial" w:hAnsi="Arial"/>
          <w:sz w:val="13"/>
          <w:szCs w:val="13"/>
          <w:color w:val="auto"/>
        </w:rPr>
        <w:t>” beginning on page 46.</w:t>
      </w:r>
    </w:p>
    <w:p>
      <w:pPr>
        <w:spacing w:after="0" w:line="50" w:lineRule="exact"/>
        <w:rPr>
          <w:rFonts w:ascii="Arial" w:cs="Arial" w:eastAsia="Arial" w:hAnsi="Arial"/>
          <w:sz w:val="10"/>
          <w:szCs w:val="10"/>
          <w:color w:val="auto"/>
        </w:rPr>
      </w:pPr>
    </w:p>
    <w:p>
      <w:pPr>
        <w:ind w:left="500" w:right="180" w:hanging="290"/>
        <w:spacing w:after="0" w:line="229" w:lineRule="auto"/>
        <w:tabs>
          <w:tab w:leader="none" w:pos="500" w:val="left"/>
        </w:tabs>
        <w:numPr>
          <w:ilvl w:val="0"/>
          <w:numId w:val="66"/>
        </w:numPr>
        <w:rPr>
          <w:rFonts w:ascii="Arial" w:cs="Arial" w:eastAsia="Arial" w:hAnsi="Arial"/>
          <w:sz w:val="10"/>
          <w:szCs w:val="10"/>
          <w:color w:val="auto"/>
        </w:rPr>
      </w:pPr>
      <w:r>
        <w:rPr>
          <w:rFonts w:ascii="Arial" w:cs="Arial" w:eastAsia="Arial" w:hAnsi="Arial"/>
          <w:sz w:val="13"/>
          <w:szCs w:val="13"/>
          <w:color w:val="auto"/>
        </w:rPr>
        <w:t>The grant date fair value of the CROCE award is equal to the target number of PSUs originally granted multiplied by $42.98, the closing price of Occidental’s common stock on the grant date. Actual payout of the CROCE award may be zero or a range from 25% to 200% of the target number of PSUs granted based on Occidental’s CROCE at the end of the three-year performance period. For more information regarding the payout possibilities of the CROCE award, please see “</w:t>
      </w:r>
      <w:r>
        <w:rPr>
          <w:rFonts w:ascii="Arial" w:cs="Arial" w:eastAsia="Arial" w:hAnsi="Arial"/>
          <w:sz w:val="13"/>
          <w:szCs w:val="13"/>
          <w:i w:val="1"/>
          <w:iCs w:val="1"/>
          <w:color w:val="auto"/>
        </w:rPr>
        <w:t>Compensation Discussion and Analysis—Elements of the 2022 Compensation Program—</w:t>
      </w:r>
      <w:r>
        <w:rPr>
          <w:rFonts w:ascii="Arial" w:cs="Arial" w:eastAsia="Arial" w:hAnsi="Arial"/>
          <w:sz w:val="13"/>
          <w:szCs w:val="13"/>
          <w:color w:val="auto"/>
        </w:rPr>
        <w:t xml:space="preserve"> </w:t>
      </w:r>
      <w:r>
        <w:rPr>
          <w:rFonts w:ascii="Arial" w:cs="Arial" w:eastAsia="Arial" w:hAnsi="Arial"/>
          <w:sz w:val="13"/>
          <w:szCs w:val="13"/>
          <w:i w:val="1"/>
          <w:iCs w:val="1"/>
          <w:color w:val="auto"/>
        </w:rPr>
        <w:t>Long-Term Incentive Award Program—Cash Return on Capital Employed (CROCE) Award</w:t>
      </w:r>
      <w:r>
        <w:rPr>
          <w:rFonts w:ascii="Arial" w:cs="Arial" w:eastAsia="Arial" w:hAnsi="Arial"/>
          <w:sz w:val="13"/>
          <w:szCs w:val="13"/>
          <w:color w:val="auto"/>
        </w:rPr>
        <w:t>” on page 50.</w:t>
      </w:r>
    </w:p>
    <w:p>
      <w:pPr>
        <w:spacing w:after="0" w:line="50" w:lineRule="exact"/>
        <w:rPr>
          <w:rFonts w:ascii="Arial" w:cs="Arial" w:eastAsia="Arial" w:hAnsi="Arial"/>
          <w:sz w:val="10"/>
          <w:szCs w:val="10"/>
          <w:color w:val="auto"/>
        </w:rPr>
      </w:pPr>
    </w:p>
    <w:p>
      <w:pPr>
        <w:ind w:left="500" w:right="160" w:hanging="290"/>
        <w:spacing w:after="0" w:line="226" w:lineRule="auto"/>
        <w:tabs>
          <w:tab w:leader="none" w:pos="500" w:val="left"/>
        </w:tabs>
        <w:numPr>
          <w:ilvl w:val="0"/>
          <w:numId w:val="66"/>
        </w:numPr>
        <w:rPr>
          <w:rFonts w:ascii="Arial" w:cs="Arial" w:eastAsia="Arial" w:hAnsi="Arial"/>
          <w:sz w:val="10"/>
          <w:szCs w:val="10"/>
          <w:color w:val="auto"/>
        </w:rPr>
      </w:pPr>
      <w:r>
        <w:rPr>
          <w:rFonts w:ascii="Arial" w:cs="Arial" w:eastAsia="Arial" w:hAnsi="Arial"/>
          <w:sz w:val="13"/>
          <w:szCs w:val="13"/>
          <w:color w:val="auto"/>
        </w:rPr>
        <w:t>The grant date fair value of the RSU award is equal to the number of RSUs granted multiplied by $42.98, the closing price of Occidental’s common stock on the grant date. The RSU award vests ratably over three years with one-third vesting on each of February 28, 2023, 2024 and 2025, subject to continued employment, and is payable in shares of common stock upon vesting. The vested shares are subject to a two-year holding period. The value of the RSU award at vesting will depend on the closing price of Occidental’s common stock on each vesting date. For more information regarding the RSU award, see “</w:t>
      </w:r>
      <w:r>
        <w:rPr>
          <w:rFonts w:ascii="Arial" w:cs="Arial" w:eastAsia="Arial" w:hAnsi="Arial"/>
          <w:sz w:val="13"/>
          <w:szCs w:val="13"/>
          <w:i w:val="1"/>
          <w:iCs w:val="1"/>
          <w:color w:val="auto"/>
        </w:rPr>
        <w:t>Compensation Discussion and Analysis—Elements of the 2022 Compensation Program—Long-Term Incentive Award Program—Restricted</w:t>
      </w:r>
      <w:r>
        <w:rPr>
          <w:rFonts w:ascii="Arial" w:cs="Arial" w:eastAsia="Arial" w:hAnsi="Arial"/>
          <w:sz w:val="13"/>
          <w:szCs w:val="13"/>
          <w:color w:val="auto"/>
        </w:rPr>
        <w:t xml:space="preserve"> </w:t>
      </w:r>
      <w:r>
        <w:rPr>
          <w:rFonts w:ascii="Arial" w:cs="Arial" w:eastAsia="Arial" w:hAnsi="Arial"/>
          <w:sz w:val="13"/>
          <w:szCs w:val="13"/>
          <w:i w:val="1"/>
          <w:iCs w:val="1"/>
          <w:color w:val="auto"/>
        </w:rPr>
        <w:t>Stock Unit (RSU) Award</w:t>
      </w:r>
      <w:r>
        <w:rPr>
          <w:rFonts w:ascii="Arial" w:cs="Arial" w:eastAsia="Arial" w:hAnsi="Arial"/>
          <w:sz w:val="13"/>
          <w:szCs w:val="13"/>
          <w:color w:val="auto"/>
        </w:rPr>
        <w:t>” on page 50.</w:t>
      </w:r>
    </w:p>
    <w:p>
      <w:pPr>
        <w:spacing w:after="0" w:line="52" w:lineRule="exact"/>
        <w:rPr>
          <w:rFonts w:ascii="Arial" w:cs="Arial" w:eastAsia="Arial" w:hAnsi="Arial"/>
          <w:sz w:val="10"/>
          <w:szCs w:val="10"/>
          <w:color w:val="auto"/>
        </w:rPr>
      </w:pPr>
    </w:p>
    <w:p>
      <w:pPr>
        <w:ind w:left="500" w:right="140" w:hanging="290"/>
        <w:spacing w:after="0" w:line="251" w:lineRule="auto"/>
        <w:tabs>
          <w:tab w:leader="none" w:pos="500" w:val="left"/>
        </w:tabs>
        <w:numPr>
          <w:ilvl w:val="0"/>
          <w:numId w:val="66"/>
        </w:numPr>
        <w:rPr>
          <w:rFonts w:ascii="Arial" w:cs="Arial" w:eastAsia="Arial" w:hAnsi="Arial"/>
          <w:sz w:val="10"/>
          <w:szCs w:val="10"/>
          <w:color w:val="auto"/>
        </w:rPr>
      </w:pPr>
      <w:r>
        <w:rPr>
          <w:rFonts w:ascii="Arial" w:cs="Arial" w:eastAsia="Arial" w:hAnsi="Arial"/>
          <w:sz w:val="12"/>
          <w:szCs w:val="12"/>
          <w:color w:val="auto"/>
        </w:rPr>
        <w:t>The grant date fair value of the TSR award is based on a Monte Carlo simulation in accordance with FASB ASC 718. Actual payout of the TSR award may be zero or range from 25% to 200% of the target number of PSUs granted based on Occidental’s TSR at the end of the three-year performance period as compared to the TSR of the performance peer companies, and whether Occidental’s absolute TSR value for the performance period is positive. For more information regarding the payout possibilities of the TSR award, please see “</w:t>
      </w:r>
      <w:r>
        <w:rPr>
          <w:rFonts w:ascii="Arial" w:cs="Arial" w:eastAsia="Arial" w:hAnsi="Arial"/>
          <w:sz w:val="12"/>
          <w:szCs w:val="12"/>
          <w:i w:val="1"/>
          <w:iCs w:val="1"/>
          <w:color w:val="auto"/>
        </w:rPr>
        <w:t>Compensation Discussion and</w:t>
      </w:r>
      <w:r>
        <w:rPr>
          <w:rFonts w:ascii="Arial" w:cs="Arial" w:eastAsia="Arial" w:hAnsi="Arial"/>
          <w:sz w:val="12"/>
          <w:szCs w:val="12"/>
          <w:color w:val="auto"/>
        </w:rPr>
        <w:t xml:space="preserve"> </w:t>
      </w:r>
      <w:r>
        <w:rPr>
          <w:rFonts w:ascii="Arial" w:cs="Arial" w:eastAsia="Arial" w:hAnsi="Arial"/>
          <w:sz w:val="12"/>
          <w:szCs w:val="12"/>
          <w:i w:val="1"/>
          <w:iCs w:val="1"/>
          <w:color w:val="auto"/>
        </w:rPr>
        <w:t>Analysis—Elements of the 2022 Compensation Program—Long-Term Incentive Award Program—Total Shareholder Return (TSR) Award</w:t>
      </w:r>
      <w:r>
        <w:rPr>
          <w:rFonts w:ascii="Arial" w:cs="Arial" w:eastAsia="Arial" w:hAnsi="Arial"/>
          <w:sz w:val="12"/>
          <w:szCs w:val="12"/>
          <w:color w:val="auto"/>
        </w:rPr>
        <w:t>” beginning on page 49.</w:t>
      </w:r>
    </w:p>
    <w:p>
      <w:pPr>
        <w:spacing w:after="0" w:line="43" w:lineRule="exact"/>
        <w:rPr>
          <w:rFonts w:ascii="Arial" w:cs="Arial" w:eastAsia="Arial" w:hAnsi="Arial"/>
          <w:sz w:val="10"/>
          <w:szCs w:val="10"/>
          <w:color w:val="auto"/>
        </w:rPr>
      </w:pPr>
    </w:p>
    <w:p>
      <w:pPr>
        <w:ind w:left="500" w:right="60" w:hanging="290"/>
        <w:spacing w:after="0" w:line="259" w:lineRule="auto"/>
        <w:tabs>
          <w:tab w:leader="none" w:pos="500" w:val="left"/>
        </w:tabs>
        <w:numPr>
          <w:ilvl w:val="0"/>
          <w:numId w:val="66"/>
        </w:numPr>
        <w:rPr>
          <w:rFonts w:ascii="Arial" w:cs="Arial" w:eastAsia="Arial" w:hAnsi="Arial"/>
          <w:sz w:val="10"/>
          <w:szCs w:val="10"/>
          <w:color w:val="auto"/>
        </w:rPr>
      </w:pPr>
      <w:r>
        <w:rPr>
          <w:rFonts w:ascii="Arial" w:cs="Arial" w:eastAsia="Arial" w:hAnsi="Arial"/>
          <w:sz w:val="12"/>
          <w:szCs w:val="12"/>
          <w:color w:val="auto"/>
        </w:rPr>
        <w:t>The grant date fair value of the NQSO award represents the FASB ASC 718 value calculated using a Black-Scholes model on the date of grant of $23.39 per share of common stock underlying the award. The NQSO award vests ratably over three years with one-third vesting on each of February 28, 2023, 2024 and 2025, subject to continued employment. For more information regarding the NQSO award, see “</w:t>
      </w:r>
      <w:r>
        <w:rPr>
          <w:rFonts w:ascii="Arial" w:cs="Arial" w:eastAsia="Arial" w:hAnsi="Arial"/>
          <w:sz w:val="12"/>
          <w:szCs w:val="12"/>
          <w:i w:val="1"/>
          <w:iCs w:val="1"/>
          <w:color w:val="auto"/>
        </w:rPr>
        <w:t>Compensation Discussion and Analysis—Elements of the 2022 Compensation Program—Non-Qualified Stock Option (NQSO) Award</w:t>
      </w:r>
      <w:r>
        <w:rPr>
          <w:rFonts w:ascii="Arial" w:cs="Arial" w:eastAsia="Arial" w:hAnsi="Arial"/>
          <w:sz w:val="12"/>
          <w:szCs w:val="12"/>
          <w:color w:val="auto"/>
        </w:rPr>
        <w:t>” on page 50.</w:t>
      </w:r>
    </w:p>
    <w:p>
      <w:pPr>
        <w:spacing w:after="0" w:line="39" w:lineRule="exact"/>
        <w:rPr>
          <w:rFonts w:ascii="Arial" w:cs="Arial" w:eastAsia="Arial" w:hAnsi="Arial"/>
          <w:sz w:val="10"/>
          <w:szCs w:val="10"/>
          <w:color w:val="auto"/>
        </w:rPr>
      </w:pPr>
    </w:p>
    <w:p>
      <w:pPr>
        <w:ind w:left="500" w:right="40" w:hanging="290"/>
        <w:spacing w:after="0" w:line="226" w:lineRule="auto"/>
        <w:tabs>
          <w:tab w:leader="none" w:pos="500" w:val="left"/>
        </w:tabs>
        <w:numPr>
          <w:ilvl w:val="0"/>
          <w:numId w:val="66"/>
        </w:numPr>
        <w:rPr>
          <w:rFonts w:ascii="Arial" w:cs="Arial" w:eastAsia="Arial" w:hAnsi="Arial"/>
          <w:sz w:val="10"/>
          <w:szCs w:val="10"/>
          <w:color w:val="auto"/>
        </w:rPr>
      </w:pPr>
      <w:r>
        <w:rPr>
          <w:rFonts w:ascii="Arial" w:cs="Arial" w:eastAsia="Arial" w:hAnsi="Arial"/>
          <w:sz w:val="13"/>
          <w:szCs w:val="13"/>
          <w:color w:val="auto"/>
        </w:rPr>
        <w:t>As described in footnote 6 of the Summary Compensation Table above, Occidental accelerated the vesting of Ms. Backus’ outstanding time-based equity awards and provided for continued vesting of her outstanding performance-based equity awards in connection with her separation and agreement to provide transition services pursuant to the terms of her Transition Services and Separation Agreement. These amounts represent the incremental fair value determined as of the date of the Transition Services and Separation Agreement in accordance with FASB ASC 718 calculated (i) using a Black-Scholes model on such date of $44.32 per share for NQSOs granted in 2021 and $38.10 per share for NQSOs granted in 2022 and (ii) the closing price of Occidental’s common stock on such date of $62.11 for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2743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Outstanding Equity Awards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sets forth the outstanding equity awards held by the NEOs as of December 31, 2022.</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OUTSTANDING EQUITY AWARDS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3"/>
          </w:tcPr>
          <w:p>
            <w:pPr>
              <w:jc w:val="right"/>
              <w:ind w:right="18"/>
              <w:spacing w:after="0"/>
              <w:rPr>
                <w:sz w:val="20"/>
                <w:szCs w:val="20"/>
                <w:color w:val="auto"/>
              </w:rPr>
            </w:pPr>
            <w:r>
              <w:rPr>
                <w:rFonts w:ascii="Arial" w:cs="Arial" w:eastAsia="Arial" w:hAnsi="Arial"/>
                <w:sz w:val="13"/>
                <w:szCs w:val="13"/>
                <w:b w:val="1"/>
                <w:bCs w:val="1"/>
                <w:color w:val="00529B"/>
              </w:rPr>
              <w:t>Nonqualified Stock Options and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vMerge w:val="restart"/>
          </w:tcPr>
          <w:p>
            <w:pPr>
              <w:jc w:val="right"/>
              <w:ind w:right="337"/>
              <w:spacing w:after="0"/>
              <w:rPr>
                <w:sz w:val="20"/>
                <w:szCs w:val="20"/>
                <w:color w:val="auto"/>
              </w:rPr>
            </w:pPr>
            <w:r>
              <w:rPr>
                <w:rFonts w:ascii="Arial" w:cs="Arial" w:eastAsia="Arial" w:hAnsi="Arial"/>
                <w:sz w:val="13"/>
                <w:szCs w:val="13"/>
                <w:b w:val="1"/>
                <w:bCs w:val="1"/>
                <w:color w:val="00529B"/>
              </w:rPr>
              <w:t>Stock Awards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Borders>
              <w:bottom w:val="single" w:sz="8" w:color="00529B"/>
            </w:tcBorders>
          </w:tcPr>
          <w:p>
            <w:pPr>
              <w:spacing w:after="0"/>
              <w:rPr>
                <w:sz w:val="16"/>
                <w:szCs w:val="16"/>
                <w:color w:val="auto"/>
              </w:rPr>
            </w:pPr>
          </w:p>
        </w:tc>
        <w:tc>
          <w:tcPr>
            <w:tcW w:w="1900" w:type="dxa"/>
            <w:vAlign w:val="bottom"/>
            <w:tcBorders>
              <w:bottom w:val="single" w:sz="8" w:color="00529B"/>
            </w:tcBorders>
            <w:gridSpan w:val="2"/>
          </w:tcPr>
          <w:p>
            <w:pPr>
              <w:jc w:val="right"/>
              <w:ind w:right="178"/>
              <w:spacing w:after="0"/>
              <w:rPr>
                <w:sz w:val="20"/>
                <w:szCs w:val="20"/>
                <w:color w:val="auto"/>
              </w:rPr>
            </w:pPr>
            <w:r>
              <w:rPr>
                <w:rFonts w:ascii="Arial" w:cs="Arial" w:eastAsia="Arial" w:hAnsi="Arial"/>
                <w:sz w:val="13"/>
                <w:szCs w:val="13"/>
                <w:b w:val="1"/>
                <w:bCs w:val="1"/>
                <w:color w:val="00529B"/>
              </w:rPr>
              <w:t>Stock Appreciation Rights</w:t>
            </w:r>
          </w:p>
        </w:tc>
        <w:tc>
          <w:tcPr>
            <w:tcW w:w="720" w:type="dxa"/>
            <w:vAlign w:val="bottom"/>
            <w:tcBorders>
              <w:bottom w:val="single" w:sz="8" w:color="00529B"/>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00529B"/>
            </w:tcBorders>
          </w:tcPr>
          <w:p>
            <w:pPr>
              <w:spacing w:after="0"/>
              <w:rPr>
                <w:sz w:val="16"/>
                <w:szCs w:val="16"/>
                <w:color w:val="auto"/>
              </w:rPr>
            </w:pPr>
          </w:p>
        </w:tc>
        <w:tc>
          <w:tcPr>
            <w:tcW w:w="180" w:type="dxa"/>
            <w:vAlign w:val="bottom"/>
            <w:tcBorders>
              <w:bottom w:val="single" w:sz="8" w:color="00529B"/>
            </w:tcBorders>
          </w:tcPr>
          <w:p>
            <w:pPr>
              <w:spacing w:after="0"/>
              <w:rPr>
                <w:sz w:val="16"/>
                <w:szCs w:val="16"/>
                <w:color w:val="auto"/>
              </w:rPr>
            </w:pPr>
          </w:p>
        </w:tc>
        <w:tc>
          <w:tcPr>
            <w:tcW w:w="1720" w:type="dxa"/>
            <w:vAlign w:val="bottom"/>
            <w:tcBorders>
              <w:bottom w:val="single" w:sz="8" w:color="00529B"/>
            </w:tcBorders>
            <w:gridSpan w:val="2"/>
            <w:vMerge w:val="continue"/>
          </w:tcPr>
          <w:p>
            <w:pPr>
              <w:spacing w:after="0"/>
              <w:rPr>
                <w:sz w:val="16"/>
                <w:szCs w:val="16"/>
                <w:color w:val="auto"/>
              </w:rPr>
            </w:pPr>
          </w:p>
        </w:tc>
        <w:tc>
          <w:tcPr>
            <w:tcW w:w="1040" w:type="dxa"/>
            <w:vAlign w:val="bottom"/>
            <w:tcBorders>
              <w:bottom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98"/>
              <w:spacing w:after="0" w:line="144" w:lineRule="exact"/>
              <w:rPr>
                <w:sz w:val="20"/>
                <w:szCs w:val="20"/>
                <w:color w:val="auto"/>
              </w:rPr>
            </w:pPr>
            <w:r>
              <w:rPr>
                <w:rFonts w:ascii="Arial" w:cs="Arial" w:eastAsia="Arial" w:hAnsi="Arial"/>
                <w:sz w:val="13"/>
                <w:szCs w:val="13"/>
                <w:b w:val="1"/>
                <w:bCs w:val="1"/>
                <w:color w:val="00529B"/>
              </w:rPr>
              <w:t>Equity</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Incentive</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Plan</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Awards:</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b w:val="1"/>
                <w:bCs w:val="1"/>
                <w:color w:val="00529B"/>
              </w:rPr>
              <w:t>Equity</w:t>
            </w:r>
          </w:p>
        </w:tc>
        <w:tc>
          <w:tcPr>
            <w:tcW w:w="1040" w:type="dxa"/>
            <w:vAlign w:val="bottom"/>
          </w:tcPr>
          <w:p>
            <w:pPr>
              <w:jc w:val="right"/>
              <w:ind w:right="98"/>
              <w:spacing w:after="0"/>
              <w:rPr>
                <w:sz w:val="20"/>
                <w:szCs w:val="20"/>
                <w:color w:val="auto"/>
              </w:rPr>
            </w:pPr>
            <w:r>
              <w:rPr>
                <w:rFonts w:ascii="Arial" w:cs="Arial" w:eastAsia="Arial" w:hAnsi="Arial"/>
                <w:sz w:val="13"/>
                <w:szCs w:val="13"/>
                <w:b w:val="1"/>
                <w:bCs w:val="1"/>
                <w:color w:val="00529B"/>
              </w:rPr>
              <w:t>Market or</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Incentive</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Payout</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00529B"/>
              </w:rPr>
              <w:t>Market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Plan Awards:</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Value</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00529B"/>
                <w:w w:val="95"/>
              </w:rPr>
              <w:t>Number of</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Number of</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of Unearned</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529B"/>
              </w:rPr>
              <w:t>Number of</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529B"/>
              </w:rPr>
              <w:t>Number of</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Arial" w:cs="Arial" w:eastAsia="Arial" w:hAnsi="Arial"/>
                <w:sz w:val="13"/>
                <w:szCs w:val="13"/>
                <w:b w:val="1"/>
                <w:bCs w:val="1"/>
                <w:color w:val="00529B"/>
                <w:w w:val="98"/>
              </w:rPr>
              <w:t>Value of</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Unearned</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Shares,</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Shares or</w:t>
            </w:r>
          </w:p>
        </w:tc>
        <w:tc>
          <w:tcPr>
            <w:tcW w:w="840" w:type="dxa"/>
            <w:vAlign w:val="bottom"/>
            <w:gridSpan w:val="2"/>
          </w:tcPr>
          <w:p>
            <w:pPr>
              <w:jc w:val="right"/>
              <w:ind w:right="78"/>
              <w:spacing w:after="0" w:line="135" w:lineRule="exact"/>
              <w:rPr>
                <w:sz w:val="20"/>
                <w:szCs w:val="20"/>
                <w:color w:val="auto"/>
              </w:rPr>
            </w:pPr>
            <w:r>
              <w:rPr>
                <w:rFonts w:ascii="Arial" w:cs="Arial" w:eastAsia="Arial" w:hAnsi="Arial"/>
                <w:sz w:val="13"/>
                <w:szCs w:val="13"/>
                <w:b w:val="1"/>
                <w:bCs w:val="1"/>
                <w:color w:val="00529B"/>
              </w:rPr>
              <w:t>Shares or</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Shares, Units</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Units</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529B"/>
              </w:rPr>
              <w:t>Securities</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Securities</w:t>
            </w:r>
          </w:p>
        </w:tc>
        <w:tc>
          <w:tcPr>
            <w:tcW w:w="820" w:type="dxa"/>
            <w:vAlign w:val="bottom"/>
            <w:vMerge w:val="restart"/>
          </w:tcPr>
          <w:p>
            <w:pPr>
              <w:jc w:val="right"/>
              <w:ind w:right="98"/>
              <w:spacing w:after="0"/>
              <w:rPr>
                <w:sz w:val="20"/>
                <w:szCs w:val="20"/>
                <w:color w:val="auto"/>
              </w:rPr>
            </w:pPr>
            <w:r>
              <w:rPr>
                <w:rFonts w:ascii="Arial" w:cs="Arial" w:eastAsia="Arial" w:hAnsi="Arial"/>
                <w:sz w:val="13"/>
                <w:szCs w:val="13"/>
                <w:b w:val="1"/>
                <w:bCs w:val="1"/>
                <w:color w:val="00529B"/>
              </w:rPr>
              <w:t>Option</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Units of</w:t>
            </w:r>
          </w:p>
        </w:tc>
        <w:tc>
          <w:tcPr>
            <w:tcW w:w="1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Arial" w:cs="Arial" w:eastAsia="Arial" w:hAnsi="Arial"/>
                <w:sz w:val="13"/>
                <w:szCs w:val="13"/>
                <w:b w:val="1"/>
                <w:bCs w:val="1"/>
                <w:color w:val="00529B"/>
              </w:rPr>
              <w:t>Units of</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or Other</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or Other</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60"/>
              <w:spacing w:after="0"/>
              <w:rPr>
                <w:sz w:val="20"/>
                <w:szCs w:val="20"/>
                <w:color w:val="auto"/>
              </w:rPr>
            </w:pPr>
            <w:r>
              <w:rPr>
                <w:rFonts w:ascii="Arial" w:cs="Arial" w:eastAsia="Arial" w:hAnsi="Arial"/>
                <w:sz w:val="13"/>
                <w:szCs w:val="13"/>
                <w:b w:val="1"/>
                <w:bCs w:val="1"/>
                <w:color w:val="00529B"/>
              </w:rPr>
              <w:t>Name/</w:t>
            </w:r>
          </w:p>
        </w:tc>
        <w:tc>
          <w:tcPr>
            <w:tcW w:w="68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Underlying</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Underlying</w:t>
            </w:r>
          </w:p>
        </w:tc>
        <w:tc>
          <w:tcPr>
            <w:tcW w:w="820" w:type="dxa"/>
            <w:vAlign w:val="bottom"/>
            <w:vMerge w:val="continue"/>
          </w:tcPr>
          <w:p>
            <w:pPr>
              <w:spacing w:after="0"/>
              <w:rPr>
                <w:sz w:val="11"/>
                <w:szCs w:val="1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00529B"/>
              </w:rPr>
              <w:t>Option</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w w:val="98"/>
              </w:rPr>
              <w:t>Stock that</w:t>
            </w:r>
          </w:p>
        </w:tc>
        <w:tc>
          <w:tcPr>
            <w:tcW w:w="8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00529B"/>
              </w:rPr>
              <w:t>Stock that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Rights that</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Rights that</w:t>
            </w:r>
          </w:p>
        </w:tc>
        <w:tc>
          <w:tcPr>
            <w:tcW w:w="0" w:type="dxa"/>
            <w:vAlign w:val="bottom"/>
          </w:tcPr>
          <w:p>
            <w:pPr>
              <w:spacing w:after="0"/>
              <w:rPr>
                <w:sz w:val="1"/>
                <w:szCs w:val="1"/>
                <w:color w:val="auto"/>
              </w:rPr>
            </w:pPr>
          </w:p>
        </w:tc>
      </w:tr>
      <w:tr>
        <w:trPr>
          <w:trHeight w:val="135"/>
        </w:trPr>
        <w:tc>
          <w:tcPr>
            <w:tcW w:w="3180" w:type="dxa"/>
            <w:vAlign w:val="bottom"/>
            <w:vMerge w:val="continue"/>
          </w:tcPr>
          <w:p>
            <w:pPr>
              <w:spacing w:after="0"/>
              <w:rPr>
                <w:sz w:val="11"/>
                <w:szCs w:val="11"/>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00529B"/>
              </w:rPr>
              <w:t>Grant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w w:val="95"/>
              </w:rPr>
              <w:t>Unexercised</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Unexercised</w:t>
            </w: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Exercise</w:t>
            </w:r>
          </w:p>
        </w:tc>
        <w:tc>
          <w:tcPr>
            <w:tcW w:w="880" w:type="dxa"/>
            <w:vAlign w:val="bottom"/>
            <w:gridSpan w:val="2"/>
            <w:vMerge w:val="continue"/>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Have Not</w:t>
            </w:r>
          </w:p>
        </w:tc>
        <w:tc>
          <w:tcPr>
            <w:tcW w:w="180" w:type="dxa"/>
            <w:vAlign w:val="bottom"/>
          </w:tcPr>
          <w:p>
            <w:pPr>
              <w:spacing w:after="0"/>
              <w:rPr>
                <w:sz w:val="11"/>
                <w:szCs w:val="11"/>
                <w:color w:val="auto"/>
              </w:rPr>
            </w:pPr>
          </w:p>
        </w:tc>
        <w:tc>
          <w:tcPr>
            <w:tcW w:w="6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00529B"/>
                <w:w w:val="95"/>
              </w:rPr>
              <w:t>Have Not</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Have</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Have Not</w:t>
            </w:r>
          </w:p>
        </w:tc>
        <w:tc>
          <w:tcPr>
            <w:tcW w:w="0" w:type="dxa"/>
            <w:vAlign w:val="bottom"/>
          </w:tcPr>
          <w:p>
            <w:pPr>
              <w:spacing w:after="0"/>
              <w:rPr>
                <w:sz w:val="1"/>
                <w:szCs w:val="1"/>
                <w:color w:val="auto"/>
              </w:rPr>
            </w:pPr>
          </w:p>
        </w:tc>
      </w:tr>
      <w:tr>
        <w:trPr>
          <w:trHeight w:val="135"/>
        </w:trPr>
        <w:tc>
          <w:tcPr>
            <w:tcW w:w="3180" w:type="dxa"/>
            <w:vAlign w:val="bottom"/>
          </w:tcPr>
          <w:p>
            <w:pPr>
              <w:ind w:left="60"/>
              <w:spacing w:after="0" w:line="135" w:lineRule="exact"/>
              <w:rPr>
                <w:sz w:val="20"/>
                <w:szCs w:val="20"/>
                <w:color w:val="auto"/>
              </w:rPr>
            </w:pPr>
            <w:r>
              <w:rPr>
                <w:rFonts w:ascii="Arial" w:cs="Arial" w:eastAsia="Arial" w:hAnsi="Arial"/>
                <w:sz w:val="13"/>
                <w:szCs w:val="13"/>
                <w:b w:val="1"/>
                <w:bCs w:val="1"/>
                <w:color w:val="00529B"/>
              </w:rPr>
              <w:t>Type of</w:t>
            </w:r>
          </w:p>
        </w:tc>
        <w:tc>
          <w:tcPr>
            <w:tcW w:w="680" w:type="dxa"/>
            <w:vAlign w:val="bottom"/>
            <w:vMerge w:val="continue"/>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Options (#)</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Options (#)</w:t>
            </w:r>
          </w:p>
        </w:tc>
        <w:tc>
          <w:tcPr>
            <w:tcW w:w="820" w:type="dxa"/>
            <w:vAlign w:val="bottom"/>
          </w:tcPr>
          <w:p>
            <w:pPr>
              <w:jc w:val="right"/>
              <w:ind w:right="98"/>
              <w:spacing w:after="0" w:line="135" w:lineRule="exact"/>
              <w:rPr>
                <w:sz w:val="20"/>
                <w:szCs w:val="20"/>
                <w:color w:val="auto"/>
              </w:rPr>
            </w:pPr>
            <w:r>
              <w:rPr>
                <w:rFonts w:ascii="Arial" w:cs="Arial" w:eastAsia="Arial" w:hAnsi="Arial"/>
                <w:sz w:val="10"/>
                <w:szCs w:val="10"/>
                <w:b w:val="1"/>
                <w:bCs w:val="1"/>
                <w:color w:val="00529B"/>
              </w:rPr>
              <w:t>Price</w:t>
            </w:r>
            <w:r>
              <w:rPr>
                <w:rFonts w:ascii="Arial" w:cs="Arial" w:eastAsia="Arial" w:hAnsi="Arial"/>
                <w:sz w:val="15"/>
                <w:szCs w:val="15"/>
                <w:b w:val="1"/>
                <w:bCs w:val="1"/>
                <w:color w:val="00529B"/>
                <w:vertAlign w:val="superscript"/>
              </w:rPr>
              <w:t>(1)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529B"/>
              </w:rPr>
              <w:t>Expiration</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Vested</w:t>
            </w:r>
          </w:p>
        </w:tc>
        <w:tc>
          <w:tcPr>
            <w:tcW w:w="1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Arial" w:cs="Arial" w:eastAsia="Arial" w:hAnsi="Arial"/>
                <w:sz w:val="13"/>
                <w:szCs w:val="13"/>
                <w:b w:val="1"/>
                <w:bCs w:val="1"/>
                <w:color w:val="00529B"/>
              </w:rPr>
              <w:t>Vested</w:t>
            </w: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Not Vested</w:t>
            </w:r>
          </w:p>
        </w:tc>
        <w:tc>
          <w:tcPr>
            <w:tcW w:w="104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00529B"/>
              </w:rPr>
              <w:t>Vested</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Award</w:t>
            </w:r>
          </w:p>
        </w:tc>
        <w:tc>
          <w:tcPr>
            <w:tcW w:w="68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b w:val="1"/>
                <w:bCs w:val="1"/>
                <w:color w:val="00529B"/>
              </w:rPr>
              <w:t>Date</w:t>
            </w:r>
          </w:p>
        </w:tc>
        <w:tc>
          <w:tcPr>
            <w:tcW w:w="880" w:type="dxa"/>
            <w:vAlign w:val="bottom"/>
            <w:tcBorders>
              <w:bottom w:val="single" w:sz="8" w:color="00529B"/>
            </w:tcBorders>
          </w:tcPr>
          <w:p>
            <w:pPr>
              <w:jc w:val="right"/>
              <w:ind w:right="17"/>
              <w:spacing w:after="0"/>
              <w:rPr>
                <w:sz w:val="20"/>
                <w:szCs w:val="20"/>
                <w:color w:val="auto"/>
              </w:rPr>
            </w:pPr>
            <w:r>
              <w:rPr>
                <w:rFonts w:ascii="Arial" w:cs="Arial" w:eastAsia="Arial" w:hAnsi="Arial"/>
                <w:sz w:val="13"/>
                <w:szCs w:val="13"/>
                <w:b w:val="1"/>
                <w:bCs w:val="1"/>
                <w:color w:val="00529B"/>
              </w:rPr>
              <w:t>Exercisable</w:t>
            </w:r>
          </w:p>
        </w:tc>
        <w:tc>
          <w:tcPr>
            <w:tcW w:w="1080" w:type="dxa"/>
            <w:vAlign w:val="bottom"/>
            <w:tcBorders>
              <w:bottom w:val="single" w:sz="8" w:color="00529B"/>
            </w:tcBorders>
          </w:tcPr>
          <w:p>
            <w:pPr>
              <w:jc w:val="right"/>
              <w:ind w:right="57"/>
              <w:spacing w:after="0"/>
              <w:rPr>
                <w:sz w:val="20"/>
                <w:szCs w:val="20"/>
                <w:color w:val="auto"/>
              </w:rPr>
            </w:pPr>
            <w:r>
              <w:rPr>
                <w:rFonts w:ascii="Arial" w:cs="Arial" w:eastAsia="Arial" w:hAnsi="Arial"/>
                <w:sz w:val="13"/>
                <w:szCs w:val="13"/>
                <w:b w:val="1"/>
                <w:bCs w:val="1"/>
                <w:color w:val="00529B"/>
              </w:rPr>
              <w:t>Unexercisable</w:t>
            </w:r>
          </w:p>
        </w:tc>
        <w:tc>
          <w:tcPr>
            <w:tcW w:w="820" w:type="dxa"/>
            <w:vAlign w:val="bottom"/>
            <w:tcBorders>
              <w:bottom w:val="single" w:sz="8" w:color="00529B"/>
            </w:tcBorders>
          </w:tcPr>
          <w:p>
            <w:pPr>
              <w:jc w:val="right"/>
              <w:ind w:right="58"/>
              <w:spacing w:after="0"/>
              <w:rPr>
                <w:sz w:val="20"/>
                <w:szCs w:val="20"/>
                <w:color w:val="auto"/>
              </w:rPr>
            </w:pPr>
            <w:r>
              <w:rPr>
                <w:rFonts w:ascii="Arial" w:cs="Arial" w:eastAsia="Arial" w:hAnsi="Arial"/>
                <w:sz w:val="13"/>
                <w:szCs w:val="13"/>
                <w:b w:val="1"/>
                <w:bCs w:val="1"/>
                <w:color w:val="00529B"/>
              </w:rPr>
              <w:t>($)</w:t>
            </w:r>
          </w:p>
        </w:tc>
        <w:tc>
          <w:tcPr>
            <w:tcW w:w="880" w:type="dxa"/>
            <w:vAlign w:val="bottom"/>
            <w:tcBorders>
              <w:bottom w:val="single" w:sz="8" w:color="00529B"/>
            </w:tcBorders>
            <w:gridSpan w:val="2"/>
          </w:tcPr>
          <w:p>
            <w:pPr>
              <w:ind w:left="440"/>
              <w:spacing w:after="0"/>
              <w:rPr>
                <w:sz w:val="20"/>
                <w:szCs w:val="20"/>
                <w:color w:val="auto"/>
              </w:rPr>
            </w:pPr>
            <w:r>
              <w:rPr>
                <w:rFonts w:ascii="Arial" w:cs="Arial" w:eastAsia="Arial" w:hAnsi="Arial"/>
                <w:sz w:val="13"/>
                <w:szCs w:val="13"/>
                <w:b w:val="1"/>
                <w:bCs w:val="1"/>
                <w:color w:val="00529B"/>
              </w:rPr>
              <w:t>Date</w:t>
            </w:r>
          </w:p>
        </w:tc>
        <w:tc>
          <w:tcPr>
            <w:tcW w:w="78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rPr>
              <w:t>(#)</w:t>
            </w:r>
          </w:p>
        </w:tc>
        <w:tc>
          <w:tcPr>
            <w:tcW w:w="180" w:type="dxa"/>
            <w:vAlign w:val="bottom"/>
            <w:tcBorders>
              <w:bottom w:val="single" w:sz="8" w:color="00529B"/>
            </w:tcBorders>
          </w:tcPr>
          <w:p>
            <w:pPr>
              <w:spacing w:after="0"/>
              <w:rPr>
                <w:sz w:val="17"/>
                <w:szCs w:val="17"/>
                <w:color w:val="auto"/>
              </w:rPr>
            </w:pPr>
          </w:p>
        </w:tc>
        <w:tc>
          <w:tcPr>
            <w:tcW w:w="660" w:type="dxa"/>
            <w:vAlign w:val="bottom"/>
            <w:tcBorders>
              <w:bottom w:val="single" w:sz="8" w:color="00529B"/>
            </w:tcBorders>
          </w:tcPr>
          <w:p>
            <w:pPr>
              <w:jc w:val="right"/>
              <w:ind w:right="38"/>
              <w:spacing w:after="0" w:line="189" w:lineRule="exact"/>
              <w:rPr>
                <w:sz w:val="20"/>
                <w:szCs w:val="20"/>
                <w:color w:val="auto"/>
              </w:rPr>
            </w:pPr>
            <w:r>
              <w:rPr>
                <w:rFonts w:ascii="Arial" w:cs="Arial" w:eastAsia="Arial" w:hAnsi="Arial"/>
                <w:sz w:val="21"/>
                <w:szCs w:val="21"/>
                <w:b w:val="1"/>
                <w:bCs w:val="1"/>
                <w:color w:val="00529B"/>
                <w:vertAlign w:val="subscript"/>
              </w:rPr>
              <w:t>($)</w:t>
            </w:r>
            <w:r>
              <w:rPr>
                <w:rFonts w:ascii="Arial" w:cs="Arial" w:eastAsia="Arial" w:hAnsi="Arial"/>
                <w:sz w:val="10"/>
                <w:szCs w:val="10"/>
                <w:b w:val="1"/>
                <w:bCs w:val="1"/>
                <w:color w:val="00529B"/>
              </w:rPr>
              <w:t>(2)</w:t>
            </w:r>
          </w:p>
        </w:tc>
        <w:tc>
          <w:tcPr>
            <w:tcW w:w="1060" w:type="dxa"/>
            <w:vAlign w:val="bottom"/>
            <w:tcBorders>
              <w:bottom w:val="single" w:sz="8" w:color="00529B"/>
            </w:tcBorders>
          </w:tcPr>
          <w:p>
            <w:pPr>
              <w:jc w:val="right"/>
              <w:ind w:right="77"/>
              <w:spacing w:after="0"/>
              <w:rPr>
                <w:sz w:val="20"/>
                <w:szCs w:val="20"/>
                <w:color w:val="auto"/>
              </w:rPr>
            </w:pPr>
            <w:r>
              <w:rPr>
                <w:rFonts w:ascii="Arial" w:cs="Arial" w:eastAsia="Arial" w:hAnsi="Arial"/>
                <w:sz w:val="13"/>
                <w:szCs w:val="13"/>
                <w:b w:val="1"/>
                <w:bCs w:val="1"/>
                <w:color w:val="00529B"/>
              </w:rPr>
              <w:t>(#)</w:t>
            </w:r>
          </w:p>
        </w:tc>
        <w:tc>
          <w:tcPr>
            <w:tcW w:w="1040" w:type="dxa"/>
            <w:vAlign w:val="bottom"/>
            <w:tcBorders>
              <w:bottom w:val="single" w:sz="8" w:color="00529B"/>
            </w:tcBorders>
          </w:tcPr>
          <w:p>
            <w:pPr>
              <w:jc w:val="right"/>
              <w:ind w:right="58"/>
              <w:spacing w:after="0" w:line="189" w:lineRule="exact"/>
              <w:rPr>
                <w:sz w:val="20"/>
                <w:szCs w:val="20"/>
                <w:color w:val="auto"/>
              </w:rPr>
            </w:pPr>
            <w:r>
              <w:rPr>
                <w:rFonts w:ascii="Arial" w:cs="Arial" w:eastAsia="Arial" w:hAnsi="Arial"/>
                <w:sz w:val="21"/>
                <w:szCs w:val="21"/>
                <w:b w:val="1"/>
                <w:bCs w:val="1"/>
                <w:color w:val="00529B"/>
                <w:vertAlign w:val="subscript"/>
              </w:rPr>
              <w:t>($)</w:t>
            </w:r>
            <w:r>
              <w:rPr>
                <w:rFonts w:ascii="Arial" w:cs="Arial" w:eastAsia="Arial" w:hAnsi="Arial"/>
                <w:sz w:val="10"/>
                <w:szCs w:val="10"/>
                <w:b w:val="1"/>
                <w:bCs w:val="1"/>
                <w:color w:val="00529B"/>
              </w:rPr>
              <w:t>(2)</w:t>
            </w:r>
          </w:p>
        </w:tc>
        <w:tc>
          <w:tcPr>
            <w:tcW w:w="0" w:type="dxa"/>
            <w:vAlign w:val="bottom"/>
          </w:tcPr>
          <w:p>
            <w:pPr>
              <w:spacing w:after="0"/>
              <w:rPr>
                <w:sz w:val="1"/>
                <w:szCs w:val="1"/>
                <w:color w:val="auto"/>
              </w:rPr>
            </w:pPr>
          </w:p>
        </w:tc>
      </w:tr>
      <w:tr>
        <w:trPr>
          <w:trHeight w:val="183"/>
        </w:trPr>
        <w:tc>
          <w:tcPr>
            <w:tcW w:w="3180" w:type="dxa"/>
            <w:vAlign w:val="bottom"/>
          </w:tcPr>
          <w:p>
            <w:pPr>
              <w:ind w:left="60"/>
              <w:spacing w:after="0"/>
              <w:rPr>
                <w:sz w:val="20"/>
                <w:szCs w:val="20"/>
                <w:color w:val="auto"/>
              </w:rPr>
            </w:pPr>
            <w:r>
              <w:rPr>
                <w:rFonts w:ascii="Arial" w:cs="Arial" w:eastAsia="Arial" w:hAnsi="Arial"/>
                <w:sz w:val="13"/>
                <w:szCs w:val="13"/>
                <w:b w:val="1"/>
                <w:bCs w:val="1"/>
                <w:color w:val="00529B"/>
              </w:rPr>
              <w:t>V. Hollub</w:t>
            </w:r>
          </w:p>
        </w:tc>
        <w:tc>
          <w:tcPr>
            <w:tcW w:w="680" w:type="dxa"/>
            <w:vAlign w:val="bottom"/>
            <w:tcBorders>
              <w:bottom w:val="single" w:sz="8" w:color="D1D2D4"/>
            </w:tcBorders>
          </w:tcPr>
          <w:p>
            <w:pPr>
              <w:spacing w:after="0"/>
              <w:rPr>
                <w:sz w:val="15"/>
                <w:szCs w:val="15"/>
                <w:color w:val="auto"/>
              </w:rPr>
            </w:pPr>
          </w:p>
        </w:tc>
        <w:tc>
          <w:tcPr>
            <w:tcW w:w="8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16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1060" w:type="dxa"/>
            <w:vAlign w:val="bottom"/>
            <w:tcBorders>
              <w:bottom w:val="single" w:sz="8" w:color="D1D2D4"/>
            </w:tcBorders>
          </w:tcPr>
          <w:p>
            <w:pPr>
              <w:spacing w:after="0"/>
              <w:rPr>
                <w:sz w:val="15"/>
                <w:szCs w:val="15"/>
                <w:color w:val="auto"/>
              </w:rPr>
            </w:pPr>
          </w:p>
        </w:tc>
        <w:tc>
          <w:tcPr>
            <w:tcW w:w="10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line="216"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399,540</w:t>
            </w:r>
          </w:p>
        </w:tc>
        <w:tc>
          <w:tcPr>
            <w:tcW w:w="10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199,769</w:t>
            </w:r>
          </w:p>
        </w:tc>
        <w:tc>
          <w:tcPr>
            <w:tcW w:w="8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$40.03</w:t>
            </w:r>
          </w:p>
        </w:tc>
        <w:tc>
          <w:tcPr>
            <w:tcW w:w="88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3"/>
                <w:szCs w:val="13"/>
                <w:color w:val="auto"/>
              </w:rPr>
              <w:t>2/14/2030</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48,152</w:t>
            </w:r>
          </w:p>
        </w:tc>
        <w:tc>
          <w:tcPr>
            <w:tcW w:w="10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96,302</w:t>
            </w:r>
          </w:p>
        </w:tc>
        <w:tc>
          <w:tcPr>
            <w:tcW w:w="8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$25.39</w:t>
            </w:r>
          </w:p>
        </w:tc>
        <w:tc>
          <w:tcPr>
            <w:tcW w:w="88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3"/>
                <w:szCs w:val="13"/>
                <w:color w:val="auto"/>
              </w:rPr>
              <w:t>2/12/2031</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104,213</w:t>
            </w:r>
          </w:p>
        </w:tc>
        <w:tc>
          <w:tcPr>
            <w:tcW w:w="8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$42.98</w:t>
            </w:r>
          </w:p>
        </w:tc>
        <w:tc>
          <w:tcPr>
            <w:tcW w:w="88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3"/>
                <w:szCs w:val="13"/>
                <w:color w:val="auto"/>
              </w:rPr>
              <w:t>2/11/2032</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SAR</w:t>
            </w:r>
            <w:r>
              <w:rPr>
                <w:rFonts w:ascii="Arial" w:cs="Arial" w:eastAsia="Arial" w:hAnsi="Arial"/>
                <w:sz w:val="10"/>
                <w:szCs w:val="10"/>
                <w:color w:val="auto"/>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171,231</w:t>
            </w:r>
          </w:p>
        </w:tc>
        <w:tc>
          <w:tcPr>
            <w:tcW w:w="10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85,615</w:t>
            </w:r>
          </w:p>
        </w:tc>
        <w:tc>
          <w:tcPr>
            <w:tcW w:w="8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$40.03</w:t>
            </w:r>
          </w:p>
        </w:tc>
        <w:tc>
          <w:tcPr>
            <w:tcW w:w="88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3"/>
                <w:szCs w:val="13"/>
                <w:color w:val="auto"/>
              </w:rPr>
              <w:t>2/14/2030</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21,033</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w w:val="93"/>
              </w:rPr>
              <w:t>1,324,869</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20,282</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w w:val="93"/>
              </w:rPr>
              <w:t>1,277,563</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48,248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w w:val="93"/>
              </w:rPr>
              <w:t>3,039,142</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56,713</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w w:val="93"/>
              </w:rPr>
              <w:t>3,572,352</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144,744</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$ 9,117,425</w:t>
            </w: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113,426</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$7,144,704</w:t>
            </w: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99,988</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$6,298,244</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D1D2D4"/>
            </w:tcBorders>
          </w:tcPr>
          <w:p>
            <w:pPr>
              <w:ind w:left="60"/>
              <w:spacing w:after="0" w:line="210" w:lineRule="exact"/>
              <w:rPr>
                <w:sz w:val="20"/>
                <w:szCs w:val="20"/>
                <w:color w:val="auto"/>
              </w:rPr>
            </w:pPr>
            <w:r>
              <w:rPr>
                <w:rFonts w:ascii="Arial" w:cs="Arial" w:eastAsia="Arial" w:hAnsi="Arial"/>
                <w:sz w:val="24"/>
                <w:szCs w:val="24"/>
                <w:color w:val="auto"/>
                <w:vertAlign w:val="subscript"/>
              </w:rPr>
              <w:t>TSR</w:t>
            </w:r>
            <w:r>
              <w:rPr>
                <w:rFonts w:ascii="Arial" w:cs="Arial" w:eastAsia="Arial" w:hAnsi="Arial"/>
                <w:sz w:val="10"/>
                <w:szCs w:val="10"/>
                <w:color w:val="auto"/>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78,360</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$4,935,896</w:t>
            </w:r>
          </w:p>
        </w:tc>
        <w:tc>
          <w:tcPr>
            <w:tcW w:w="0" w:type="dxa"/>
            <w:vAlign w:val="bottom"/>
          </w:tcPr>
          <w:p>
            <w:pPr>
              <w:spacing w:after="0"/>
              <w:rPr>
                <w:sz w:val="1"/>
                <w:szCs w:val="1"/>
                <w:color w:val="auto"/>
              </w:rPr>
            </w:pPr>
          </w:p>
        </w:tc>
      </w:tr>
      <w:tr>
        <w:trPr>
          <w:trHeight w:val="176"/>
        </w:trPr>
        <w:tc>
          <w:tcPr>
            <w:tcW w:w="3180" w:type="dxa"/>
            <w:vAlign w:val="bottom"/>
          </w:tcPr>
          <w:p>
            <w:pPr>
              <w:ind w:left="60"/>
              <w:spacing w:after="0"/>
              <w:rPr>
                <w:sz w:val="20"/>
                <w:szCs w:val="20"/>
                <w:color w:val="auto"/>
              </w:rPr>
            </w:pPr>
            <w:r>
              <w:rPr>
                <w:rFonts w:ascii="Arial" w:cs="Arial" w:eastAsia="Arial" w:hAnsi="Arial"/>
                <w:sz w:val="13"/>
                <w:szCs w:val="13"/>
                <w:b w:val="1"/>
                <w:bCs w:val="1"/>
                <w:color w:val="00529B"/>
              </w:rPr>
              <w:t>R. Peterson</w:t>
            </w:r>
          </w:p>
        </w:tc>
        <w:tc>
          <w:tcPr>
            <w:tcW w:w="680" w:type="dxa"/>
            <w:vAlign w:val="bottom"/>
            <w:tcBorders>
              <w:bottom w:val="single" w:sz="8" w:color="D1D2D4"/>
            </w:tcBorders>
          </w:tcPr>
          <w:p>
            <w:pPr>
              <w:spacing w:after="0"/>
              <w:rPr>
                <w:sz w:val="15"/>
                <w:szCs w:val="15"/>
                <w:color w:val="auto"/>
              </w:rPr>
            </w:pPr>
          </w:p>
        </w:tc>
        <w:tc>
          <w:tcPr>
            <w:tcW w:w="880" w:type="dxa"/>
            <w:vAlign w:val="bottom"/>
            <w:tcBorders>
              <w:bottom w:val="single" w:sz="8" w:color="D1D2D4"/>
            </w:tcBorders>
          </w:tcPr>
          <w:p>
            <w:pPr>
              <w:spacing w:after="0"/>
              <w:rPr>
                <w:sz w:val="15"/>
                <w:szCs w:val="15"/>
                <w:color w:val="auto"/>
              </w:rPr>
            </w:pPr>
          </w:p>
        </w:tc>
        <w:tc>
          <w:tcPr>
            <w:tcW w:w="1080" w:type="dxa"/>
            <w:vAlign w:val="bottom"/>
            <w:tcBorders>
              <w:bottom w:val="single" w:sz="8" w:color="D1D2D4"/>
            </w:tcBorders>
          </w:tcPr>
          <w:p>
            <w:pPr>
              <w:spacing w:after="0"/>
              <w:rPr>
                <w:sz w:val="15"/>
                <w:szCs w:val="15"/>
                <w:color w:val="auto"/>
              </w:rPr>
            </w:pPr>
          </w:p>
        </w:tc>
        <w:tc>
          <w:tcPr>
            <w:tcW w:w="82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16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60" w:type="dxa"/>
            <w:vAlign w:val="bottom"/>
            <w:tcBorders>
              <w:bottom w:val="single" w:sz="8" w:color="D1D2D4"/>
            </w:tcBorders>
          </w:tcPr>
          <w:p>
            <w:pPr>
              <w:spacing w:after="0"/>
              <w:rPr>
                <w:sz w:val="15"/>
                <w:szCs w:val="15"/>
                <w:color w:val="auto"/>
              </w:rPr>
            </w:pPr>
          </w:p>
        </w:tc>
        <w:tc>
          <w:tcPr>
            <w:tcW w:w="1060" w:type="dxa"/>
            <w:vAlign w:val="bottom"/>
            <w:tcBorders>
              <w:bottom w:val="single" w:sz="8" w:color="D1D2D4"/>
            </w:tcBorders>
          </w:tcPr>
          <w:p>
            <w:pPr>
              <w:spacing w:after="0"/>
              <w:rPr>
                <w:sz w:val="15"/>
                <w:szCs w:val="15"/>
                <w:color w:val="auto"/>
              </w:rPr>
            </w:pPr>
          </w:p>
        </w:tc>
        <w:tc>
          <w:tcPr>
            <w:tcW w:w="10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line="216"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18,344</w:t>
            </w:r>
          </w:p>
        </w:tc>
        <w:tc>
          <w:tcPr>
            <w:tcW w:w="10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36,686</w:t>
            </w:r>
          </w:p>
        </w:tc>
        <w:tc>
          <w:tcPr>
            <w:tcW w:w="8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$25.39</w:t>
            </w:r>
          </w:p>
        </w:tc>
        <w:tc>
          <w:tcPr>
            <w:tcW w:w="88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3"/>
                <w:szCs w:val="13"/>
                <w:color w:val="auto"/>
              </w:rPr>
              <w:t>2/12/2031</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34,204</w:t>
            </w:r>
          </w:p>
        </w:tc>
        <w:tc>
          <w:tcPr>
            <w:tcW w:w="82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$42.98</w:t>
            </w:r>
          </w:p>
        </w:tc>
        <w:tc>
          <w:tcPr>
            <w:tcW w:w="88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3"/>
                <w:szCs w:val="13"/>
                <w:color w:val="auto"/>
              </w:rPr>
              <w:t>2/11/2032</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8,413</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rPr>
              <w:t>529,935</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18,380</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w w:val="93"/>
              </w:rPr>
              <w:t>1,157,756</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18,614</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D1D2D4"/>
            </w:tcBorders>
          </w:tcPr>
          <w:p>
            <w:pPr>
              <w:jc w:val="right"/>
              <w:ind w:right="38"/>
              <w:spacing w:after="0"/>
              <w:rPr>
                <w:sz w:val="20"/>
                <w:szCs w:val="20"/>
                <w:color w:val="auto"/>
              </w:rPr>
            </w:pPr>
            <w:r>
              <w:rPr>
                <w:rFonts w:ascii="Arial" w:cs="Arial" w:eastAsia="Arial" w:hAnsi="Arial"/>
                <w:sz w:val="13"/>
                <w:szCs w:val="13"/>
                <w:color w:val="auto"/>
                <w:w w:val="93"/>
              </w:rPr>
              <w:t>1,172,496</w:t>
            </w:r>
          </w:p>
        </w:tc>
        <w:tc>
          <w:tcPr>
            <w:tcW w:w="106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55,140</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$3,473,269</w:t>
            </w: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37,228</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$2,344,992</w:t>
            </w:r>
          </w:p>
        </w:tc>
        <w:tc>
          <w:tcPr>
            <w:tcW w:w="0" w:type="dxa"/>
            <w:vAlign w:val="bottom"/>
          </w:tcPr>
          <w:p>
            <w:pPr>
              <w:spacing w:after="0"/>
              <w:rPr>
                <w:sz w:val="1"/>
                <w:szCs w:val="1"/>
                <w:color w:val="auto"/>
              </w:rPr>
            </w:pPr>
          </w:p>
        </w:tc>
      </w:tr>
      <w:tr>
        <w:trPr>
          <w:trHeight w:val="210"/>
        </w:trPr>
        <w:tc>
          <w:tcPr>
            <w:tcW w:w="3180" w:type="dxa"/>
            <w:vAlign w:val="bottom"/>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38,092</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$2,399,415</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D1D2D4"/>
            </w:tcBorders>
          </w:tcPr>
          <w:p>
            <w:pPr>
              <w:ind w:left="60"/>
              <w:spacing w:after="0" w:line="210" w:lineRule="exact"/>
              <w:rPr>
                <w:sz w:val="20"/>
                <w:szCs w:val="20"/>
                <w:color w:val="auto"/>
              </w:rPr>
            </w:pPr>
            <w:r>
              <w:rPr>
                <w:rFonts w:ascii="Arial" w:cs="Arial" w:eastAsia="Arial" w:hAnsi="Arial"/>
                <w:sz w:val="24"/>
                <w:szCs w:val="24"/>
                <w:color w:val="auto"/>
                <w:vertAlign w:val="subscript"/>
              </w:rPr>
              <w:t>TSR</w:t>
            </w:r>
            <w:r>
              <w:rPr>
                <w:rFonts w:ascii="Arial" w:cs="Arial" w:eastAsia="Arial" w:hAnsi="Arial"/>
                <w:sz w:val="10"/>
                <w:szCs w:val="10"/>
                <w:color w:val="auto"/>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80" w:type="dxa"/>
            <w:vAlign w:val="bottom"/>
            <w:tcBorders>
              <w:bottom w:val="single" w:sz="8" w:color="D1D2D4"/>
            </w:tcBorders>
          </w:tcPr>
          <w:p>
            <w:pPr>
              <w:spacing w:after="0"/>
              <w:rPr>
                <w:sz w:val="18"/>
                <w:szCs w:val="18"/>
                <w:color w:val="auto"/>
              </w:rPr>
            </w:pPr>
          </w:p>
        </w:tc>
        <w:tc>
          <w:tcPr>
            <w:tcW w:w="10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72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60" w:type="dxa"/>
            <w:vAlign w:val="bottom"/>
            <w:tcBorders>
              <w:bottom w:val="single" w:sz="8" w:color="D1D2D4"/>
            </w:tcBorders>
          </w:tcPr>
          <w:p>
            <w:pPr>
              <w:spacing w:after="0"/>
              <w:rPr>
                <w:sz w:val="18"/>
                <w:szCs w:val="18"/>
                <w:color w:val="auto"/>
              </w:rPr>
            </w:pPr>
          </w:p>
        </w:tc>
        <w:tc>
          <w:tcPr>
            <w:tcW w:w="10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25,718</w:t>
            </w:r>
          </w:p>
        </w:tc>
        <w:tc>
          <w:tcPr>
            <w:tcW w:w="1040" w:type="dxa"/>
            <w:vAlign w:val="bottom"/>
            <w:tcBorders>
              <w:bottom w:val="single" w:sz="8" w:color="D1D2D4"/>
            </w:tcBorders>
          </w:tcPr>
          <w:p>
            <w:pPr>
              <w:jc w:val="right"/>
              <w:ind w:right="58"/>
              <w:spacing w:after="0"/>
              <w:rPr>
                <w:sz w:val="20"/>
                <w:szCs w:val="20"/>
                <w:color w:val="auto"/>
              </w:rPr>
            </w:pPr>
            <w:r>
              <w:rPr>
                <w:rFonts w:ascii="Arial" w:cs="Arial" w:eastAsia="Arial" w:hAnsi="Arial"/>
                <w:sz w:val="13"/>
                <w:szCs w:val="13"/>
                <w:color w:val="auto"/>
              </w:rPr>
              <w:t>$1,619,977</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Arial" w:cs="Arial" w:eastAsia="Arial" w:hAnsi="Arial"/>
                <w:sz w:val="15"/>
                <w:szCs w:val="15"/>
                <w:color w:val="auto"/>
              </w:rPr>
              <w:t>Executive Compensation Tables</w:t>
            </w:r>
          </w:p>
        </w:tc>
        <w:tc>
          <w:tcPr>
            <w:tcW w:w="0" w:type="dxa"/>
            <w:vAlign w:val="bottom"/>
          </w:tcPr>
          <w:p>
            <w:pPr>
              <w:spacing w:after="0"/>
              <w:rPr>
                <w:sz w:val="1"/>
                <w:szCs w:val="1"/>
                <w:color w:val="auto"/>
              </w:rPr>
            </w:pPr>
          </w:p>
        </w:tc>
      </w:tr>
      <w:tr>
        <w:trPr>
          <w:trHeight w:val="339"/>
        </w:trPr>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60" w:type="dxa"/>
            <w:vAlign w:val="bottom"/>
            <w:gridSpan w:val="4"/>
          </w:tcPr>
          <w:p>
            <w:pPr>
              <w:jc w:val="right"/>
              <w:ind w:right="17"/>
              <w:spacing w:after="0"/>
              <w:rPr>
                <w:sz w:val="20"/>
                <w:szCs w:val="20"/>
                <w:color w:val="auto"/>
              </w:rPr>
            </w:pPr>
            <w:r>
              <w:rPr>
                <w:rFonts w:ascii="Arial" w:cs="Arial" w:eastAsia="Arial" w:hAnsi="Arial"/>
                <w:sz w:val="13"/>
                <w:szCs w:val="13"/>
                <w:b w:val="1"/>
                <w:bCs w:val="1"/>
                <w:color w:val="00529B"/>
              </w:rPr>
              <w:t>Nonqualified Stock Options and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vMerge w:val="restart"/>
          </w:tcPr>
          <w:p>
            <w:pPr>
              <w:jc w:val="right"/>
              <w:ind w:right="377"/>
              <w:spacing w:after="0"/>
              <w:rPr>
                <w:sz w:val="20"/>
                <w:szCs w:val="20"/>
                <w:color w:val="auto"/>
              </w:rPr>
            </w:pPr>
            <w:r>
              <w:rPr>
                <w:rFonts w:ascii="Arial" w:cs="Arial" w:eastAsia="Arial" w:hAnsi="Arial"/>
                <w:sz w:val="13"/>
                <w:szCs w:val="13"/>
                <w:b w:val="1"/>
                <w:bCs w:val="1"/>
                <w:color w:val="00529B"/>
              </w:rPr>
              <w:t>Stock Awards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Borders>
              <w:bottom w:val="single" w:sz="8" w:color="00529B"/>
            </w:tcBorders>
          </w:tcPr>
          <w:p>
            <w:pPr>
              <w:spacing w:after="0"/>
              <w:rPr>
                <w:sz w:val="16"/>
                <w:szCs w:val="16"/>
                <w:color w:val="auto"/>
              </w:rPr>
            </w:pPr>
          </w:p>
        </w:tc>
        <w:tc>
          <w:tcPr>
            <w:tcW w:w="1900" w:type="dxa"/>
            <w:vAlign w:val="bottom"/>
            <w:tcBorders>
              <w:bottom w:val="single" w:sz="8" w:color="00529B"/>
            </w:tcBorders>
            <w:gridSpan w:val="3"/>
          </w:tcPr>
          <w:p>
            <w:pPr>
              <w:jc w:val="right"/>
              <w:ind w:right="177"/>
              <w:spacing w:after="0"/>
              <w:rPr>
                <w:sz w:val="20"/>
                <w:szCs w:val="20"/>
                <w:color w:val="auto"/>
              </w:rPr>
            </w:pPr>
            <w:r>
              <w:rPr>
                <w:rFonts w:ascii="Arial" w:cs="Arial" w:eastAsia="Arial" w:hAnsi="Arial"/>
                <w:sz w:val="13"/>
                <w:szCs w:val="13"/>
                <w:b w:val="1"/>
                <w:bCs w:val="1"/>
                <w:color w:val="00529B"/>
              </w:rPr>
              <w:t>Stock Appreciation Rights</w:t>
            </w:r>
          </w:p>
        </w:tc>
        <w:tc>
          <w:tcPr>
            <w:tcW w:w="700" w:type="dxa"/>
            <w:vAlign w:val="bottom"/>
            <w:tcBorders>
              <w:bottom w:val="single" w:sz="8" w:color="00529B"/>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00529B"/>
            </w:tcBorders>
          </w:tcPr>
          <w:p>
            <w:pPr>
              <w:spacing w:after="0"/>
              <w:rPr>
                <w:sz w:val="16"/>
                <w:szCs w:val="16"/>
                <w:color w:val="auto"/>
              </w:rPr>
            </w:pPr>
          </w:p>
        </w:tc>
        <w:tc>
          <w:tcPr>
            <w:tcW w:w="180" w:type="dxa"/>
            <w:vAlign w:val="bottom"/>
            <w:tcBorders>
              <w:bottom w:val="single" w:sz="8" w:color="00529B"/>
            </w:tcBorders>
          </w:tcPr>
          <w:p>
            <w:pPr>
              <w:spacing w:after="0"/>
              <w:rPr>
                <w:sz w:val="16"/>
                <w:szCs w:val="16"/>
                <w:color w:val="auto"/>
              </w:rPr>
            </w:pPr>
          </w:p>
        </w:tc>
        <w:tc>
          <w:tcPr>
            <w:tcW w:w="1680" w:type="dxa"/>
            <w:vAlign w:val="bottom"/>
            <w:tcBorders>
              <w:bottom w:val="single" w:sz="8" w:color="00529B"/>
            </w:tcBorders>
            <w:gridSpan w:val="2"/>
            <w:vMerge w:val="continue"/>
          </w:tcPr>
          <w:p>
            <w:pPr>
              <w:spacing w:after="0"/>
              <w:rPr>
                <w:sz w:val="16"/>
                <w:szCs w:val="16"/>
                <w:color w:val="auto"/>
              </w:rPr>
            </w:pPr>
          </w:p>
        </w:tc>
        <w:tc>
          <w:tcPr>
            <w:tcW w:w="940" w:type="dxa"/>
            <w:vAlign w:val="bottom"/>
            <w:tcBorders>
              <w:bottom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jc w:val="right"/>
              <w:ind w:right="58"/>
              <w:spacing w:after="0" w:line="144" w:lineRule="exact"/>
              <w:rPr>
                <w:sz w:val="20"/>
                <w:szCs w:val="20"/>
                <w:color w:val="auto"/>
              </w:rPr>
            </w:pPr>
            <w:r>
              <w:rPr>
                <w:rFonts w:ascii="Arial" w:cs="Arial" w:eastAsia="Arial" w:hAnsi="Arial"/>
                <w:sz w:val="13"/>
                <w:szCs w:val="13"/>
                <w:b w:val="1"/>
                <w:bCs w:val="1"/>
                <w:color w:val="00529B"/>
              </w:rPr>
              <w:t>Equity</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Incentive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Plan</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Awards:</w:t>
            </w: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00529B"/>
              </w:rPr>
              <w:t>Equity</w:t>
            </w:r>
          </w:p>
        </w:tc>
        <w:tc>
          <w:tcPr>
            <w:tcW w:w="940" w:type="dxa"/>
            <w:vAlign w:val="bottom"/>
          </w:tcPr>
          <w:p>
            <w:pPr>
              <w:jc w:val="right"/>
              <w:ind w:right="58"/>
              <w:spacing w:after="0"/>
              <w:rPr>
                <w:sz w:val="20"/>
                <w:szCs w:val="20"/>
                <w:color w:val="auto"/>
              </w:rPr>
            </w:pPr>
            <w:r>
              <w:rPr>
                <w:rFonts w:ascii="Arial" w:cs="Arial" w:eastAsia="Arial" w:hAnsi="Arial"/>
                <w:sz w:val="13"/>
                <w:szCs w:val="13"/>
                <w:b w:val="1"/>
                <w:bCs w:val="1"/>
                <w:color w:val="00529B"/>
              </w:rPr>
              <w:t>Market or</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Incentive</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Payout</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529B"/>
              </w:rPr>
              <w:t>Market</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Plan Awards:</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Value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00529B"/>
                <w:w w:val="95"/>
              </w:rPr>
              <w:t>Number of</w:t>
            </w: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Number of</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of Unearned</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00529B"/>
              </w:rPr>
              <w:t>Number of</w:t>
            </w:r>
          </w:p>
        </w:tc>
        <w:tc>
          <w:tcPr>
            <w:tcW w:w="11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00529B"/>
              </w:rPr>
              <w:t>Number of</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w w:val="98"/>
              </w:rPr>
              <w:t>Value of</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Unearned</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Shares,</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Shares or</w:t>
            </w:r>
          </w:p>
        </w:tc>
        <w:tc>
          <w:tcPr>
            <w:tcW w:w="82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00529B"/>
              </w:rPr>
              <w:t>Shares or</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Shares, Units</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Units</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Securities</w:t>
            </w: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Securities</w:t>
            </w:r>
          </w:p>
        </w:tc>
        <w:tc>
          <w:tcPr>
            <w:tcW w:w="800" w:type="dxa"/>
            <w:vAlign w:val="bottom"/>
            <w:gridSpan w:val="2"/>
            <w:vMerge w:val="restart"/>
          </w:tcPr>
          <w:p>
            <w:pPr>
              <w:jc w:val="right"/>
              <w:ind w:right="97"/>
              <w:spacing w:after="0"/>
              <w:rPr>
                <w:sz w:val="20"/>
                <w:szCs w:val="20"/>
                <w:color w:val="auto"/>
              </w:rPr>
            </w:pPr>
            <w:r>
              <w:rPr>
                <w:rFonts w:ascii="Arial" w:cs="Arial" w:eastAsia="Arial" w:hAnsi="Arial"/>
                <w:sz w:val="13"/>
                <w:szCs w:val="13"/>
                <w:b w:val="1"/>
                <w:bCs w:val="1"/>
                <w:color w:val="00529B"/>
              </w:rPr>
              <w:t>Option</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Units of</w:t>
            </w:r>
          </w:p>
        </w:tc>
        <w:tc>
          <w:tcPr>
            <w:tcW w:w="18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Units of</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or Other</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or Other</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60"/>
              <w:spacing w:after="0"/>
              <w:rPr>
                <w:sz w:val="20"/>
                <w:szCs w:val="20"/>
                <w:color w:val="auto"/>
              </w:rPr>
            </w:pPr>
            <w:r>
              <w:rPr>
                <w:rFonts w:ascii="Arial" w:cs="Arial" w:eastAsia="Arial" w:hAnsi="Arial"/>
                <w:sz w:val="13"/>
                <w:szCs w:val="13"/>
                <w:b w:val="1"/>
                <w:bCs w:val="1"/>
                <w:color w:val="00529B"/>
              </w:rPr>
              <w:t>Name/</w:t>
            </w:r>
          </w:p>
        </w:tc>
        <w:tc>
          <w:tcPr>
            <w:tcW w:w="680" w:type="dxa"/>
            <w:vAlign w:val="bottom"/>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Underlying</w:t>
            </w: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Underlying</w:t>
            </w:r>
          </w:p>
        </w:tc>
        <w:tc>
          <w:tcPr>
            <w:tcW w:w="800" w:type="dxa"/>
            <w:vAlign w:val="bottom"/>
            <w:gridSpan w:val="2"/>
            <w:vMerge w:val="continue"/>
          </w:tcPr>
          <w:p>
            <w:pPr>
              <w:spacing w:after="0"/>
              <w:rPr>
                <w:sz w:val="11"/>
                <w:szCs w:val="1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00529B"/>
              </w:rPr>
              <w:t>Option</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Stock that</w:t>
            </w: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00529B"/>
              </w:rPr>
              <w:t>Stock that</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Rights that</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Rights that</w:t>
            </w:r>
          </w:p>
        </w:tc>
        <w:tc>
          <w:tcPr>
            <w:tcW w:w="0" w:type="dxa"/>
            <w:vAlign w:val="bottom"/>
          </w:tcPr>
          <w:p>
            <w:pPr>
              <w:spacing w:after="0"/>
              <w:rPr>
                <w:sz w:val="1"/>
                <w:szCs w:val="1"/>
                <w:color w:val="auto"/>
              </w:rPr>
            </w:pPr>
          </w:p>
        </w:tc>
      </w:tr>
      <w:tr>
        <w:trPr>
          <w:trHeight w:val="135"/>
        </w:trPr>
        <w:tc>
          <w:tcPr>
            <w:tcW w:w="3340" w:type="dxa"/>
            <w:vAlign w:val="bottom"/>
            <w:vMerge w:val="continue"/>
          </w:tcPr>
          <w:p>
            <w:pPr>
              <w:spacing w:after="0"/>
              <w:rPr>
                <w:sz w:val="11"/>
                <w:szCs w:val="11"/>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00529B"/>
              </w:rPr>
              <w:t>Grant</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w w:val="95"/>
              </w:rPr>
              <w:t>Unexercised</w:t>
            </w: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Unexercised</w:t>
            </w:r>
          </w:p>
        </w:tc>
        <w:tc>
          <w:tcPr>
            <w:tcW w:w="800" w:type="dxa"/>
            <w:vAlign w:val="bottom"/>
            <w:gridSpan w:val="2"/>
          </w:tcPr>
          <w:p>
            <w:pPr>
              <w:jc w:val="right"/>
              <w:ind w:right="97"/>
              <w:spacing w:after="0" w:line="135" w:lineRule="exact"/>
              <w:rPr>
                <w:sz w:val="20"/>
                <w:szCs w:val="20"/>
                <w:color w:val="auto"/>
              </w:rPr>
            </w:pPr>
            <w:r>
              <w:rPr>
                <w:rFonts w:ascii="Arial" w:cs="Arial" w:eastAsia="Arial" w:hAnsi="Arial"/>
                <w:sz w:val="13"/>
                <w:szCs w:val="13"/>
                <w:b w:val="1"/>
                <w:bCs w:val="1"/>
                <w:color w:val="00529B"/>
              </w:rPr>
              <w:t>Exercise</w:t>
            </w:r>
          </w:p>
        </w:tc>
        <w:tc>
          <w:tcPr>
            <w:tcW w:w="880" w:type="dxa"/>
            <w:vAlign w:val="bottom"/>
            <w:gridSpan w:val="2"/>
            <w:vMerge w:val="continue"/>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Have Not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529B"/>
                <w:w w:val="95"/>
              </w:rPr>
              <w:t>Have Not</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Have</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Have Not</w:t>
            </w:r>
          </w:p>
        </w:tc>
        <w:tc>
          <w:tcPr>
            <w:tcW w:w="0" w:type="dxa"/>
            <w:vAlign w:val="bottom"/>
          </w:tcPr>
          <w:p>
            <w:pPr>
              <w:spacing w:after="0"/>
              <w:rPr>
                <w:sz w:val="1"/>
                <w:szCs w:val="1"/>
                <w:color w:val="auto"/>
              </w:rPr>
            </w:pPr>
          </w:p>
        </w:tc>
      </w:tr>
      <w:tr>
        <w:trPr>
          <w:trHeight w:val="135"/>
        </w:trPr>
        <w:tc>
          <w:tcPr>
            <w:tcW w:w="3340" w:type="dxa"/>
            <w:vAlign w:val="bottom"/>
          </w:tcPr>
          <w:p>
            <w:pPr>
              <w:ind w:left="60"/>
              <w:spacing w:after="0" w:line="135" w:lineRule="exact"/>
              <w:rPr>
                <w:sz w:val="20"/>
                <w:szCs w:val="20"/>
                <w:color w:val="auto"/>
              </w:rPr>
            </w:pPr>
            <w:r>
              <w:rPr>
                <w:rFonts w:ascii="Arial" w:cs="Arial" w:eastAsia="Arial" w:hAnsi="Arial"/>
                <w:sz w:val="13"/>
                <w:szCs w:val="13"/>
                <w:b w:val="1"/>
                <w:bCs w:val="1"/>
                <w:color w:val="00529B"/>
              </w:rPr>
              <w:t>Type of</w:t>
            </w:r>
          </w:p>
        </w:tc>
        <w:tc>
          <w:tcPr>
            <w:tcW w:w="680" w:type="dxa"/>
            <w:vAlign w:val="bottom"/>
            <w:vMerge w:val="continue"/>
          </w:tcPr>
          <w:p>
            <w:pPr>
              <w:spacing w:after="0"/>
              <w:rPr>
                <w:sz w:val="11"/>
                <w:szCs w:val="11"/>
                <w:color w:val="auto"/>
              </w:rPr>
            </w:pP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Options (#)</w:t>
            </w: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Options (#)</w:t>
            </w:r>
          </w:p>
        </w:tc>
        <w:tc>
          <w:tcPr>
            <w:tcW w:w="800" w:type="dxa"/>
            <w:vAlign w:val="bottom"/>
            <w:gridSpan w:val="2"/>
          </w:tcPr>
          <w:p>
            <w:pPr>
              <w:ind w:left="200"/>
              <w:spacing w:after="0" w:line="135" w:lineRule="exact"/>
              <w:rPr>
                <w:sz w:val="20"/>
                <w:szCs w:val="20"/>
                <w:color w:val="auto"/>
              </w:rPr>
            </w:pPr>
            <w:r>
              <w:rPr>
                <w:rFonts w:ascii="Arial" w:cs="Arial" w:eastAsia="Arial" w:hAnsi="Arial"/>
                <w:sz w:val="10"/>
                <w:szCs w:val="10"/>
                <w:b w:val="1"/>
                <w:bCs w:val="1"/>
                <w:color w:val="00529B"/>
              </w:rPr>
              <w:t>Price</w:t>
            </w:r>
            <w:r>
              <w:rPr>
                <w:rFonts w:ascii="Arial" w:cs="Arial" w:eastAsia="Arial" w:hAnsi="Arial"/>
                <w:sz w:val="15"/>
                <w:szCs w:val="15"/>
                <w:b w:val="1"/>
                <w:bCs w:val="1"/>
                <w:color w:val="00529B"/>
                <w:vertAlign w:val="superscript"/>
              </w:rPr>
              <w:t>(1)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529B"/>
              </w:rPr>
              <w:t>Expiration</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Vested</w:t>
            </w:r>
          </w:p>
        </w:tc>
        <w:tc>
          <w:tcPr>
            <w:tcW w:w="18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Vested</w:t>
            </w:r>
          </w:p>
        </w:tc>
        <w:tc>
          <w:tcPr>
            <w:tcW w:w="10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529B"/>
              </w:rPr>
              <w:t>Not Vested</w:t>
            </w:r>
          </w:p>
        </w:tc>
        <w:tc>
          <w:tcPr>
            <w:tcW w:w="94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00529B"/>
              </w:rPr>
              <w:t>Vested</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Award</w:t>
            </w:r>
          </w:p>
        </w:tc>
        <w:tc>
          <w:tcPr>
            <w:tcW w:w="68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b w:val="1"/>
                <w:bCs w:val="1"/>
                <w:color w:val="00529B"/>
              </w:rPr>
              <w:t>Date</w:t>
            </w:r>
          </w:p>
        </w:tc>
        <w:tc>
          <w:tcPr>
            <w:tcW w:w="86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Exercisable</w:t>
            </w:r>
          </w:p>
        </w:tc>
        <w:tc>
          <w:tcPr>
            <w:tcW w:w="1100" w:type="dxa"/>
            <w:vAlign w:val="bottom"/>
            <w:tcBorders>
              <w:bottom w:val="single" w:sz="8" w:color="00529B"/>
            </w:tcBorders>
          </w:tcPr>
          <w:p>
            <w:pPr>
              <w:jc w:val="right"/>
              <w:ind w:right="57"/>
              <w:spacing w:after="0"/>
              <w:rPr>
                <w:sz w:val="20"/>
                <w:szCs w:val="20"/>
                <w:color w:val="auto"/>
              </w:rPr>
            </w:pPr>
            <w:r>
              <w:rPr>
                <w:rFonts w:ascii="Arial" w:cs="Arial" w:eastAsia="Arial" w:hAnsi="Arial"/>
                <w:sz w:val="13"/>
                <w:szCs w:val="13"/>
                <w:b w:val="1"/>
                <w:bCs w:val="1"/>
                <w:color w:val="00529B"/>
              </w:rPr>
              <w:t>Unexercisable</w:t>
            </w:r>
          </w:p>
        </w:tc>
        <w:tc>
          <w:tcPr>
            <w:tcW w:w="320" w:type="dxa"/>
            <w:vAlign w:val="bottom"/>
            <w:tcBorders>
              <w:bottom w:val="single" w:sz="8" w:color="00529B"/>
            </w:tcBorders>
          </w:tcPr>
          <w:p>
            <w:pPr>
              <w:spacing w:after="0"/>
              <w:rPr>
                <w:sz w:val="17"/>
                <w:szCs w:val="17"/>
                <w:color w:val="auto"/>
              </w:rPr>
            </w:pPr>
          </w:p>
        </w:tc>
        <w:tc>
          <w:tcPr>
            <w:tcW w:w="480" w:type="dxa"/>
            <w:vAlign w:val="bottom"/>
            <w:tcBorders>
              <w:bottom w:val="single" w:sz="8" w:color="00529B"/>
            </w:tcBorders>
          </w:tcPr>
          <w:p>
            <w:pPr>
              <w:jc w:val="right"/>
              <w:ind w:right="57"/>
              <w:spacing w:after="0"/>
              <w:rPr>
                <w:sz w:val="20"/>
                <w:szCs w:val="20"/>
                <w:color w:val="auto"/>
              </w:rPr>
            </w:pPr>
            <w:r>
              <w:rPr>
                <w:rFonts w:ascii="Arial" w:cs="Arial" w:eastAsia="Arial" w:hAnsi="Arial"/>
                <w:sz w:val="13"/>
                <w:szCs w:val="13"/>
                <w:b w:val="1"/>
                <w:bCs w:val="1"/>
                <w:color w:val="00529B"/>
              </w:rPr>
              <w:t>($)</w:t>
            </w:r>
          </w:p>
        </w:tc>
        <w:tc>
          <w:tcPr>
            <w:tcW w:w="880" w:type="dxa"/>
            <w:vAlign w:val="bottom"/>
            <w:tcBorders>
              <w:bottom w:val="single" w:sz="8" w:color="00529B"/>
            </w:tcBorders>
            <w:gridSpan w:val="2"/>
          </w:tcPr>
          <w:p>
            <w:pPr>
              <w:jc w:val="right"/>
              <w:ind w:right="180"/>
              <w:spacing w:after="0"/>
              <w:rPr>
                <w:sz w:val="20"/>
                <w:szCs w:val="20"/>
                <w:color w:val="auto"/>
              </w:rPr>
            </w:pPr>
            <w:r>
              <w:rPr>
                <w:rFonts w:ascii="Arial" w:cs="Arial" w:eastAsia="Arial" w:hAnsi="Arial"/>
                <w:sz w:val="13"/>
                <w:szCs w:val="13"/>
                <w:b w:val="1"/>
                <w:bCs w:val="1"/>
                <w:color w:val="00529B"/>
              </w:rPr>
              <w:t>Date</w:t>
            </w:r>
          </w:p>
        </w:tc>
        <w:tc>
          <w:tcPr>
            <w:tcW w:w="78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rPr>
              <w:t>(#)</w:t>
            </w:r>
          </w:p>
        </w:tc>
        <w:tc>
          <w:tcPr>
            <w:tcW w:w="180" w:type="dxa"/>
            <w:vAlign w:val="bottom"/>
            <w:tcBorders>
              <w:bottom w:val="single" w:sz="8" w:color="00529B"/>
            </w:tcBorders>
          </w:tcPr>
          <w:p>
            <w:pPr>
              <w:spacing w:after="0"/>
              <w:rPr>
                <w:sz w:val="17"/>
                <w:szCs w:val="17"/>
                <w:color w:val="auto"/>
              </w:rPr>
            </w:pPr>
          </w:p>
        </w:tc>
        <w:tc>
          <w:tcPr>
            <w:tcW w:w="640" w:type="dxa"/>
            <w:vAlign w:val="bottom"/>
            <w:tcBorders>
              <w:bottom w:val="single" w:sz="8" w:color="00529B"/>
            </w:tcBorders>
          </w:tcPr>
          <w:p>
            <w:pPr>
              <w:jc w:val="right"/>
              <w:ind w:right="17"/>
              <w:spacing w:after="0" w:line="189" w:lineRule="exact"/>
              <w:rPr>
                <w:sz w:val="20"/>
                <w:szCs w:val="20"/>
                <w:color w:val="auto"/>
              </w:rPr>
            </w:pPr>
            <w:r>
              <w:rPr>
                <w:rFonts w:ascii="Arial" w:cs="Arial" w:eastAsia="Arial" w:hAnsi="Arial"/>
                <w:sz w:val="21"/>
                <w:szCs w:val="21"/>
                <w:b w:val="1"/>
                <w:bCs w:val="1"/>
                <w:color w:val="00529B"/>
                <w:vertAlign w:val="subscript"/>
              </w:rPr>
              <w:t>($)</w:t>
            </w:r>
            <w:r>
              <w:rPr>
                <w:rFonts w:ascii="Arial" w:cs="Arial" w:eastAsia="Arial" w:hAnsi="Arial"/>
                <w:sz w:val="10"/>
                <w:szCs w:val="10"/>
                <w:b w:val="1"/>
                <w:bCs w:val="1"/>
                <w:color w:val="00529B"/>
              </w:rPr>
              <w:t>(2)</w:t>
            </w:r>
          </w:p>
        </w:tc>
        <w:tc>
          <w:tcPr>
            <w:tcW w:w="104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rPr>
              <w:t>(#)</w:t>
            </w:r>
          </w:p>
        </w:tc>
        <w:tc>
          <w:tcPr>
            <w:tcW w:w="940" w:type="dxa"/>
            <w:vAlign w:val="bottom"/>
            <w:tcBorders>
              <w:bottom w:val="single" w:sz="8" w:color="00529B"/>
            </w:tcBorders>
          </w:tcPr>
          <w:p>
            <w:pPr>
              <w:jc w:val="right"/>
              <w:ind w:right="18"/>
              <w:spacing w:after="0" w:line="189" w:lineRule="exact"/>
              <w:rPr>
                <w:sz w:val="20"/>
                <w:szCs w:val="20"/>
                <w:color w:val="auto"/>
              </w:rPr>
            </w:pPr>
            <w:r>
              <w:rPr>
                <w:rFonts w:ascii="Arial" w:cs="Arial" w:eastAsia="Arial" w:hAnsi="Arial"/>
                <w:sz w:val="21"/>
                <w:szCs w:val="21"/>
                <w:b w:val="1"/>
                <w:bCs w:val="1"/>
                <w:color w:val="00529B"/>
                <w:vertAlign w:val="subscript"/>
              </w:rPr>
              <w:t>($)</w:t>
            </w:r>
            <w:r>
              <w:rPr>
                <w:rFonts w:ascii="Arial" w:cs="Arial" w:eastAsia="Arial" w:hAnsi="Arial"/>
                <w:sz w:val="10"/>
                <w:szCs w:val="10"/>
                <w:b w:val="1"/>
                <w:bCs w:val="1"/>
                <w:color w:val="00529B"/>
              </w:rPr>
              <w:t>(2)</w:t>
            </w:r>
          </w:p>
        </w:tc>
        <w:tc>
          <w:tcPr>
            <w:tcW w:w="0" w:type="dxa"/>
            <w:vAlign w:val="bottom"/>
          </w:tcPr>
          <w:p>
            <w:pPr>
              <w:spacing w:after="0"/>
              <w:rPr>
                <w:sz w:val="1"/>
                <w:szCs w:val="1"/>
                <w:color w:val="auto"/>
              </w:rPr>
            </w:pPr>
          </w:p>
        </w:tc>
      </w:tr>
      <w:tr>
        <w:trPr>
          <w:trHeight w:val="183"/>
        </w:trPr>
        <w:tc>
          <w:tcPr>
            <w:tcW w:w="3340" w:type="dxa"/>
            <w:vAlign w:val="bottom"/>
          </w:tcPr>
          <w:p>
            <w:pPr>
              <w:ind w:left="60"/>
              <w:spacing w:after="0"/>
              <w:rPr>
                <w:sz w:val="20"/>
                <w:szCs w:val="20"/>
                <w:color w:val="auto"/>
              </w:rPr>
            </w:pPr>
            <w:r>
              <w:rPr>
                <w:rFonts w:ascii="Arial" w:cs="Arial" w:eastAsia="Arial" w:hAnsi="Arial"/>
                <w:sz w:val="13"/>
                <w:szCs w:val="13"/>
                <w:b w:val="1"/>
                <w:bCs w:val="1"/>
                <w:color w:val="00529B"/>
              </w:rPr>
              <w:t>P. Bennett</w:t>
            </w:r>
          </w:p>
        </w:tc>
        <w:tc>
          <w:tcPr>
            <w:tcW w:w="680" w:type="dxa"/>
            <w:vAlign w:val="bottom"/>
            <w:tcBorders>
              <w:bottom w:val="single" w:sz="8" w:color="D1D2D4"/>
            </w:tcBorders>
          </w:tcPr>
          <w:p>
            <w:pPr>
              <w:spacing w:after="0"/>
              <w:rPr>
                <w:sz w:val="15"/>
                <w:szCs w:val="15"/>
                <w:color w:val="auto"/>
              </w:rPr>
            </w:pPr>
          </w:p>
        </w:tc>
        <w:tc>
          <w:tcPr>
            <w:tcW w:w="860" w:type="dxa"/>
            <w:vAlign w:val="bottom"/>
            <w:tcBorders>
              <w:bottom w:val="single" w:sz="8" w:color="D1D2D4"/>
            </w:tcBorders>
          </w:tcPr>
          <w:p>
            <w:pPr>
              <w:spacing w:after="0"/>
              <w:rPr>
                <w:sz w:val="15"/>
                <w:szCs w:val="15"/>
                <w:color w:val="auto"/>
              </w:rPr>
            </w:pPr>
          </w:p>
        </w:tc>
        <w:tc>
          <w:tcPr>
            <w:tcW w:w="11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4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40" w:type="dxa"/>
            <w:vAlign w:val="bottom"/>
            <w:tcBorders>
              <w:bottom w:val="single" w:sz="8" w:color="D1D2D4"/>
            </w:tcBorders>
          </w:tcPr>
          <w:p>
            <w:pPr>
              <w:spacing w:after="0"/>
              <w:rPr>
                <w:sz w:val="15"/>
                <w:szCs w:val="15"/>
                <w:color w:val="auto"/>
              </w:rPr>
            </w:pPr>
          </w:p>
        </w:tc>
        <w:tc>
          <w:tcPr>
            <w:tcW w:w="104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60"/>
              <w:spacing w:after="0" w:line="216"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11,465</w:t>
            </w: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22,929</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25.39</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2/12/2031</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21,377</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42.98</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2/11/2032</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7,011</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441,623</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11,488</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723,629</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11,634</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732,826</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34,464</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$2,170,887</w:t>
            </w: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23,268</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$1,465,651</w:t>
            </w: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23,808</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$1,499,666</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D1D2D4"/>
            </w:tcBorders>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16,074</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$1,012,501</w:t>
            </w:r>
          </w:p>
        </w:tc>
        <w:tc>
          <w:tcPr>
            <w:tcW w:w="0" w:type="dxa"/>
            <w:vAlign w:val="bottom"/>
          </w:tcPr>
          <w:p>
            <w:pPr>
              <w:spacing w:after="0"/>
              <w:rPr>
                <w:sz w:val="1"/>
                <w:szCs w:val="1"/>
                <w:color w:val="auto"/>
              </w:rPr>
            </w:pPr>
          </w:p>
        </w:tc>
      </w:tr>
      <w:tr>
        <w:trPr>
          <w:trHeight w:val="176"/>
        </w:trPr>
        <w:tc>
          <w:tcPr>
            <w:tcW w:w="3340" w:type="dxa"/>
            <w:vAlign w:val="bottom"/>
          </w:tcPr>
          <w:p>
            <w:pPr>
              <w:ind w:left="60"/>
              <w:spacing w:after="0"/>
              <w:rPr>
                <w:sz w:val="20"/>
                <w:szCs w:val="20"/>
                <w:color w:val="auto"/>
              </w:rPr>
            </w:pPr>
            <w:r>
              <w:rPr>
                <w:rFonts w:ascii="Arial" w:cs="Arial" w:eastAsia="Arial" w:hAnsi="Arial"/>
                <w:sz w:val="13"/>
                <w:szCs w:val="13"/>
                <w:b w:val="1"/>
                <w:bCs w:val="1"/>
                <w:color w:val="00529B"/>
              </w:rPr>
              <w:t>K. Dillon</w:t>
            </w:r>
          </w:p>
        </w:tc>
        <w:tc>
          <w:tcPr>
            <w:tcW w:w="680" w:type="dxa"/>
            <w:vAlign w:val="bottom"/>
            <w:tcBorders>
              <w:bottom w:val="single" w:sz="8" w:color="D1D2D4"/>
            </w:tcBorders>
          </w:tcPr>
          <w:p>
            <w:pPr>
              <w:spacing w:after="0"/>
              <w:rPr>
                <w:sz w:val="15"/>
                <w:szCs w:val="15"/>
                <w:color w:val="auto"/>
              </w:rPr>
            </w:pPr>
          </w:p>
        </w:tc>
        <w:tc>
          <w:tcPr>
            <w:tcW w:w="860" w:type="dxa"/>
            <w:vAlign w:val="bottom"/>
            <w:tcBorders>
              <w:bottom w:val="single" w:sz="8" w:color="D1D2D4"/>
            </w:tcBorders>
          </w:tcPr>
          <w:p>
            <w:pPr>
              <w:spacing w:after="0"/>
              <w:rPr>
                <w:sz w:val="15"/>
                <w:szCs w:val="15"/>
                <w:color w:val="auto"/>
              </w:rPr>
            </w:pPr>
          </w:p>
        </w:tc>
        <w:tc>
          <w:tcPr>
            <w:tcW w:w="11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4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40" w:type="dxa"/>
            <w:vAlign w:val="bottom"/>
            <w:tcBorders>
              <w:bottom w:val="single" w:sz="8" w:color="D1D2D4"/>
            </w:tcBorders>
          </w:tcPr>
          <w:p>
            <w:pPr>
              <w:spacing w:after="0"/>
              <w:rPr>
                <w:sz w:val="15"/>
                <w:szCs w:val="15"/>
                <w:color w:val="auto"/>
              </w:rPr>
            </w:pPr>
          </w:p>
        </w:tc>
        <w:tc>
          <w:tcPr>
            <w:tcW w:w="104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60"/>
              <w:spacing w:after="0" w:line="216"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160,360</w:t>
            </w: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80,179</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40.03</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2/14/2030</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19,326</w:t>
            </w: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38,652</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25.39</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2/12/2031</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37,410</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42.98</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2/11/2032</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5,909</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372,208</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19,364</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w w:val="93"/>
              </w:rPr>
              <w:t>1,219,738</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20,359</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w w:val="93"/>
              </w:rPr>
              <w:t>1,282,413</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58,094</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$3,659,341</w:t>
            </w: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40,718</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$2,564,827</w:t>
            </w: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40,132</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$2,527,915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D1D2D4"/>
            </w:tcBorders>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28,130</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$1,771,909</w:t>
            </w:r>
          </w:p>
        </w:tc>
        <w:tc>
          <w:tcPr>
            <w:tcW w:w="0" w:type="dxa"/>
            <w:vAlign w:val="bottom"/>
          </w:tcPr>
          <w:p>
            <w:pPr>
              <w:spacing w:after="0"/>
              <w:rPr>
                <w:sz w:val="1"/>
                <w:szCs w:val="1"/>
                <w:color w:val="auto"/>
              </w:rPr>
            </w:pPr>
          </w:p>
        </w:tc>
      </w:tr>
      <w:tr>
        <w:trPr>
          <w:trHeight w:val="176"/>
        </w:trPr>
        <w:tc>
          <w:tcPr>
            <w:tcW w:w="3340" w:type="dxa"/>
            <w:vAlign w:val="bottom"/>
          </w:tcPr>
          <w:p>
            <w:pPr>
              <w:ind w:left="60"/>
              <w:spacing w:after="0"/>
              <w:rPr>
                <w:sz w:val="20"/>
                <w:szCs w:val="20"/>
                <w:color w:val="auto"/>
              </w:rPr>
            </w:pPr>
            <w:r>
              <w:rPr>
                <w:rFonts w:ascii="Arial" w:cs="Arial" w:eastAsia="Arial" w:hAnsi="Arial"/>
                <w:sz w:val="13"/>
                <w:szCs w:val="13"/>
                <w:b w:val="1"/>
                <w:bCs w:val="1"/>
                <w:color w:val="00529B"/>
              </w:rPr>
              <w:t>R. Jackson</w:t>
            </w:r>
          </w:p>
        </w:tc>
        <w:tc>
          <w:tcPr>
            <w:tcW w:w="680" w:type="dxa"/>
            <w:vAlign w:val="bottom"/>
            <w:tcBorders>
              <w:bottom w:val="single" w:sz="8" w:color="D1D2D4"/>
            </w:tcBorders>
          </w:tcPr>
          <w:p>
            <w:pPr>
              <w:spacing w:after="0"/>
              <w:rPr>
                <w:sz w:val="15"/>
                <w:szCs w:val="15"/>
                <w:color w:val="auto"/>
              </w:rPr>
            </w:pPr>
          </w:p>
        </w:tc>
        <w:tc>
          <w:tcPr>
            <w:tcW w:w="860" w:type="dxa"/>
            <w:vAlign w:val="bottom"/>
            <w:tcBorders>
              <w:bottom w:val="single" w:sz="8" w:color="D1D2D4"/>
            </w:tcBorders>
          </w:tcPr>
          <w:p>
            <w:pPr>
              <w:spacing w:after="0"/>
              <w:rPr>
                <w:sz w:val="15"/>
                <w:szCs w:val="15"/>
                <w:color w:val="auto"/>
              </w:rPr>
            </w:pPr>
          </w:p>
        </w:tc>
        <w:tc>
          <w:tcPr>
            <w:tcW w:w="11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48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640" w:type="dxa"/>
            <w:vAlign w:val="bottom"/>
            <w:tcBorders>
              <w:bottom w:val="single" w:sz="8" w:color="D1D2D4"/>
            </w:tcBorders>
          </w:tcPr>
          <w:p>
            <w:pPr>
              <w:spacing w:after="0"/>
              <w:rPr>
                <w:sz w:val="15"/>
                <w:szCs w:val="15"/>
                <w:color w:val="auto"/>
              </w:rPr>
            </w:pPr>
          </w:p>
        </w:tc>
        <w:tc>
          <w:tcPr>
            <w:tcW w:w="1040" w:type="dxa"/>
            <w:vAlign w:val="bottom"/>
            <w:tcBorders>
              <w:bottom w:val="single" w:sz="8" w:color="D1D2D4"/>
            </w:tcBorders>
          </w:tcPr>
          <w:p>
            <w:pPr>
              <w:spacing w:after="0"/>
              <w:rPr>
                <w:sz w:val="15"/>
                <w:szCs w:val="15"/>
                <w:color w:val="auto"/>
              </w:rPr>
            </w:pPr>
          </w:p>
        </w:tc>
        <w:tc>
          <w:tcPr>
            <w:tcW w:w="9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60"/>
              <w:spacing w:after="0" w:line="216"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18,344</w:t>
            </w: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36,686</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25.39</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2/12/2031</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34,204</w:t>
            </w:r>
          </w:p>
        </w:tc>
        <w:tc>
          <w:tcPr>
            <w:tcW w:w="320" w:type="dxa"/>
            <w:vAlign w:val="bottom"/>
            <w:tcBorders>
              <w:bottom w:val="single" w:sz="8" w:color="D1D2D4"/>
            </w:tcBorders>
          </w:tcPr>
          <w:p>
            <w:pPr>
              <w:ind w:left="2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42.98</w:t>
            </w:r>
          </w:p>
        </w:tc>
        <w:tc>
          <w:tcPr>
            <w:tcW w:w="88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2/11/2032</w:t>
            </w: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8,814</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555,194</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18,380</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w w:val="93"/>
              </w:rPr>
              <w:t>1,157,756</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18,614</w:t>
            </w:r>
          </w:p>
        </w:tc>
        <w:tc>
          <w:tcPr>
            <w:tcW w:w="18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w w:val="93"/>
              </w:rPr>
              <w:t>1,172,496</w:t>
            </w:r>
          </w:p>
        </w:tc>
        <w:tc>
          <w:tcPr>
            <w:tcW w:w="104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55,140</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$3,473,269</w:t>
            </w:r>
          </w:p>
        </w:tc>
        <w:tc>
          <w:tcPr>
            <w:tcW w:w="0" w:type="dxa"/>
            <w:vAlign w:val="bottom"/>
          </w:tcPr>
          <w:p>
            <w:pPr>
              <w:spacing w:after="0"/>
              <w:rPr>
                <w:sz w:val="1"/>
                <w:szCs w:val="1"/>
                <w:color w:val="auto"/>
              </w:rPr>
            </w:pPr>
          </w:p>
        </w:tc>
      </w:tr>
      <w:tr>
        <w:trPr>
          <w:trHeight w:val="209"/>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37,228</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$2,344,992</w:t>
            </w:r>
          </w:p>
        </w:tc>
        <w:tc>
          <w:tcPr>
            <w:tcW w:w="0" w:type="dxa"/>
            <w:vAlign w:val="bottom"/>
          </w:tcPr>
          <w:p>
            <w:pPr>
              <w:spacing w:after="0"/>
              <w:rPr>
                <w:sz w:val="1"/>
                <w:szCs w:val="1"/>
                <w:color w:val="auto"/>
              </w:rPr>
            </w:pPr>
          </w:p>
        </w:tc>
      </w:tr>
      <w:tr>
        <w:trPr>
          <w:trHeight w:val="210"/>
        </w:trPr>
        <w:tc>
          <w:tcPr>
            <w:tcW w:w="3340" w:type="dxa"/>
            <w:vAlign w:val="bottom"/>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38,092</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$2,399,415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D1D2D4"/>
            </w:tcBorders>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860" w:type="dxa"/>
            <w:vAlign w:val="bottom"/>
            <w:tcBorders>
              <w:bottom w:val="single" w:sz="8" w:color="D1D2D4"/>
            </w:tcBorders>
          </w:tcPr>
          <w:p>
            <w:pPr>
              <w:spacing w:after="0"/>
              <w:rPr>
                <w:sz w:val="18"/>
                <w:szCs w:val="18"/>
                <w:color w:val="auto"/>
              </w:rPr>
            </w:pPr>
          </w:p>
        </w:tc>
        <w:tc>
          <w:tcPr>
            <w:tcW w:w="1100" w:type="dxa"/>
            <w:vAlign w:val="bottom"/>
            <w:tcBorders>
              <w:bottom w:val="single" w:sz="8" w:color="D1D2D4"/>
            </w:tcBorders>
          </w:tcPr>
          <w:p>
            <w:pPr>
              <w:spacing w:after="0"/>
              <w:rPr>
                <w:sz w:val="18"/>
                <w:szCs w:val="18"/>
                <w:color w:val="auto"/>
              </w:rPr>
            </w:pPr>
          </w:p>
        </w:tc>
        <w:tc>
          <w:tcPr>
            <w:tcW w:w="320" w:type="dxa"/>
            <w:vAlign w:val="bottom"/>
            <w:tcBorders>
              <w:bottom w:val="single" w:sz="8" w:color="D1D2D4"/>
            </w:tcBorders>
          </w:tcPr>
          <w:p>
            <w:pPr>
              <w:spacing w:after="0"/>
              <w:rPr>
                <w:sz w:val="18"/>
                <w:szCs w:val="18"/>
                <w:color w:val="auto"/>
              </w:rPr>
            </w:pPr>
          </w:p>
        </w:tc>
        <w:tc>
          <w:tcPr>
            <w:tcW w:w="48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spacing w:after="0"/>
              <w:rPr>
                <w:sz w:val="18"/>
                <w:szCs w:val="18"/>
                <w:color w:val="auto"/>
              </w:rPr>
            </w:pPr>
          </w:p>
        </w:tc>
        <w:tc>
          <w:tcPr>
            <w:tcW w:w="104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25,718</w:t>
            </w:r>
          </w:p>
        </w:tc>
        <w:tc>
          <w:tcPr>
            <w:tcW w:w="940" w:type="dxa"/>
            <w:vAlign w:val="bottom"/>
            <w:tcBorders>
              <w:bottom w:val="single" w:sz="8" w:color="D1D2D4"/>
            </w:tcBorders>
          </w:tcPr>
          <w:p>
            <w:pPr>
              <w:jc w:val="right"/>
              <w:ind w:right="18"/>
              <w:spacing w:after="0"/>
              <w:rPr>
                <w:sz w:val="20"/>
                <w:szCs w:val="20"/>
                <w:color w:val="auto"/>
              </w:rPr>
            </w:pPr>
            <w:r>
              <w:rPr>
                <w:rFonts w:ascii="Arial" w:cs="Arial" w:eastAsia="Arial" w:hAnsi="Arial"/>
                <w:sz w:val="13"/>
                <w:szCs w:val="13"/>
                <w:color w:val="auto"/>
              </w:rPr>
              <w:t>$1,619,977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743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00" w:type="dxa"/>
            <w:vAlign w:val="bottom"/>
            <w:gridSpan w:val="2"/>
          </w:tcPr>
          <w:p>
            <w:pPr>
              <w:jc w:val="right"/>
              <w:spacing w:after="0"/>
              <w:rPr>
                <w:sz w:val="20"/>
                <w:szCs w:val="20"/>
                <w:color w:val="auto"/>
              </w:rPr>
            </w:pPr>
            <w:r>
              <w:rPr>
                <w:rFonts w:ascii="Arial" w:cs="Arial" w:eastAsia="Arial" w:hAnsi="Arial"/>
                <w:sz w:val="15"/>
                <w:szCs w:val="15"/>
                <w:color w:val="auto"/>
              </w:rPr>
              <w:t>Executive Compensation Tables</w:t>
            </w:r>
          </w:p>
        </w:tc>
        <w:tc>
          <w:tcPr>
            <w:tcW w:w="0" w:type="dxa"/>
            <w:vAlign w:val="bottom"/>
          </w:tcPr>
          <w:p>
            <w:pPr>
              <w:spacing w:after="0"/>
              <w:rPr>
                <w:sz w:val="1"/>
                <w:szCs w:val="1"/>
                <w:color w:val="auto"/>
              </w:rPr>
            </w:pPr>
          </w:p>
        </w:tc>
      </w:tr>
      <w:tr>
        <w:trPr>
          <w:trHeight w:val="339"/>
        </w:trPr>
        <w:tc>
          <w:tcPr>
            <w:tcW w:w="2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2"/>
          </w:tcPr>
          <w:p>
            <w:pPr>
              <w:jc w:val="right"/>
              <w:ind w:right="19"/>
              <w:spacing w:after="0"/>
              <w:rPr>
                <w:sz w:val="20"/>
                <w:szCs w:val="20"/>
                <w:color w:val="auto"/>
              </w:rPr>
            </w:pPr>
            <w:r>
              <w:rPr>
                <w:rFonts w:ascii="Arial" w:cs="Arial" w:eastAsia="Arial" w:hAnsi="Arial"/>
                <w:sz w:val="13"/>
                <w:szCs w:val="13"/>
                <w:b w:val="1"/>
                <w:bCs w:val="1"/>
                <w:color w:val="00529B"/>
                <w:w w:val="95"/>
              </w:rPr>
              <w:t>Nonqualified Stock Options and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vMerge w:val="restart"/>
          </w:tcPr>
          <w:p>
            <w:pPr>
              <w:jc w:val="right"/>
              <w:ind w:right="576"/>
              <w:spacing w:after="0"/>
              <w:rPr>
                <w:sz w:val="20"/>
                <w:szCs w:val="20"/>
                <w:color w:val="auto"/>
              </w:rPr>
            </w:pPr>
            <w:r>
              <w:rPr>
                <w:rFonts w:ascii="Arial" w:cs="Arial" w:eastAsia="Arial" w:hAnsi="Arial"/>
                <w:sz w:val="13"/>
                <w:szCs w:val="13"/>
                <w:b w:val="1"/>
                <w:bCs w:val="1"/>
                <w:color w:val="00529B"/>
              </w:rPr>
              <w:t>Stock Awards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Borders>
              <w:bottom w:val="single" w:sz="8" w:color="00529B"/>
            </w:tcBorders>
          </w:tcPr>
          <w:p>
            <w:pPr>
              <w:spacing w:after="0"/>
              <w:rPr>
                <w:sz w:val="16"/>
                <w:szCs w:val="16"/>
                <w:color w:val="auto"/>
              </w:rPr>
            </w:pPr>
          </w:p>
        </w:tc>
        <w:tc>
          <w:tcPr>
            <w:tcW w:w="1980" w:type="dxa"/>
            <w:vAlign w:val="bottom"/>
            <w:tcBorders>
              <w:bottom w:val="single" w:sz="8" w:color="00529B"/>
            </w:tcBorders>
            <w:gridSpan w:val="2"/>
          </w:tcPr>
          <w:p>
            <w:pPr>
              <w:jc w:val="right"/>
              <w:ind w:right="179"/>
              <w:spacing w:after="0"/>
              <w:rPr>
                <w:sz w:val="20"/>
                <w:szCs w:val="20"/>
                <w:color w:val="auto"/>
              </w:rPr>
            </w:pPr>
            <w:r>
              <w:rPr>
                <w:rFonts w:ascii="Arial" w:cs="Arial" w:eastAsia="Arial" w:hAnsi="Arial"/>
                <w:sz w:val="13"/>
                <w:szCs w:val="13"/>
                <w:b w:val="1"/>
                <w:bCs w:val="1"/>
                <w:color w:val="00529B"/>
              </w:rPr>
              <w:t>Stock Appreciation Rights</w:t>
            </w:r>
          </w:p>
        </w:tc>
        <w:tc>
          <w:tcPr>
            <w:tcW w:w="680" w:type="dxa"/>
            <w:vAlign w:val="bottom"/>
            <w:tcBorders>
              <w:bottom w:val="single" w:sz="8" w:color="00529B"/>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bottom w:val="single" w:sz="8" w:color="00529B"/>
            </w:tcBorders>
          </w:tcPr>
          <w:p>
            <w:pPr>
              <w:spacing w:after="0"/>
              <w:rPr>
                <w:sz w:val="16"/>
                <w:szCs w:val="16"/>
                <w:color w:val="auto"/>
              </w:rPr>
            </w:pPr>
          </w:p>
        </w:tc>
        <w:tc>
          <w:tcPr>
            <w:tcW w:w="240" w:type="dxa"/>
            <w:vAlign w:val="bottom"/>
            <w:tcBorders>
              <w:bottom w:val="single" w:sz="8" w:color="00529B"/>
            </w:tcBorders>
          </w:tcPr>
          <w:p>
            <w:pPr>
              <w:spacing w:after="0"/>
              <w:rPr>
                <w:sz w:val="16"/>
                <w:szCs w:val="16"/>
                <w:color w:val="auto"/>
              </w:rPr>
            </w:pPr>
          </w:p>
        </w:tc>
        <w:tc>
          <w:tcPr>
            <w:tcW w:w="2000" w:type="dxa"/>
            <w:vAlign w:val="bottom"/>
            <w:tcBorders>
              <w:bottom w:val="single" w:sz="8" w:color="00529B"/>
            </w:tcBorders>
            <w:gridSpan w:val="2"/>
            <w:vMerge w:val="continue"/>
          </w:tcPr>
          <w:p>
            <w:pPr>
              <w:spacing w:after="0"/>
              <w:rPr>
                <w:sz w:val="16"/>
                <w:szCs w:val="16"/>
                <w:color w:val="auto"/>
              </w:rPr>
            </w:pPr>
          </w:p>
        </w:tc>
        <w:tc>
          <w:tcPr>
            <w:tcW w:w="1000" w:type="dxa"/>
            <w:vAlign w:val="bottom"/>
            <w:tcBorders>
              <w:bottom w:val="single" w:sz="8" w:color="00529B"/>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b w:val="1"/>
                <w:bCs w:val="1"/>
                <w:color w:val="00529B"/>
              </w:rPr>
              <w:t>Equity</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Incentive</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Plan</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Awards:</w:t>
            </w: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156"/>
              <w:spacing w:after="0"/>
              <w:rPr>
                <w:sz w:val="20"/>
                <w:szCs w:val="20"/>
                <w:color w:val="auto"/>
              </w:rPr>
            </w:pPr>
            <w:r>
              <w:rPr>
                <w:rFonts w:ascii="Arial" w:cs="Arial" w:eastAsia="Arial" w:hAnsi="Arial"/>
                <w:sz w:val="13"/>
                <w:szCs w:val="13"/>
                <w:b w:val="1"/>
                <w:bCs w:val="1"/>
                <w:color w:val="00529B"/>
              </w:rPr>
              <w:t>Equity</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00529B"/>
              </w:rPr>
              <w:t>Market or</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Incentive</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Payout</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529B"/>
              </w:rPr>
              <w:t>Market</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Plan Awards:</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Value</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00529B"/>
              </w:rPr>
              <w:t>Number of</w:t>
            </w: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Number of</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of Unearned</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Number of</w:t>
            </w:r>
          </w:p>
        </w:tc>
        <w:tc>
          <w:tcPr>
            <w:tcW w:w="12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00529B"/>
              </w:rPr>
              <w:t>Number of</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Value of</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Unearned</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Shares,</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00529B"/>
              </w:rPr>
              <w:t>Shares or</w:t>
            </w:r>
          </w:p>
        </w:tc>
        <w:tc>
          <w:tcPr>
            <w:tcW w:w="94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00529B"/>
              </w:rPr>
              <w:t>Shares or</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Shares, Units</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Units</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Securities</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Securities</w:t>
            </w:r>
          </w:p>
        </w:tc>
        <w:tc>
          <w:tcPr>
            <w:tcW w:w="78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00529B"/>
              </w:rPr>
              <w:t>Option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00529B"/>
              </w:rPr>
              <w:t>Units of</w:t>
            </w:r>
          </w:p>
        </w:tc>
        <w:tc>
          <w:tcPr>
            <w:tcW w:w="24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Units of</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or Other</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or Other</w:t>
            </w:r>
          </w:p>
        </w:tc>
        <w:tc>
          <w:tcPr>
            <w:tcW w:w="0" w:type="dxa"/>
            <w:vAlign w:val="bottom"/>
          </w:tcPr>
          <w:p>
            <w:pPr>
              <w:spacing w:after="0"/>
              <w:rPr>
                <w:sz w:val="1"/>
                <w:szCs w:val="1"/>
                <w:color w:val="auto"/>
              </w:rPr>
            </w:pPr>
          </w:p>
        </w:tc>
      </w:tr>
      <w:tr>
        <w:trPr>
          <w:trHeight w:val="135"/>
        </w:trPr>
        <w:tc>
          <w:tcPr>
            <w:tcW w:w="2840" w:type="dxa"/>
            <w:vAlign w:val="bottom"/>
            <w:vMerge w:val="restart"/>
          </w:tcPr>
          <w:p>
            <w:pPr>
              <w:ind w:left="60"/>
              <w:spacing w:after="0"/>
              <w:rPr>
                <w:sz w:val="20"/>
                <w:szCs w:val="20"/>
                <w:color w:val="auto"/>
              </w:rPr>
            </w:pPr>
            <w:r>
              <w:rPr>
                <w:rFonts w:ascii="Arial" w:cs="Arial" w:eastAsia="Arial" w:hAnsi="Arial"/>
                <w:sz w:val="13"/>
                <w:szCs w:val="13"/>
                <w:b w:val="1"/>
                <w:bCs w:val="1"/>
                <w:color w:val="00529B"/>
              </w:rPr>
              <w:t>Name/</w:t>
            </w:r>
          </w:p>
        </w:tc>
        <w:tc>
          <w:tcPr>
            <w:tcW w:w="6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Underlying</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Underlying</w:t>
            </w:r>
          </w:p>
        </w:tc>
        <w:tc>
          <w:tcPr>
            <w:tcW w:w="780" w:type="dxa"/>
            <w:vAlign w:val="bottom"/>
            <w:vMerge w:val="continue"/>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00529B"/>
              </w:rPr>
              <w:t>Option</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00529B"/>
              </w:rPr>
              <w:t>Stock that</w:t>
            </w:r>
          </w:p>
        </w:tc>
        <w:tc>
          <w:tcPr>
            <w:tcW w:w="94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00529B"/>
              </w:rPr>
              <w:t>Stock that</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Rights that</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Rights that</w:t>
            </w:r>
          </w:p>
        </w:tc>
        <w:tc>
          <w:tcPr>
            <w:tcW w:w="0" w:type="dxa"/>
            <w:vAlign w:val="bottom"/>
          </w:tcPr>
          <w:p>
            <w:pPr>
              <w:spacing w:after="0"/>
              <w:rPr>
                <w:sz w:val="1"/>
                <w:szCs w:val="1"/>
                <w:color w:val="auto"/>
              </w:rPr>
            </w:pPr>
          </w:p>
        </w:tc>
      </w:tr>
      <w:tr>
        <w:trPr>
          <w:trHeight w:val="135"/>
        </w:trPr>
        <w:tc>
          <w:tcPr>
            <w:tcW w:w="2840" w:type="dxa"/>
            <w:vAlign w:val="bottom"/>
            <w:vMerge w:val="continue"/>
          </w:tcPr>
          <w:p>
            <w:pPr>
              <w:spacing w:after="0"/>
              <w:rPr>
                <w:sz w:val="11"/>
                <w:szCs w:val="11"/>
                <w:color w:val="auto"/>
              </w:rPr>
            </w:pPr>
          </w:p>
        </w:tc>
        <w:tc>
          <w:tcPr>
            <w:tcW w:w="6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00529B"/>
              </w:rPr>
              <w:t>Grant</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w w:val="95"/>
              </w:rPr>
              <w:t>Unexercised</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Unexercised</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b w:val="1"/>
                <w:bCs w:val="1"/>
                <w:color w:val="00529B"/>
              </w:rPr>
              <w:t>Exercise</w:t>
            </w:r>
          </w:p>
        </w:tc>
        <w:tc>
          <w:tcPr>
            <w:tcW w:w="860" w:type="dxa"/>
            <w:vAlign w:val="bottom"/>
            <w:gridSpan w:val="2"/>
            <w:vMerge w:val="continue"/>
          </w:tcPr>
          <w:p>
            <w:pPr>
              <w:spacing w:after="0"/>
              <w:rPr>
                <w:sz w:val="11"/>
                <w:szCs w:val="11"/>
                <w:color w:val="auto"/>
              </w:rPr>
            </w:pP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00529B"/>
              </w:rPr>
              <w:t>Have Not</w:t>
            </w:r>
          </w:p>
        </w:tc>
        <w:tc>
          <w:tcPr>
            <w:tcW w:w="24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w w:val="99"/>
              </w:rPr>
              <w:t>Have Not</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Have</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Have Not</w:t>
            </w:r>
          </w:p>
        </w:tc>
        <w:tc>
          <w:tcPr>
            <w:tcW w:w="0" w:type="dxa"/>
            <w:vAlign w:val="bottom"/>
          </w:tcPr>
          <w:p>
            <w:pPr>
              <w:spacing w:after="0"/>
              <w:rPr>
                <w:sz w:val="1"/>
                <w:szCs w:val="1"/>
                <w:color w:val="auto"/>
              </w:rPr>
            </w:pPr>
          </w:p>
        </w:tc>
      </w:tr>
      <w:tr>
        <w:trPr>
          <w:trHeight w:val="135"/>
        </w:trPr>
        <w:tc>
          <w:tcPr>
            <w:tcW w:w="2840" w:type="dxa"/>
            <w:vAlign w:val="bottom"/>
          </w:tcPr>
          <w:p>
            <w:pPr>
              <w:ind w:left="60"/>
              <w:spacing w:after="0" w:line="135" w:lineRule="exact"/>
              <w:rPr>
                <w:sz w:val="20"/>
                <w:szCs w:val="20"/>
                <w:color w:val="auto"/>
              </w:rPr>
            </w:pPr>
            <w:r>
              <w:rPr>
                <w:rFonts w:ascii="Arial" w:cs="Arial" w:eastAsia="Arial" w:hAnsi="Arial"/>
                <w:sz w:val="13"/>
                <w:szCs w:val="13"/>
                <w:b w:val="1"/>
                <w:bCs w:val="1"/>
                <w:color w:val="00529B"/>
              </w:rPr>
              <w:t>Type of</w:t>
            </w:r>
          </w:p>
        </w:tc>
        <w:tc>
          <w:tcPr>
            <w:tcW w:w="680" w:type="dxa"/>
            <w:vAlign w:val="bottom"/>
            <w:vMerge w:val="continue"/>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Options (#)</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529B"/>
              </w:rPr>
              <w:t>Options (#)</w:t>
            </w:r>
          </w:p>
        </w:tc>
        <w:tc>
          <w:tcPr>
            <w:tcW w:w="780" w:type="dxa"/>
            <w:vAlign w:val="bottom"/>
          </w:tcPr>
          <w:p>
            <w:pPr>
              <w:jc w:val="right"/>
              <w:ind w:right="39"/>
              <w:spacing w:after="0" w:line="135" w:lineRule="exact"/>
              <w:rPr>
                <w:sz w:val="20"/>
                <w:szCs w:val="20"/>
                <w:color w:val="auto"/>
              </w:rPr>
            </w:pPr>
            <w:r>
              <w:rPr>
                <w:rFonts w:ascii="Arial" w:cs="Arial" w:eastAsia="Arial" w:hAnsi="Arial"/>
                <w:sz w:val="10"/>
                <w:szCs w:val="10"/>
                <w:b w:val="1"/>
                <w:bCs w:val="1"/>
                <w:color w:val="00529B"/>
              </w:rPr>
              <w:t>Price</w:t>
            </w:r>
            <w:r>
              <w:rPr>
                <w:rFonts w:ascii="Arial" w:cs="Arial" w:eastAsia="Arial" w:hAnsi="Arial"/>
                <w:sz w:val="15"/>
                <w:szCs w:val="15"/>
                <w:b w:val="1"/>
                <w:bCs w:val="1"/>
                <w:color w:val="00529B"/>
                <w:vertAlign w:val="superscript"/>
              </w:rPr>
              <w:t>(1)</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00529B"/>
              </w:rPr>
              <w:t>Expiration</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00529B"/>
              </w:rPr>
              <w:t>Vested</w:t>
            </w:r>
          </w:p>
        </w:tc>
        <w:tc>
          <w:tcPr>
            <w:tcW w:w="24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529B"/>
              </w:rPr>
              <w:t>Vested</w:t>
            </w:r>
          </w:p>
        </w:tc>
        <w:tc>
          <w:tcPr>
            <w:tcW w:w="1300" w:type="dxa"/>
            <w:vAlign w:val="bottom"/>
          </w:tcPr>
          <w:p>
            <w:pPr>
              <w:jc w:val="right"/>
              <w:ind w:right="156"/>
              <w:spacing w:after="0" w:line="135" w:lineRule="exact"/>
              <w:rPr>
                <w:sz w:val="20"/>
                <w:szCs w:val="20"/>
                <w:color w:val="auto"/>
              </w:rPr>
            </w:pPr>
            <w:r>
              <w:rPr>
                <w:rFonts w:ascii="Arial" w:cs="Arial" w:eastAsia="Arial" w:hAnsi="Arial"/>
                <w:sz w:val="13"/>
                <w:szCs w:val="13"/>
                <w:b w:val="1"/>
                <w:bCs w:val="1"/>
                <w:color w:val="00529B"/>
              </w:rPr>
              <w:t>Not Vested</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Vested</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Award</w:t>
            </w:r>
          </w:p>
        </w:tc>
        <w:tc>
          <w:tcPr>
            <w:tcW w:w="68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b w:val="1"/>
                <w:bCs w:val="1"/>
                <w:color w:val="00529B"/>
              </w:rPr>
              <w:t>Date</w:t>
            </w:r>
          </w:p>
        </w:tc>
        <w:tc>
          <w:tcPr>
            <w:tcW w:w="76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Exercisable</w:t>
            </w:r>
          </w:p>
        </w:tc>
        <w:tc>
          <w:tcPr>
            <w:tcW w:w="1200" w:type="dxa"/>
            <w:vAlign w:val="bottom"/>
            <w:tcBorders>
              <w:bottom w:val="single" w:sz="8" w:color="00529B"/>
            </w:tcBorders>
          </w:tcPr>
          <w:p>
            <w:pPr>
              <w:jc w:val="right"/>
              <w:ind w:right="97"/>
              <w:spacing w:after="0"/>
              <w:rPr>
                <w:sz w:val="20"/>
                <w:szCs w:val="20"/>
                <w:color w:val="auto"/>
              </w:rPr>
            </w:pPr>
            <w:r>
              <w:rPr>
                <w:rFonts w:ascii="Arial" w:cs="Arial" w:eastAsia="Arial" w:hAnsi="Arial"/>
                <w:sz w:val="13"/>
                <w:szCs w:val="13"/>
                <w:b w:val="1"/>
                <w:bCs w:val="1"/>
                <w:color w:val="00529B"/>
              </w:rPr>
              <w:t>Unexercisable</w:t>
            </w:r>
          </w:p>
        </w:tc>
        <w:tc>
          <w:tcPr>
            <w:tcW w:w="780" w:type="dxa"/>
            <w:vAlign w:val="bottom"/>
            <w:tcBorders>
              <w:bottom w:val="single" w:sz="8" w:color="00529B"/>
            </w:tcBorders>
          </w:tcPr>
          <w:p>
            <w:pPr>
              <w:jc w:val="right"/>
              <w:ind w:right="39"/>
              <w:spacing w:after="0"/>
              <w:rPr>
                <w:sz w:val="20"/>
                <w:szCs w:val="20"/>
                <w:color w:val="auto"/>
              </w:rPr>
            </w:pPr>
            <w:r>
              <w:rPr>
                <w:rFonts w:ascii="Arial" w:cs="Arial" w:eastAsia="Arial" w:hAnsi="Arial"/>
                <w:sz w:val="13"/>
                <w:szCs w:val="13"/>
                <w:b w:val="1"/>
                <w:bCs w:val="1"/>
                <w:color w:val="00529B"/>
              </w:rPr>
              <w:t>($)</w:t>
            </w:r>
          </w:p>
        </w:tc>
        <w:tc>
          <w:tcPr>
            <w:tcW w:w="860" w:type="dxa"/>
            <w:vAlign w:val="bottom"/>
            <w:tcBorders>
              <w:bottom w:val="single" w:sz="8" w:color="00529B"/>
            </w:tcBorders>
            <w:gridSpan w:val="2"/>
          </w:tcPr>
          <w:p>
            <w:pPr>
              <w:jc w:val="right"/>
              <w:ind w:right="180"/>
              <w:spacing w:after="0"/>
              <w:rPr>
                <w:sz w:val="20"/>
                <w:szCs w:val="20"/>
                <w:color w:val="auto"/>
              </w:rPr>
            </w:pPr>
            <w:r>
              <w:rPr>
                <w:rFonts w:ascii="Arial" w:cs="Arial" w:eastAsia="Arial" w:hAnsi="Arial"/>
                <w:sz w:val="13"/>
                <w:szCs w:val="13"/>
                <w:b w:val="1"/>
                <w:bCs w:val="1"/>
                <w:color w:val="00529B"/>
              </w:rPr>
              <w:t>Date</w:t>
            </w:r>
          </w:p>
        </w:tc>
        <w:tc>
          <w:tcPr>
            <w:tcW w:w="88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b w:val="1"/>
                <w:bCs w:val="1"/>
                <w:color w:val="00529B"/>
              </w:rPr>
              <w:t>(#)</w:t>
            </w:r>
          </w:p>
        </w:tc>
        <w:tc>
          <w:tcPr>
            <w:tcW w:w="240" w:type="dxa"/>
            <w:vAlign w:val="bottom"/>
            <w:tcBorders>
              <w:bottom w:val="single" w:sz="8" w:color="00529B"/>
            </w:tcBorders>
          </w:tcPr>
          <w:p>
            <w:pPr>
              <w:spacing w:after="0"/>
              <w:rPr>
                <w:sz w:val="17"/>
                <w:szCs w:val="17"/>
                <w:color w:val="auto"/>
              </w:rPr>
            </w:pPr>
          </w:p>
        </w:tc>
        <w:tc>
          <w:tcPr>
            <w:tcW w:w="700" w:type="dxa"/>
            <w:vAlign w:val="bottom"/>
            <w:tcBorders>
              <w:bottom w:val="single" w:sz="8" w:color="00529B"/>
            </w:tcBorders>
          </w:tcPr>
          <w:p>
            <w:pPr>
              <w:jc w:val="right"/>
              <w:ind w:right="57"/>
              <w:spacing w:after="0" w:line="189" w:lineRule="exact"/>
              <w:rPr>
                <w:sz w:val="20"/>
                <w:szCs w:val="20"/>
                <w:color w:val="auto"/>
              </w:rPr>
            </w:pPr>
            <w:r>
              <w:rPr>
                <w:rFonts w:ascii="Arial" w:cs="Arial" w:eastAsia="Arial" w:hAnsi="Arial"/>
                <w:sz w:val="13"/>
                <w:szCs w:val="13"/>
                <w:b w:val="1"/>
                <w:bCs w:val="1"/>
                <w:color w:val="00529B"/>
              </w:rPr>
              <w:t>($)</w:t>
            </w:r>
            <w:r>
              <w:rPr>
                <w:rFonts w:ascii="Arial" w:cs="Arial" w:eastAsia="Arial" w:hAnsi="Arial"/>
                <w:sz w:val="20"/>
                <w:szCs w:val="20"/>
                <w:b w:val="1"/>
                <w:bCs w:val="1"/>
                <w:color w:val="00529B"/>
                <w:vertAlign w:val="superscript"/>
              </w:rPr>
              <w:t>(2)</w:t>
            </w:r>
          </w:p>
        </w:tc>
        <w:tc>
          <w:tcPr>
            <w:tcW w:w="1300" w:type="dxa"/>
            <w:vAlign w:val="bottom"/>
            <w:tcBorders>
              <w:bottom w:val="single" w:sz="8" w:color="00529B"/>
            </w:tcBorders>
          </w:tcPr>
          <w:p>
            <w:pPr>
              <w:jc w:val="right"/>
              <w:ind w:right="156"/>
              <w:spacing w:after="0"/>
              <w:rPr>
                <w:sz w:val="20"/>
                <w:szCs w:val="20"/>
                <w:color w:val="auto"/>
              </w:rPr>
            </w:pPr>
            <w:r>
              <w:rPr>
                <w:rFonts w:ascii="Arial" w:cs="Arial" w:eastAsia="Arial" w:hAnsi="Arial"/>
                <w:sz w:val="13"/>
                <w:szCs w:val="13"/>
                <w:b w:val="1"/>
                <w:bCs w:val="1"/>
                <w:color w:val="00529B"/>
              </w:rPr>
              <w:t>(#)</w:t>
            </w:r>
          </w:p>
        </w:tc>
        <w:tc>
          <w:tcPr>
            <w:tcW w:w="1000" w:type="dxa"/>
            <w:vAlign w:val="bottom"/>
            <w:tcBorders>
              <w:bottom w:val="single" w:sz="8" w:color="00529B"/>
            </w:tcBorders>
          </w:tcPr>
          <w:p>
            <w:pPr>
              <w:jc w:val="right"/>
              <w:spacing w:after="0" w:line="189" w:lineRule="exact"/>
              <w:rPr>
                <w:sz w:val="20"/>
                <w:szCs w:val="20"/>
                <w:color w:val="auto"/>
              </w:rPr>
            </w:pPr>
            <w:r>
              <w:rPr>
                <w:rFonts w:ascii="Arial" w:cs="Arial" w:eastAsia="Arial" w:hAnsi="Arial"/>
                <w:sz w:val="13"/>
                <w:szCs w:val="13"/>
                <w:b w:val="1"/>
                <w:bCs w:val="1"/>
                <w:color w:val="00529B"/>
              </w:rPr>
              <w:t>($)</w:t>
            </w:r>
            <w:r>
              <w:rPr>
                <w:rFonts w:ascii="Arial" w:cs="Arial" w:eastAsia="Arial" w:hAnsi="Arial"/>
                <w:sz w:val="20"/>
                <w:szCs w:val="20"/>
                <w:b w:val="1"/>
                <w:bCs w:val="1"/>
                <w:color w:val="00529B"/>
                <w:vertAlign w:val="superscript"/>
              </w:rPr>
              <w:t>(2)</w:t>
            </w:r>
          </w:p>
        </w:tc>
        <w:tc>
          <w:tcPr>
            <w:tcW w:w="0" w:type="dxa"/>
            <w:vAlign w:val="bottom"/>
          </w:tcPr>
          <w:p>
            <w:pPr>
              <w:spacing w:after="0"/>
              <w:rPr>
                <w:sz w:val="1"/>
                <w:szCs w:val="1"/>
                <w:color w:val="auto"/>
              </w:rPr>
            </w:pPr>
          </w:p>
        </w:tc>
      </w:tr>
      <w:tr>
        <w:trPr>
          <w:trHeight w:val="183"/>
        </w:trPr>
        <w:tc>
          <w:tcPr>
            <w:tcW w:w="2840" w:type="dxa"/>
            <w:vAlign w:val="bottom"/>
          </w:tcPr>
          <w:p>
            <w:pPr>
              <w:ind w:left="60"/>
              <w:spacing w:after="0"/>
              <w:rPr>
                <w:sz w:val="20"/>
                <w:szCs w:val="20"/>
                <w:color w:val="auto"/>
              </w:rPr>
            </w:pPr>
            <w:r>
              <w:rPr>
                <w:rFonts w:ascii="Arial" w:cs="Arial" w:eastAsia="Arial" w:hAnsi="Arial"/>
                <w:sz w:val="13"/>
                <w:szCs w:val="13"/>
                <w:b w:val="1"/>
                <w:bCs w:val="1"/>
                <w:color w:val="00529B"/>
              </w:rPr>
              <w:t>M. Backus</w:t>
            </w:r>
          </w:p>
        </w:tc>
        <w:tc>
          <w:tcPr>
            <w:tcW w:w="680" w:type="dxa"/>
            <w:vAlign w:val="bottom"/>
            <w:tcBorders>
              <w:bottom w:val="single" w:sz="8" w:color="D1D2D4"/>
            </w:tcBorders>
          </w:tcPr>
          <w:p>
            <w:pPr>
              <w:spacing w:after="0"/>
              <w:rPr>
                <w:sz w:val="15"/>
                <w:szCs w:val="15"/>
                <w:color w:val="auto"/>
              </w:rPr>
            </w:pPr>
          </w:p>
        </w:tc>
        <w:tc>
          <w:tcPr>
            <w:tcW w:w="760" w:type="dxa"/>
            <w:vAlign w:val="bottom"/>
            <w:tcBorders>
              <w:bottom w:val="single" w:sz="8" w:color="D1D2D4"/>
            </w:tcBorders>
          </w:tcPr>
          <w:p>
            <w:pPr>
              <w:spacing w:after="0"/>
              <w:rPr>
                <w:sz w:val="15"/>
                <w:szCs w:val="15"/>
                <w:color w:val="auto"/>
              </w:rPr>
            </w:pPr>
          </w:p>
        </w:tc>
        <w:tc>
          <w:tcPr>
            <w:tcW w:w="120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880" w:type="dxa"/>
            <w:vAlign w:val="bottom"/>
            <w:tcBorders>
              <w:bottom w:val="single" w:sz="8" w:color="D1D2D4"/>
            </w:tcBorders>
          </w:tcPr>
          <w:p>
            <w:pPr>
              <w:spacing w:after="0"/>
              <w:rPr>
                <w:sz w:val="15"/>
                <w:szCs w:val="15"/>
                <w:color w:val="auto"/>
              </w:rPr>
            </w:pPr>
          </w:p>
        </w:tc>
        <w:tc>
          <w:tcPr>
            <w:tcW w:w="240" w:type="dxa"/>
            <w:vAlign w:val="bottom"/>
            <w:tcBorders>
              <w:bottom w:val="single" w:sz="8" w:color="D1D2D4"/>
            </w:tcBorders>
          </w:tcPr>
          <w:p>
            <w:pPr>
              <w:spacing w:after="0"/>
              <w:rPr>
                <w:sz w:val="15"/>
                <w:szCs w:val="15"/>
                <w:color w:val="auto"/>
              </w:rPr>
            </w:pPr>
          </w:p>
        </w:tc>
        <w:tc>
          <w:tcPr>
            <w:tcW w:w="700" w:type="dxa"/>
            <w:vAlign w:val="bottom"/>
            <w:tcBorders>
              <w:bottom w:val="single" w:sz="8" w:color="D1D2D4"/>
            </w:tcBorders>
          </w:tcPr>
          <w:p>
            <w:pPr>
              <w:spacing w:after="0"/>
              <w:rPr>
                <w:sz w:val="15"/>
                <w:szCs w:val="15"/>
                <w:color w:val="auto"/>
              </w:rPr>
            </w:pPr>
          </w:p>
        </w:tc>
        <w:tc>
          <w:tcPr>
            <w:tcW w:w="1300" w:type="dxa"/>
            <w:vAlign w:val="bottom"/>
            <w:tcBorders>
              <w:bottom w:val="single" w:sz="8" w:color="D1D2D4"/>
            </w:tcBorders>
          </w:tcPr>
          <w:p>
            <w:pPr>
              <w:spacing w:after="0"/>
              <w:rPr>
                <w:sz w:val="15"/>
                <w:szCs w:val="15"/>
                <w:color w:val="auto"/>
              </w:rPr>
            </w:pPr>
          </w:p>
        </w:tc>
        <w:tc>
          <w:tcPr>
            <w:tcW w:w="100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line="216"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7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163,078</w:t>
            </w:r>
          </w:p>
        </w:tc>
        <w:tc>
          <w:tcPr>
            <w:tcW w:w="12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81,538</w:t>
            </w:r>
          </w:p>
        </w:tc>
        <w:tc>
          <w:tcPr>
            <w:tcW w:w="780" w:type="dxa"/>
            <w:vAlign w:val="bottom"/>
            <w:tcBorders>
              <w:bottom w:val="single" w:sz="8" w:color="D1D2D4"/>
            </w:tcBorders>
          </w:tcPr>
          <w:p>
            <w:pPr>
              <w:jc w:val="right"/>
              <w:ind w:right="39"/>
              <w:spacing w:after="0"/>
              <w:rPr>
                <w:sz w:val="20"/>
                <w:szCs w:val="20"/>
                <w:color w:val="auto"/>
              </w:rPr>
            </w:pPr>
            <w:r>
              <w:rPr>
                <w:rFonts w:ascii="Arial" w:cs="Arial" w:eastAsia="Arial" w:hAnsi="Arial"/>
                <w:sz w:val="13"/>
                <w:szCs w:val="13"/>
                <w:color w:val="auto"/>
              </w:rPr>
              <w:t>$40.03</w:t>
            </w:r>
          </w:p>
        </w:tc>
        <w:tc>
          <w:tcPr>
            <w:tcW w:w="86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2/14/2030</w:t>
            </w:r>
          </w:p>
        </w:tc>
        <w:tc>
          <w:tcPr>
            <w:tcW w:w="88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30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7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19,654</w:t>
            </w:r>
          </w:p>
        </w:tc>
        <w:tc>
          <w:tcPr>
            <w:tcW w:w="12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39,307</w:t>
            </w:r>
          </w:p>
        </w:tc>
        <w:tc>
          <w:tcPr>
            <w:tcW w:w="780" w:type="dxa"/>
            <w:vAlign w:val="bottom"/>
            <w:tcBorders>
              <w:bottom w:val="single" w:sz="8" w:color="D1D2D4"/>
            </w:tcBorders>
          </w:tcPr>
          <w:p>
            <w:pPr>
              <w:jc w:val="right"/>
              <w:ind w:right="39"/>
              <w:spacing w:after="0"/>
              <w:rPr>
                <w:sz w:val="20"/>
                <w:szCs w:val="20"/>
                <w:color w:val="auto"/>
              </w:rPr>
            </w:pPr>
            <w:r>
              <w:rPr>
                <w:rFonts w:ascii="Arial" w:cs="Arial" w:eastAsia="Arial" w:hAnsi="Arial"/>
                <w:sz w:val="13"/>
                <w:szCs w:val="13"/>
                <w:color w:val="auto"/>
              </w:rPr>
              <w:t>$25.39</w:t>
            </w:r>
          </w:p>
        </w:tc>
        <w:tc>
          <w:tcPr>
            <w:tcW w:w="86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2/12/2031</w:t>
            </w:r>
          </w:p>
        </w:tc>
        <w:tc>
          <w:tcPr>
            <w:tcW w:w="88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30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60"/>
              <w:spacing w:after="0" w:line="209" w:lineRule="exact"/>
              <w:rPr>
                <w:sz w:val="20"/>
                <w:szCs w:val="20"/>
                <w:color w:val="auto"/>
              </w:rPr>
            </w:pPr>
            <w:r>
              <w:rPr>
                <w:rFonts w:ascii="Arial" w:cs="Arial" w:eastAsia="Arial" w:hAnsi="Arial"/>
                <w:sz w:val="13"/>
                <w:szCs w:val="13"/>
                <w:color w:val="auto"/>
              </w:rPr>
              <w:t>NQSO</w:t>
            </w:r>
            <w:r>
              <w:rPr>
                <w:rFonts w:ascii="Arial" w:cs="Arial" w:eastAsia="Arial" w:hAnsi="Arial"/>
                <w:sz w:val="20"/>
                <w:szCs w:val="20"/>
                <w:color w:val="auto"/>
                <w:vertAlign w:val="superscript"/>
              </w:rPr>
              <w:t>(3)</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36,341</w:t>
            </w:r>
          </w:p>
        </w:tc>
        <w:tc>
          <w:tcPr>
            <w:tcW w:w="780" w:type="dxa"/>
            <w:vAlign w:val="bottom"/>
            <w:tcBorders>
              <w:bottom w:val="single" w:sz="8" w:color="D1D2D4"/>
            </w:tcBorders>
          </w:tcPr>
          <w:p>
            <w:pPr>
              <w:jc w:val="right"/>
              <w:ind w:right="39"/>
              <w:spacing w:after="0"/>
              <w:rPr>
                <w:sz w:val="20"/>
                <w:szCs w:val="20"/>
                <w:color w:val="auto"/>
              </w:rPr>
            </w:pPr>
            <w:r>
              <w:rPr>
                <w:rFonts w:ascii="Arial" w:cs="Arial" w:eastAsia="Arial" w:hAnsi="Arial"/>
                <w:sz w:val="13"/>
                <w:szCs w:val="13"/>
                <w:color w:val="auto"/>
              </w:rPr>
              <w:t>$42.98</w:t>
            </w:r>
          </w:p>
        </w:tc>
        <w:tc>
          <w:tcPr>
            <w:tcW w:w="860" w:type="dxa"/>
            <w:vAlign w:val="bottom"/>
            <w:tcBorders>
              <w:bottom w:val="single" w:sz="8" w:color="D1D2D4"/>
            </w:tcBorders>
            <w:gridSpan w:val="2"/>
          </w:tcPr>
          <w:p>
            <w:pPr>
              <w:jc w:val="right"/>
              <w:ind w:right="180"/>
              <w:spacing w:after="0"/>
              <w:rPr>
                <w:sz w:val="20"/>
                <w:szCs w:val="20"/>
                <w:color w:val="auto"/>
              </w:rPr>
            </w:pPr>
            <w:r>
              <w:rPr>
                <w:rFonts w:ascii="Arial" w:cs="Arial" w:eastAsia="Arial" w:hAnsi="Arial"/>
                <w:sz w:val="13"/>
                <w:szCs w:val="13"/>
                <w:color w:val="auto"/>
              </w:rPr>
              <w:t>2/11/2032</w:t>
            </w:r>
          </w:p>
        </w:tc>
        <w:tc>
          <w:tcPr>
            <w:tcW w:w="88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30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RSU</w:t>
            </w:r>
            <w:r>
              <w:rPr>
                <w:rFonts w:ascii="Arial" w:cs="Arial" w:eastAsia="Arial" w:hAnsi="Arial"/>
                <w:sz w:val="10"/>
                <w:szCs w:val="10"/>
                <w:color w:val="auto"/>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02/14/20</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6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6,009</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378,507</w:t>
            </w:r>
          </w:p>
        </w:tc>
        <w:tc>
          <w:tcPr>
            <w:tcW w:w="130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6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19,693</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w w:val="96"/>
              </w:rPr>
              <w:t>1,240,462</w:t>
            </w:r>
          </w:p>
        </w:tc>
        <w:tc>
          <w:tcPr>
            <w:tcW w:w="130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60"/>
              <w:spacing w:after="0" w:line="209" w:lineRule="exact"/>
              <w:rPr>
                <w:sz w:val="20"/>
                <w:szCs w:val="20"/>
                <w:color w:val="auto"/>
              </w:rPr>
            </w:pPr>
            <w:r>
              <w:rPr>
                <w:rFonts w:ascii="Arial" w:cs="Arial" w:eastAsia="Arial" w:hAnsi="Arial"/>
                <w:sz w:val="13"/>
                <w:szCs w:val="13"/>
                <w:color w:val="auto"/>
              </w:rPr>
              <w:t>RSU</w:t>
            </w:r>
            <w:r>
              <w:rPr>
                <w:rFonts w:ascii="Arial" w:cs="Arial" w:eastAsia="Arial" w:hAnsi="Arial"/>
                <w:sz w:val="20"/>
                <w:szCs w:val="20"/>
                <w:color w:val="auto"/>
                <w:vertAlign w:val="superscript"/>
              </w:rPr>
              <w:t>(4)</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6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rPr>
              <w:t>19,777</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w w:val="96"/>
              </w:rPr>
              <w:t>1,245,753</w:t>
            </w:r>
          </w:p>
        </w:tc>
        <w:tc>
          <w:tcPr>
            <w:tcW w:w="130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6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300" w:type="dxa"/>
            <w:vAlign w:val="bottom"/>
            <w:tcBorders>
              <w:bottom w:val="single" w:sz="8" w:color="D1D2D4"/>
            </w:tcBorders>
          </w:tcPr>
          <w:p>
            <w:pPr>
              <w:jc w:val="right"/>
              <w:ind w:right="156"/>
              <w:spacing w:after="0"/>
              <w:rPr>
                <w:sz w:val="20"/>
                <w:szCs w:val="20"/>
                <w:color w:val="auto"/>
              </w:rPr>
            </w:pPr>
            <w:r>
              <w:rPr>
                <w:rFonts w:ascii="Arial" w:cs="Arial" w:eastAsia="Arial" w:hAnsi="Arial"/>
                <w:sz w:val="13"/>
                <w:szCs w:val="13"/>
                <w:color w:val="auto"/>
              </w:rPr>
              <w:t>59,080</w:t>
            </w: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$3,721,449</w:t>
            </w:r>
          </w:p>
        </w:tc>
        <w:tc>
          <w:tcPr>
            <w:tcW w:w="0" w:type="dxa"/>
            <w:vAlign w:val="bottom"/>
          </w:tcPr>
          <w:p>
            <w:pPr>
              <w:spacing w:after="0"/>
              <w:rPr>
                <w:sz w:val="1"/>
                <w:szCs w:val="1"/>
                <w:color w:val="auto"/>
              </w:rPr>
            </w:pPr>
          </w:p>
        </w:tc>
      </w:tr>
      <w:tr>
        <w:trPr>
          <w:trHeight w:val="209"/>
        </w:trPr>
        <w:tc>
          <w:tcPr>
            <w:tcW w:w="2840" w:type="dxa"/>
            <w:vAlign w:val="bottom"/>
          </w:tcPr>
          <w:p>
            <w:pPr>
              <w:ind w:left="60"/>
              <w:spacing w:after="0" w:line="209" w:lineRule="exact"/>
              <w:rPr>
                <w:sz w:val="20"/>
                <w:szCs w:val="20"/>
                <w:color w:val="auto"/>
              </w:rPr>
            </w:pPr>
            <w:r>
              <w:rPr>
                <w:rFonts w:ascii="Arial" w:cs="Arial" w:eastAsia="Arial" w:hAnsi="Arial"/>
                <w:sz w:val="13"/>
                <w:szCs w:val="13"/>
                <w:color w:val="auto"/>
              </w:rPr>
              <w:t>CROCE</w:t>
            </w:r>
            <w:r>
              <w:rPr>
                <w:rFonts w:ascii="Arial" w:cs="Arial" w:eastAsia="Arial" w:hAnsi="Arial"/>
                <w:sz w:val="20"/>
                <w:szCs w:val="20"/>
                <w:color w:val="auto"/>
                <w:vertAlign w:val="superscript"/>
              </w:rPr>
              <w:t>(5)</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6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300" w:type="dxa"/>
            <w:vAlign w:val="bottom"/>
            <w:tcBorders>
              <w:bottom w:val="single" w:sz="8" w:color="D1D2D4"/>
            </w:tcBorders>
          </w:tcPr>
          <w:p>
            <w:pPr>
              <w:jc w:val="right"/>
              <w:ind w:right="156"/>
              <w:spacing w:after="0"/>
              <w:rPr>
                <w:sz w:val="20"/>
                <w:szCs w:val="20"/>
                <w:color w:val="auto"/>
              </w:rPr>
            </w:pPr>
            <w:r>
              <w:rPr>
                <w:rFonts w:ascii="Arial" w:cs="Arial" w:eastAsia="Arial" w:hAnsi="Arial"/>
                <w:sz w:val="13"/>
                <w:szCs w:val="13"/>
                <w:color w:val="auto"/>
              </w:rPr>
              <w:t>39,554</w:t>
            </w: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$2,491,506</w:t>
            </w:r>
          </w:p>
        </w:tc>
        <w:tc>
          <w:tcPr>
            <w:tcW w:w="0" w:type="dxa"/>
            <w:vAlign w:val="bottom"/>
          </w:tcPr>
          <w:p>
            <w:pPr>
              <w:spacing w:after="0"/>
              <w:rPr>
                <w:sz w:val="1"/>
                <w:szCs w:val="1"/>
                <w:color w:val="auto"/>
              </w:rPr>
            </w:pPr>
          </w:p>
        </w:tc>
      </w:tr>
      <w:tr>
        <w:trPr>
          <w:trHeight w:val="209"/>
        </w:trPr>
        <w:tc>
          <w:tcPr>
            <w:tcW w:w="2840" w:type="dxa"/>
            <w:vAlign w:val="bottom"/>
          </w:tcPr>
          <w:p>
            <w:pPr>
              <w:ind w:left="60"/>
              <w:spacing w:after="0" w:line="210" w:lineRule="exact"/>
              <w:rPr>
                <w:sz w:val="20"/>
                <w:szCs w:val="20"/>
                <w:color w:val="auto"/>
              </w:rPr>
            </w:pPr>
            <w:r>
              <w:rPr>
                <w:rFonts w:ascii="Arial" w:cs="Arial" w:eastAsia="Arial" w:hAnsi="Arial"/>
                <w:sz w:val="24"/>
                <w:szCs w:val="24"/>
                <w:color w:val="auto"/>
                <w:vertAlign w:val="subscript"/>
              </w:rPr>
              <w:t>TSR</w:t>
            </w:r>
            <w:r>
              <w:rPr>
                <w:rFonts w:ascii="Arial" w:cs="Arial" w:eastAsia="Arial" w:hAnsi="Arial"/>
                <w:sz w:val="10"/>
                <w:szCs w:val="10"/>
                <w:color w:val="auto"/>
              </w:rPr>
              <w:t>(6)</w:t>
            </w:r>
          </w:p>
        </w:tc>
        <w:tc>
          <w:tcPr>
            <w:tcW w:w="680" w:type="dxa"/>
            <w:vAlign w:val="bottom"/>
            <w:tcBorders>
              <w:bottom w:val="single" w:sz="8" w:color="D1D2D4"/>
            </w:tcBorders>
          </w:tcPr>
          <w:p>
            <w:pPr>
              <w:jc w:val="right"/>
              <w:ind w:right="117"/>
              <w:spacing w:after="0"/>
              <w:rPr>
                <w:sz w:val="20"/>
                <w:szCs w:val="20"/>
                <w:color w:val="auto"/>
              </w:rPr>
            </w:pPr>
            <w:r>
              <w:rPr>
                <w:rFonts w:ascii="Arial" w:cs="Arial" w:eastAsia="Arial" w:hAnsi="Arial"/>
                <w:sz w:val="13"/>
                <w:szCs w:val="13"/>
                <w:color w:val="auto"/>
                <w:w w:val="94"/>
              </w:rPr>
              <w:t>02/12/21</w:t>
            </w:r>
          </w:p>
        </w:tc>
        <w:tc>
          <w:tcPr>
            <w:tcW w:w="7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680" w:type="dxa"/>
            <w:vAlign w:val="bottom"/>
            <w:tcBorders>
              <w:bottom w:val="single" w:sz="8" w:color="D1D2D4"/>
            </w:tcBorders>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00" w:type="dxa"/>
            <w:vAlign w:val="bottom"/>
            <w:tcBorders>
              <w:bottom w:val="single" w:sz="8" w:color="D1D2D4"/>
            </w:tcBorders>
          </w:tcPr>
          <w:p>
            <w:pPr>
              <w:spacing w:after="0"/>
              <w:rPr>
                <w:sz w:val="18"/>
                <w:szCs w:val="18"/>
                <w:color w:val="auto"/>
              </w:rPr>
            </w:pPr>
          </w:p>
        </w:tc>
        <w:tc>
          <w:tcPr>
            <w:tcW w:w="1300" w:type="dxa"/>
            <w:vAlign w:val="bottom"/>
            <w:tcBorders>
              <w:bottom w:val="single" w:sz="8" w:color="D1D2D4"/>
            </w:tcBorders>
          </w:tcPr>
          <w:p>
            <w:pPr>
              <w:jc w:val="right"/>
              <w:ind w:right="156"/>
              <w:spacing w:after="0"/>
              <w:rPr>
                <w:sz w:val="20"/>
                <w:szCs w:val="20"/>
                <w:color w:val="auto"/>
              </w:rPr>
            </w:pPr>
            <w:r>
              <w:rPr>
                <w:rFonts w:ascii="Arial" w:cs="Arial" w:eastAsia="Arial" w:hAnsi="Arial"/>
                <w:sz w:val="13"/>
                <w:szCs w:val="13"/>
                <w:color w:val="auto"/>
              </w:rPr>
              <w:t>40,812</w:t>
            </w: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$2,570,748</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00529B"/>
            </w:tcBorders>
          </w:tcPr>
          <w:p>
            <w:pPr>
              <w:ind w:left="60"/>
              <w:spacing w:after="0" w:line="209" w:lineRule="exact"/>
              <w:rPr>
                <w:sz w:val="20"/>
                <w:szCs w:val="20"/>
                <w:color w:val="auto"/>
              </w:rPr>
            </w:pPr>
            <w:r>
              <w:rPr>
                <w:rFonts w:ascii="Arial" w:cs="Arial" w:eastAsia="Arial" w:hAnsi="Arial"/>
                <w:sz w:val="13"/>
                <w:szCs w:val="13"/>
                <w:color w:val="auto"/>
              </w:rPr>
              <w:t>TSR</w:t>
            </w:r>
            <w:r>
              <w:rPr>
                <w:rFonts w:ascii="Arial" w:cs="Arial" w:eastAsia="Arial" w:hAnsi="Arial"/>
                <w:sz w:val="20"/>
                <w:szCs w:val="20"/>
                <w:color w:val="auto"/>
                <w:vertAlign w:val="superscript"/>
              </w:rPr>
              <w:t>(6)</w:t>
            </w:r>
          </w:p>
        </w:tc>
        <w:tc>
          <w:tcPr>
            <w:tcW w:w="680" w:type="dxa"/>
            <w:vAlign w:val="bottom"/>
            <w:tcBorders>
              <w:bottom w:val="single" w:sz="8" w:color="00529B"/>
            </w:tcBorders>
          </w:tcPr>
          <w:p>
            <w:pPr>
              <w:jc w:val="right"/>
              <w:ind w:right="117"/>
              <w:spacing w:after="0"/>
              <w:rPr>
                <w:sz w:val="20"/>
                <w:szCs w:val="20"/>
                <w:color w:val="auto"/>
              </w:rPr>
            </w:pPr>
            <w:r>
              <w:rPr>
                <w:rFonts w:ascii="Arial" w:cs="Arial" w:eastAsia="Arial" w:hAnsi="Arial"/>
                <w:sz w:val="13"/>
                <w:szCs w:val="13"/>
                <w:color w:val="auto"/>
                <w:w w:val="94"/>
              </w:rPr>
              <w:t>02/11/22</w:t>
            </w:r>
          </w:p>
        </w:tc>
        <w:tc>
          <w:tcPr>
            <w:tcW w:w="760" w:type="dxa"/>
            <w:vAlign w:val="bottom"/>
            <w:tcBorders>
              <w:bottom w:val="single" w:sz="8" w:color="00529B"/>
            </w:tcBorders>
          </w:tcPr>
          <w:p>
            <w:pPr>
              <w:spacing w:after="0"/>
              <w:rPr>
                <w:sz w:val="18"/>
                <w:szCs w:val="18"/>
                <w:color w:val="auto"/>
              </w:rPr>
            </w:pPr>
          </w:p>
        </w:tc>
        <w:tc>
          <w:tcPr>
            <w:tcW w:w="1200" w:type="dxa"/>
            <w:vAlign w:val="bottom"/>
            <w:tcBorders>
              <w:bottom w:val="single" w:sz="8" w:color="00529B"/>
            </w:tcBorders>
          </w:tcPr>
          <w:p>
            <w:pPr>
              <w:spacing w:after="0"/>
              <w:rPr>
                <w:sz w:val="18"/>
                <w:szCs w:val="18"/>
                <w:color w:val="auto"/>
              </w:rPr>
            </w:pPr>
          </w:p>
        </w:tc>
        <w:tc>
          <w:tcPr>
            <w:tcW w:w="780" w:type="dxa"/>
            <w:vAlign w:val="bottom"/>
            <w:tcBorders>
              <w:bottom w:val="single" w:sz="8" w:color="00529B"/>
            </w:tcBorders>
          </w:tcPr>
          <w:p>
            <w:pPr>
              <w:spacing w:after="0"/>
              <w:rPr>
                <w:sz w:val="18"/>
                <w:szCs w:val="18"/>
                <w:color w:val="auto"/>
              </w:rPr>
            </w:pPr>
          </w:p>
        </w:tc>
        <w:tc>
          <w:tcPr>
            <w:tcW w:w="680" w:type="dxa"/>
            <w:vAlign w:val="bottom"/>
            <w:tcBorders>
              <w:bottom w:val="single" w:sz="8" w:color="00529B"/>
            </w:tcBorders>
          </w:tcPr>
          <w:p>
            <w:pPr>
              <w:spacing w:after="0"/>
              <w:rPr>
                <w:sz w:val="18"/>
                <w:szCs w:val="18"/>
                <w:color w:val="auto"/>
              </w:rPr>
            </w:pPr>
          </w:p>
        </w:tc>
        <w:tc>
          <w:tcPr>
            <w:tcW w:w="180" w:type="dxa"/>
            <w:vAlign w:val="bottom"/>
            <w:tcBorders>
              <w:bottom w:val="single" w:sz="8" w:color="00529B"/>
            </w:tcBorders>
          </w:tcPr>
          <w:p>
            <w:pPr>
              <w:spacing w:after="0"/>
              <w:rPr>
                <w:sz w:val="18"/>
                <w:szCs w:val="18"/>
                <w:color w:val="auto"/>
              </w:rPr>
            </w:pPr>
          </w:p>
        </w:tc>
        <w:tc>
          <w:tcPr>
            <w:tcW w:w="880" w:type="dxa"/>
            <w:vAlign w:val="bottom"/>
            <w:tcBorders>
              <w:bottom w:val="single" w:sz="8" w:color="00529B"/>
            </w:tcBorders>
          </w:tcPr>
          <w:p>
            <w:pPr>
              <w:spacing w:after="0"/>
              <w:rPr>
                <w:sz w:val="18"/>
                <w:szCs w:val="18"/>
                <w:color w:val="auto"/>
              </w:rPr>
            </w:pPr>
          </w:p>
        </w:tc>
        <w:tc>
          <w:tcPr>
            <w:tcW w:w="240" w:type="dxa"/>
            <w:vAlign w:val="bottom"/>
            <w:tcBorders>
              <w:bottom w:val="single" w:sz="8" w:color="00529B"/>
            </w:tcBorders>
          </w:tcPr>
          <w:p>
            <w:pPr>
              <w:spacing w:after="0"/>
              <w:rPr>
                <w:sz w:val="18"/>
                <w:szCs w:val="18"/>
                <w:color w:val="auto"/>
              </w:rPr>
            </w:pPr>
          </w:p>
        </w:tc>
        <w:tc>
          <w:tcPr>
            <w:tcW w:w="700" w:type="dxa"/>
            <w:vAlign w:val="bottom"/>
            <w:tcBorders>
              <w:bottom w:val="single" w:sz="8" w:color="00529B"/>
            </w:tcBorders>
          </w:tcPr>
          <w:p>
            <w:pPr>
              <w:spacing w:after="0"/>
              <w:rPr>
                <w:sz w:val="18"/>
                <w:szCs w:val="18"/>
                <w:color w:val="auto"/>
              </w:rPr>
            </w:pPr>
          </w:p>
        </w:tc>
        <w:tc>
          <w:tcPr>
            <w:tcW w:w="1300" w:type="dxa"/>
            <w:vAlign w:val="bottom"/>
            <w:tcBorders>
              <w:bottom w:val="single" w:sz="8" w:color="00529B"/>
            </w:tcBorders>
          </w:tcPr>
          <w:p>
            <w:pPr>
              <w:jc w:val="right"/>
              <w:ind w:right="156"/>
              <w:spacing w:after="0"/>
              <w:rPr>
                <w:sz w:val="20"/>
                <w:szCs w:val="20"/>
                <w:color w:val="auto"/>
              </w:rPr>
            </w:pPr>
            <w:r>
              <w:rPr>
                <w:rFonts w:ascii="Arial" w:cs="Arial" w:eastAsia="Arial" w:hAnsi="Arial"/>
                <w:sz w:val="13"/>
                <w:szCs w:val="13"/>
                <w:color w:val="auto"/>
              </w:rPr>
              <w:t>27,326</w:t>
            </w:r>
          </w:p>
        </w:tc>
        <w:tc>
          <w:tcPr>
            <w:tcW w:w="100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$1,721,265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right="120" w:hanging="292"/>
        <w:spacing w:after="0" w:line="243" w:lineRule="auto"/>
        <w:tabs>
          <w:tab w:leader="none" w:pos="300" w:val="left"/>
        </w:tabs>
        <w:numPr>
          <w:ilvl w:val="0"/>
          <w:numId w:val="67"/>
        </w:numPr>
        <w:rPr>
          <w:rFonts w:ascii="Arial" w:cs="Arial" w:eastAsia="Arial" w:hAnsi="Arial"/>
          <w:sz w:val="10"/>
          <w:szCs w:val="10"/>
          <w:color w:val="auto"/>
        </w:rPr>
      </w:pPr>
      <w:r>
        <w:rPr>
          <w:rFonts w:ascii="Arial" w:cs="Arial" w:eastAsia="Arial" w:hAnsi="Arial"/>
          <w:sz w:val="13"/>
          <w:szCs w:val="13"/>
          <w:color w:val="auto"/>
        </w:rPr>
        <w:t>Anti-dilution adjustments were made to the exercise price and the number of shares of common stock underlying the 2020 NQSO and stock appreciation right (SAR) awards in connection with the warrant distribution on August 3, 2020.</w:t>
      </w:r>
    </w:p>
    <w:p>
      <w:pPr>
        <w:spacing w:after="0" w:line="48" w:lineRule="exact"/>
        <w:rPr>
          <w:rFonts w:ascii="Arial" w:cs="Arial" w:eastAsia="Arial" w:hAnsi="Arial"/>
          <w:sz w:val="10"/>
          <w:szCs w:val="10"/>
          <w:color w:val="auto"/>
        </w:rPr>
      </w:pPr>
    </w:p>
    <w:p>
      <w:pPr>
        <w:ind w:left="300" w:right="240" w:hanging="292"/>
        <w:spacing w:after="0" w:line="243" w:lineRule="auto"/>
        <w:tabs>
          <w:tab w:leader="none" w:pos="300" w:val="left"/>
        </w:tabs>
        <w:numPr>
          <w:ilvl w:val="0"/>
          <w:numId w:val="67"/>
        </w:numPr>
        <w:rPr>
          <w:rFonts w:ascii="Arial" w:cs="Arial" w:eastAsia="Arial" w:hAnsi="Arial"/>
          <w:sz w:val="10"/>
          <w:szCs w:val="10"/>
          <w:color w:val="auto"/>
        </w:rPr>
      </w:pPr>
      <w:r>
        <w:rPr>
          <w:rFonts w:ascii="Arial" w:cs="Arial" w:eastAsia="Arial" w:hAnsi="Arial"/>
          <w:sz w:val="13"/>
          <w:szCs w:val="13"/>
          <w:color w:val="auto"/>
        </w:rPr>
        <w:t>The dollar amounts shown represent the product of the number of shares or units shown in the column immediately to the left and $62.99, the closing price of Occidental’s common stock on the NYSE on December 30, 2022.</w:t>
      </w:r>
    </w:p>
    <w:p>
      <w:pPr>
        <w:spacing w:after="0" w:line="48" w:lineRule="exact"/>
        <w:rPr>
          <w:rFonts w:ascii="Arial" w:cs="Arial" w:eastAsia="Arial" w:hAnsi="Arial"/>
          <w:sz w:val="10"/>
          <w:szCs w:val="10"/>
          <w:color w:val="auto"/>
        </w:rPr>
      </w:pPr>
    </w:p>
    <w:p>
      <w:pPr>
        <w:ind w:left="300" w:right="20" w:hanging="292"/>
        <w:spacing w:after="0" w:line="229" w:lineRule="auto"/>
        <w:tabs>
          <w:tab w:leader="none" w:pos="300" w:val="left"/>
        </w:tabs>
        <w:numPr>
          <w:ilvl w:val="0"/>
          <w:numId w:val="67"/>
        </w:numPr>
        <w:rPr>
          <w:rFonts w:ascii="Arial" w:cs="Arial" w:eastAsia="Arial" w:hAnsi="Arial"/>
          <w:sz w:val="10"/>
          <w:szCs w:val="10"/>
          <w:color w:val="auto"/>
        </w:rPr>
      </w:pPr>
      <w:r>
        <w:rPr>
          <w:rFonts w:ascii="Arial" w:cs="Arial" w:eastAsia="Arial" w:hAnsi="Arial"/>
          <w:sz w:val="13"/>
          <w:szCs w:val="13"/>
          <w:color w:val="auto"/>
        </w:rPr>
        <w:t>The remaining unvested portion of each of the 2020 NQSO award and the 2020 SAR award vested on February 28, 2023. One-third of the 2021 NQSO award vested on February 28, 2023, and the remaining unvested portion will vest on February 28, 2024. One-third of the 2022 NQSO award vested on February 28, 2023, and the remaining unvested portion will vest ratably on February 28, 2024 and 2025. The closing price of Occidental’s common stock on the NYSE on December 30, 2022 ($62.99) was in excess of the strike price of the 2020, 2021 and 2022 NQSO awards and the grant price of the 2020 SAR award.</w:t>
      </w:r>
    </w:p>
    <w:p>
      <w:pPr>
        <w:spacing w:after="0" w:line="50" w:lineRule="exact"/>
        <w:rPr>
          <w:rFonts w:ascii="Arial" w:cs="Arial" w:eastAsia="Arial" w:hAnsi="Arial"/>
          <w:sz w:val="10"/>
          <w:szCs w:val="10"/>
          <w:color w:val="auto"/>
        </w:rPr>
      </w:pPr>
    </w:p>
    <w:p>
      <w:pPr>
        <w:jc w:val="both"/>
        <w:ind w:left="300" w:right="80" w:hanging="292"/>
        <w:spacing w:after="0" w:line="233" w:lineRule="auto"/>
        <w:tabs>
          <w:tab w:leader="none" w:pos="300" w:val="left"/>
        </w:tabs>
        <w:numPr>
          <w:ilvl w:val="0"/>
          <w:numId w:val="67"/>
        </w:numPr>
        <w:rPr>
          <w:rFonts w:ascii="Arial" w:cs="Arial" w:eastAsia="Arial" w:hAnsi="Arial"/>
          <w:sz w:val="10"/>
          <w:szCs w:val="10"/>
          <w:color w:val="auto"/>
        </w:rPr>
      </w:pPr>
      <w:r>
        <w:rPr>
          <w:rFonts w:ascii="Arial" w:cs="Arial" w:eastAsia="Arial" w:hAnsi="Arial"/>
          <w:sz w:val="13"/>
          <w:szCs w:val="13"/>
          <w:color w:val="auto"/>
        </w:rPr>
        <w:t>The RSU awards vest ratably over a three-year period, subject to continued employment. The unvested portion of the RSU award granted in February 2020 vested on February 28, 2023; one-third of the RSU award granted in February 2021 vested on February 28, 2023 and the remaining unvested portion will vest on February 28, 2024; one-third of the RSU award granted in February 2022 vested on February 28, 2023 and the remaining unvested portion will vest ratably on February 28, 2024 and 2025.</w:t>
      </w:r>
    </w:p>
    <w:p>
      <w:pPr>
        <w:spacing w:after="0" w:line="50" w:lineRule="exact"/>
        <w:rPr>
          <w:rFonts w:ascii="Arial" w:cs="Arial" w:eastAsia="Arial" w:hAnsi="Arial"/>
          <w:sz w:val="10"/>
          <w:szCs w:val="10"/>
          <w:color w:val="auto"/>
        </w:rPr>
      </w:pPr>
    </w:p>
    <w:p>
      <w:pPr>
        <w:ind w:left="300" w:right="520" w:hanging="292"/>
        <w:spacing w:after="0" w:line="243" w:lineRule="auto"/>
        <w:tabs>
          <w:tab w:leader="none" w:pos="300" w:val="left"/>
        </w:tabs>
        <w:numPr>
          <w:ilvl w:val="0"/>
          <w:numId w:val="67"/>
        </w:numPr>
        <w:rPr>
          <w:rFonts w:ascii="Arial" w:cs="Arial" w:eastAsia="Arial" w:hAnsi="Arial"/>
          <w:sz w:val="10"/>
          <w:szCs w:val="10"/>
          <w:color w:val="auto"/>
        </w:rPr>
      </w:pPr>
      <w:r>
        <w:rPr>
          <w:rFonts w:ascii="Arial" w:cs="Arial" w:eastAsia="Arial" w:hAnsi="Arial"/>
          <w:sz w:val="13"/>
          <w:szCs w:val="13"/>
          <w:color w:val="auto"/>
        </w:rPr>
        <w:t>Pursuant to SEC rules, the values shown for the CROCE awards granted in 2021 and 2022 reflect a payout at the maximum level based on Occidental’s above-target performance through December 31, 2022.</w:t>
      </w:r>
    </w:p>
    <w:p>
      <w:pPr>
        <w:spacing w:after="0" w:line="48" w:lineRule="exact"/>
        <w:rPr>
          <w:rFonts w:ascii="Arial" w:cs="Arial" w:eastAsia="Arial" w:hAnsi="Arial"/>
          <w:sz w:val="10"/>
          <w:szCs w:val="10"/>
          <w:color w:val="auto"/>
        </w:rPr>
      </w:pPr>
    </w:p>
    <w:p>
      <w:pPr>
        <w:ind w:left="300" w:right="100" w:hanging="292"/>
        <w:spacing w:after="0" w:line="229" w:lineRule="auto"/>
        <w:tabs>
          <w:tab w:leader="none" w:pos="300" w:val="left"/>
        </w:tabs>
        <w:numPr>
          <w:ilvl w:val="0"/>
          <w:numId w:val="67"/>
        </w:numPr>
        <w:rPr>
          <w:rFonts w:ascii="Arial" w:cs="Arial" w:eastAsia="Arial" w:hAnsi="Arial"/>
          <w:sz w:val="10"/>
          <w:szCs w:val="10"/>
          <w:color w:val="auto"/>
        </w:rPr>
      </w:pPr>
      <w:r>
        <w:rPr>
          <w:rFonts w:ascii="Arial" w:cs="Arial" w:eastAsia="Arial" w:hAnsi="Arial"/>
          <w:sz w:val="13"/>
          <w:szCs w:val="13"/>
          <w:color w:val="auto"/>
        </w:rPr>
        <w:t>Pursuant to SEC rules, the values shown for the TSR awards granted in 2021 and 2022 reflect a payout at the maximum number of PSUs granted, based on the above-target performance of Occidental through December 31, 2022. The TSR awards vest based on the achievement of the applicable performance goal over the three-year performance period. The performance periods for the 2021 and 2022 TSR awards end on December 31, 2023 and December 31, 2024, respectively. The ultimate payout may be less or more than the amounts shown, with the possibility of no payout, depending on the outcome of the performance criteria and the value of Occidental’s common stock on the award certification date.</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 Vested in 2022</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for the NEOs, the stock awards vested during 2022. No NQSO or SAR awards were exercised by the NEOs in 2022.</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PREVIOUSLY GRANTED STOCK AWARDS VESTED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140" w:type="dxa"/>
            <w:vAlign w:val="bottom"/>
            <w:tcBorders>
              <w:bottom w:val="single" w:sz="8" w:color="00529B"/>
            </w:tcBorders>
            <w:gridSpan w:val="3"/>
          </w:tcPr>
          <w:p>
            <w:pPr>
              <w:jc w:val="right"/>
              <w:ind w:right="528"/>
              <w:spacing w:after="0"/>
              <w:rPr>
                <w:sz w:val="20"/>
                <w:szCs w:val="20"/>
                <w:color w:val="auto"/>
              </w:rPr>
            </w:pPr>
            <w:r>
              <w:rPr>
                <w:rFonts w:ascii="Arial" w:cs="Arial" w:eastAsia="Arial" w:hAnsi="Arial"/>
                <w:sz w:val="14"/>
                <w:szCs w:val="14"/>
                <w:b w:val="1"/>
                <w:bCs w:val="1"/>
                <w:color w:val="00529B"/>
              </w:rPr>
              <w:t>Stock Awards</w:t>
            </w:r>
          </w:p>
        </w:tc>
        <w:tc>
          <w:tcPr>
            <w:tcW w:w="0" w:type="dxa"/>
            <w:vAlign w:val="bottom"/>
          </w:tcPr>
          <w:p>
            <w:pPr>
              <w:spacing w:after="0"/>
              <w:rPr>
                <w:sz w:val="1"/>
                <w:szCs w:val="1"/>
                <w:color w:val="auto"/>
              </w:rPr>
            </w:pPr>
          </w:p>
        </w:tc>
      </w:tr>
      <w:tr>
        <w:trPr>
          <w:trHeight w:val="180"/>
        </w:trPr>
        <w:tc>
          <w:tcPr>
            <w:tcW w:w="9100" w:type="dxa"/>
            <w:vAlign w:val="bottom"/>
          </w:tcPr>
          <w:p>
            <w:pPr>
              <w:spacing w:after="0"/>
              <w:rPr>
                <w:sz w:val="15"/>
                <w:szCs w:val="15"/>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00529B"/>
              </w:rPr>
              <w:t>Number</w:t>
            </w:r>
          </w:p>
        </w:tc>
        <w:tc>
          <w:tcPr>
            <w:tcW w:w="300" w:type="dxa"/>
            <w:vAlign w:val="bottom"/>
          </w:tcPr>
          <w:p>
            <w:pPr>
              <w:spacing w:after="0"/>
              <w:rPr>
                <w:sz w:val="15"/>
                <w:szCs w:val="1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529B"/>
              </w:rPr>
              <w:t>Value</w:t>
            </w:r>
          </w:p>
        </w:tc>
        <w:tc>
          <w:tcPr>
            <w:tcW w:w="0" w:type="dxa"/>
            <w:vAlign w:val="bottom"/>
          </w:tcPr>
          <w:p>
            <w:pPr>
              <w:spacing w:after="0"/>
              <w:rPr>
                <w:sz w:val="1"/>
                <w:szCs w:val="1"/>
                <w:color w:val="auto"/>
              </w:rPr>
            </w:pPr>
          </w:p>
        </w:tc>
      </w:tr>
      <w:tr>
        <w:trPr>
          <w:trHeight w:val="144"/>
        </w:trPr>
        <w:tc>
          <w:tcPr>
            <w:tcW w:w="9100" w:type="dxa"/>
            <w:vAlign w:val="bottom"/>
          </w:tcPr>
          <w:p>
            <w:pPr>
              <w:spacing w:after="0"/>
              <w:rPr>
                <w:sz w:val="12"/>
                <w:szCs w:val="12"/>
                <w:color w:val="auto"/>
              </w:rPr>
            </w:pPr>
          </w:p>
        </w:tc>
        <w:tc>
          <w:tcPr>
            <w:tcW w:w="1000" w:type="dxa"/>
            <w:vAlign w:val="bottom"/>
          </w:tcPr>
          <w:p>
            <w:pPr>
              <w:jc w:val="right"/>
              <w:ind w:right="188"/>
              <w:spacing w:after="0" w:line="145" w:lineRule="exact"/>
              <w:rPr>
                <w:sz w:val="20"/>
                <w:szCs w:val="20"/>
                <w:color w:val="auto"/>
              </w:rPr>
            </w:pPr>
            <w:r>
              <w:rPr>
                <w:rFonts w:ascii="Arial" w:cs="Arial" w:eastAsia="Arial" w:hAnsi="Arial"/>
                <w:sz w:val="14"/>
                <w:szCs w:val="14"/>
                <w:b w:val="1"/>
                <w:bCs w:val="1"/>
                <w:color w:val="00529B"/>
              </w:rPr>
              <w:t>of Shares</w:t>
            </w: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1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00529B"/>
              </w:rPr>
              <w:t>Acquired</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00529B"/>
              </w:rPr>
              <w:t>Realized</w:t>
            </w:r>
          </w:p>
        </w:tc>
        <w:tc>
          <w:tcPr>
            <w:tcW w:w="0" w:type="dxa"/>
            <w:vAlign w:val="bottom"/>
          </w:tcPr>
          <w:p>
            <w:pPr>
              <w:spacing w:after="0"/>
              <w:rPr>
                <w:sz w:val="1"/>
                <w:szCs w:val="1"/>
                <w:color w:val="auto"/>
              </w:rPr>
            </w:pPr>
          </w:p>
        </w:tc>
      </w:tr>
      <w:tr>
        <w:trPr>
          <w:trHeight w:val="162"/>
        </w:trPr>
        <w:tc>
          <w:tcPr>
            <w:tcW w:w="91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00529B"/>
              </w:rPr>
              <w:t>on Vesting</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00529B"/>
              </w:rPr>
              <w:t>on Vesting</w:t>
            </w:r>
          </w:p>
        </w:tc>
        <w:tc>
          <w:tcPr>
            <w:tcW w:w="0" w:type="dxa"/>
            <w:vAlign w:val="bottom"/>
          </w:tcPr>
          <w:p>
            <w:pPr>
              <w:spacing w:after="0"/>
              <w:rPr>
                <w:sz w:val="1"/>
                <w:szCs w:val="1"/>
                <w:color w:val="auto"/>
              </w:rPr>
            </w:pPr>
          </w:p>
        </w:tc>
      </w:tr>
      <w:tr>
        <w:trPr>
          <w:trHeight w:val="223"/>
        </w:trPr>
        <w:tc>
          <w:tcPr>
            <w:tcW w:w="910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Name</w:t>
            </w:r>
          </w:p>
        </w:tc>
        <w:tc>
          <w:tcPr>
            <w:tcW w:w="1000" w:type="dxa"/>
            <w:vAlign w:val="bottom"/>
            <w:tcBorders>
              <w:bottom w:val="single" w:sz="8" w:color="00529B"/>
            </w:tcBorders>
          </w:tcPr>
          <w:p>
            <w:pPr>
              <w:jc w:val="right"/>
              <w:ind w:right="148"/>
              <w:spacing w:after="0"/>
              <w:rPr>
                <w:sz w:val="20"/>
                <w:szCs w:val="20"/>
                <w:color w:val="auto"/>
              </w:rPr>
            </w:pPr>
            <w:r>
              <w:rPr>
                <w:rFonts w:ascii="Arial" w:cs="Arial" w:eastAsia="Arial" w:hAnsi="Arial"/>
                <w:sz w:val="14"/>
                <w:szCs w:val="14"/>
                <w:b w:val="1"/>
                <w:bCs w:val="1"/>
                <w:color w:val="00529B"/>
              </w:rPr>
              <w:t>(#)</w:t>
            </w:r>
          </w:p>
        </w:tc>
        <w:tc>
          <w:tcPr>
            <w:tcW w:w="300" w:type="dxa"/>
            <w:vAlign w:val="bottom"/>
            <w:tcBorders>
              <w:bottom w:val="single" w:sz="8" w:color="00529B"/>
            </w:tcBorders>
          </w:tcPr>
          <w:p>
            <w:pPr>
              <w:spacing w:after="0"/>
              <w:rPr>
                <w:sz w:val="19"/>
                <w:szCs w:val="19"/>
                <w:color w:val="auto"/>
              </w:rPr>
            </w:pPr>
          </w:p>
        </w:tc>
        <w:tc>
          <w:tcPr>
            <w:tcW w:w="840" w:type="dxa"/>
            <w:vAlign w:val="bottom"/>
            <w:tcBorders>
              <w:bottom w:val="single" w:sz="8" w:color="00529B"/>
            </w:tcBorders>
          </w:tcPr>
          <w:p>
            <w:pPr>
              <w:jc w:val="right"/>
              <w:ind w:right="28"/>
              <w:spacing w:after="0" w:line="216" w:lineRule="exact"/>
              <w:rPr>
                <w:sz w:val="20"/>
                <w:szCs w:val="20"/>
                <w:color w:val="auto"/>
              </w:rPr>
            </w:pPr>
            <w:r>
              <w:rPr>
                <w:rFonts w:ascii="Arial" w:cs="Arial" w:eastAsia="Arial" w:hAnsi="Arial"/>
                <w:sz w:val="14"/>
                <w:szCs w:val="14"/>
                <w:b w:val="1"/>
                <w:bCs w:val="1"/>
                <w:color w:val="00529B"/>
              </w:rPr>
              <w:t>($)</w:t>
            </w:r>
            <w:r>
              <w:rPr>
                <w:rFonts w:ascii="Arial" w:cs="Arial" w:eastAsia="Arial" w:hAnsi="Arial"/>
                <w:sz w:val="23"/>
                <w:szCs w:val="23"/>
                <w:b w:val="1"/>
                <w:bCs w:val="1"/>
                <w:color w:val="00529B"/>
                <w:vertAlign w:val="superscript"/>
              </w:rPr>
              <w:t>(1)</w:t>
            </w:r>
          </w:p>
        </w:tc>
        <w:tc>
          <w:tcPr>
            <w:tcW w:w="0" w:type="dxa"/>
            <w:vAlign w:val="bottom"/>
          </w:tcPr>
          <w:p>
            <w:pPr>
              <w:spacing w:after="0"/>
              <w:rPr>
                <w:sz w:val="1"/>
                <w:szCs w:val="1"/>
                <w:color w:val="auto"/>
              </w:rPr>
            </w:pPr>
          </w:p>
        </w:tc>
      </w:tr>
      <w:tr>
        <w:trPr>
          <w:trHeight w:val="215"/>
        </w:trPr>
        <w:tc>
          <w:tcPr>
            <w:tcW w:w="910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V. Hollub</w:t>
            </w:r>
          </w:p>
        </w:tc>
        <w:tc>
          <w:tcPr>
            <w:tcW w:w="100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295,656</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16,708,984</w:t>
            </w:r>
          </w:p>
        </w:tc>
        <w:tc>
          <w:tcPr>
            <w:tcW w:w="0" w:type="dxa"/>
            <w:vAlign w:val="bottom"/>
          </w:tcPr>
          <w:p>
            <w:pPr>
              <w:spacing w:after="0"/>
              <w:rPr>
                <w:sz w:val="1"/>
                <w:szCs w:val="1"/>
                <w:color w:val="auto"/>
              </w:rPr>
            </w:pPr>
          </w:p>
        </w:tc>
      </w:tr>
      <w:tr>
        <w:trPr>
          <w:trHeight w:val="209"/>
        </w:trPr>
        <w:tc>
          <w:tcPr>
            <w:tcW w:w="910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R. Peterson</w:t>
            </w:r>
          </w:p>
        </w:tc>
        <w:tc>
          <w:tcPr>
            <w:tcW w:w="100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99,350</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4,628,168</w:t>
            </w:r>
          </w:p>
        </w:tc>
        <w:tc>
          <w:tcPr>
            <w:tcW w:w="0" w:type="dxa"/>
            <w:vAlign w:val="bottom"/>
          </w:tcPr>
          <w:p>
            <w:pPr>
              <w:spacing w:after="0"/>
              <w:rPr>
                <w:sz w:val="1"/>
                <w:szCs w:val="1"/>
                <w:color w:val="auto"/>
              </w:rPr>
            </w:pPr>
          </w:p>
        </w:tc>
      </w:tr>
      <w:tr>
        <w:trPr>
          <w:trHeight w:val="210"/>
        </w:trPr>
        <w:tc>
          <w:tcPr>
            <w:tcW w:w="910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P. Bennett</w:t>
            </w:r>
          </w:p>
        </w:tc>
        <w:tc>
          <w:tcPr>
            <w:tcW w:w="100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80,554</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3,757,194</w:t>
            </w:r>
          </w:p>
        </w:tc>
        <w:tc>
          <w:tcPr>
            <w:tcW w:w="0" w:type="dxa"/>
            <w:vAlign w:val="bottom"/>
          </w:tcPr>
          <w:p>
            <w:pPr>
              <w:spacing w:after="0"/>
              <w:rPr>
                <w:sz w:val="1"/>
                <w:szCs w:val="1"/>
                <w:color w:val="auto"/>
              </w:rPr>
            </w:pPr>
          </w:p>
        </w:tc>
      </w:tr>
      <w:tr>
        <w:trPr>
          <w:trHeight w:val="210"/>
        </w:trPr>
        <w:tc>
          <w:tcPr>
            <w:tcW w:w="910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K. Dillon</w:t>
            </w:r>
          </w:p>
        </w:tc>
        <w:tc>
          <w:tcPr>
            <w:tcW w:w="100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83,203</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4,700,497</w:t>
            </w:r>
          </w:p>
        </w:tc>
        <w:tc>
          <w:tcPr>
            <w:tcW w:w="0" w:type="dxa"/>
            <w:vAlign w:val="bottom"/>
          </w:tcPr>
          <w:p>
            <w:pPr>
              <w:spacing w:after="0"/>
              <w:rPr>
                <w:sz w:val="1"/>
                <w:szCs w:val="1"/>
                <w:color w:val="auto"/>
              </w:rPr>
            </w:pPr>
          </w:p>
        </w:tc>
      </w:tr>
      <w:tr>
        <w:trPr>
          <w:trHeight w:val="209"/>
        </w:trPr>
        <w:tc>
          <w:tcPr>
            <w:tcW w:w="9100" w:type="dxa"/>
            <w:vAlign w:val="bottom"/>
            <w:tcBorders>
              <w:bottom w:val="single" w:sz="8" w:color="D1D2D4"/>
            </w:tcBorders>
          </w:tcPr>
          <w:p>
            <w:pPr>
              <w:ind w:left="60"/>
              <w:spacing w:after="0"/>
              <w:rPr>
                <w:sz w:val="20"/>
                <w:szCs w:val="20"/>
                <w:color w:val="auto"/>
              </w:rPr>
            </w:pPr>
            <w:r>
              <w:rPr>
                <w:rFonts w:ascii="Arial" w:cs="Arial" w:eastAsia="Arial" w:hAnsi="Arial"/>
                <w:sz w:val="14"/>
                <w:szCs w:val="14"/>
                <w:b w:val="1"/>
                <w:bCs w:val="1"/>
                <w:color w:val="00529B"/>
              </w:rPr>
              <w:t>R. Jackson</w:t>
            </w:r>
          </w:p>
        </w:tc>
        <w:tc>
          <w:tcPr>
            <w:tcW w:w="100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86,753</w:t>
            </w:r>
          </w:p>
        </w:tc>
        <w:tc>
          <w:tcPr>
            <w:tcW w:w="3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4,193,185</w:t>
            </w:r>
          </w:p>
        </w:tc>
        <w:tc>
          <w:tcPr>
            <w:tcW w:w="0" w:type="dxa"/>
            <w:vAlign w:val="bottom"/>
          </w:tcPr>
          <w:p>
            <w:pPr>
              <w:spacing w:after="0"/>
              <w:rPr>
                <w:sz w:val="1"/>
                <w:szCs w:val="1"/>
                <w:color w:val="auto"/>
              </w:rPr>
            </w:pPr>
          </w:p>
        </w:tc>
      </w:tr>
      <w:tr>
        <w:trPr>
          <w:trHeight w:val="218"/>
        </w:trPr>
        <w:tc>
          <w:tcPr>
            <w:tcW w:w="910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M. Backus</w:t>
            </w:r>
          </w:p>
        </w:tc>
        <w:tc>
          <w:tcPr>
            <w:tcW w:w="1000" w:type="dxa"/>
            <w:vAlign w:val="bottom"/>
            <w:tcBorders>
              <w:bottom w:val="single" w:sz="8" w:color="00529B"/>
            </w:tcBorders>
          </w:tcPr>
          <w:p>
            <w:pPr>
              <w:jc w:val="right"/>
              <w:ind w:right="148"/>
              <w:spacing w:after="0"/>
              <w:rPr>
                <w:sz w:val="20"/>
                <w:szCs w:val="20"/>
                <w:color w:val="auto"/>
              </w:rPr>
            </w:pPr>
            <w:r>
              <w:rPr>
                <w:rFonts w:ascii="Arial" w:cs="Arial" w:eastAsia="Arial" w:hAnsi="Arial"/>
                <w:sz w:val="14"/>
                <w:szCs w:val="14"/>
                <w:color w:val="auto"/>
              </w:rPr>
              <w:t>83,866</w:t>
            </w:r>
          </w:p>
        </w:tc>
        <w:tc>
          <w:tcPr>
            <w:tcW w:w="30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color w:val="auto"/>
              </w:rPr>
              <w:t>4,747,461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right="120" w:hanging="292"/>
        <w:spacing w:after="0" w:line="233" w:lineRule="auto"/>
        <w:tabs>
          <w:tab w:leader="none" w:pos="300" w:val="left"/>
        </w:tabs>
        <w:numPr>
          <w:ilvl w:val="0"/>
          <w:numId w:val="68"/>
        </w:numPr>
        <w:rPr>
          <w:rFonts w:ascii="Arial" w:cs="Arial" w:eastAsia="Arial" w:hAnsi="Arial"/>
          <w:sz w:val="10"/>
          <w:szCs w:val="10"/>
          <w:color w:val="auto"/>
        </w:rPr>
      </w:pPr>
      <w:r>
        <w:rPr>
          <w:rFonts w:ascii="Arial" w:cs="Arial" w:eastAsia="Arial" w:hAnsi="Arial"/>
          <w:sz w:val="13"/>
          <w:szCs w:val="13"/>
          <w:color w:val="auto"/>
        </w:rPr>
        <w:t>Amounts shown represent the product of the number of shares vested and the closing price of Occidental’s common stock on the NYSE on either the award’s certification date, for performance-based awards, or the award’s vesting date, for time-vested awards. In each case, the number of shares acquired at vesting and the value realized at vesting do not include any reduction in vested shares or value realized associated with the cancellation of shares to satisfy tax withholding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Nonqualified Deferred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Supplemental Retirement Plan II</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Employees whose participation in Occidental’s tax-qualified defined contribution plans is limited by applicable tax laws are eligible to participate in Occidental’s SRP II, which provides additional retirement benefits outside of those limitations.</w:t>
      </w:r>
    </w:p>
    <w:p>
      <w:pPr>
        <w:spacing w:after="0" w:line="161" w:lineRule="exact"/>
        <w:rPr>
          <w:sz w:val="20"/>
          <w:szCs w:val="20"/>
          <w:color w:val="auto"/>
        </w:rPr>
      </w:pPr>
    </w:p>
    <w:p>
      <w:pPr>
        <w:ind w:right="260"/>
        <w:spacing w:after="0" w:line="244" w:lineRule="auto"/>
        <w:rPr>
          <w:sz w:val="20"/>
          <w:szCs w:val="20"/>
          <w:color w:val="auto"/>
        </w:rPr>
      </w:pPr>
      <w:r>
        <w:rPr>
          <w:rFonts w:ascii="Arial" w:cs="Arial" w:eastAsia="Arial" w:hAnsi="Arial"/>
          <w:sz w:val="15"/>
          <w:szCs w:val="15"/>
          <w:color w:val="auto"/>
        </w:rPr>
        <w:t>Annual plan allocations for each participant restore the amounts that would have accrued for salary, ACI award amounts and bonus amounts, if any, under the qualified plans, but for the tax law limitations. Account balances are fully vested after three years of service and are payable following a separation from service, or upon the attainment of a specified age, as elected by the participant. Each of the NEOs is fully vested in his or her aggregate balance shown on page 69.</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Interest on SRP II accounts is allocated daily to each participant’s account. The amount of interest earnings is calculated using a rate equal to the five-year U.S.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Treasury Note rate on the last business day of the processing month plus 2%, on a daily basis with monthly compounding.</w:t>
      </w: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Modified Deferred Compensation Plan</w:t>
      </w:r>
    </w:p>
    <w:p>
      <w:pPr>
        <w:spacing w:after="0" w:line="239" w:lineRule="exact"/>
        <w:rPr>
          <w:sz w:val="20"/>
          <w:szCs w:val="20"/>
          <w:color w:val="auto"/>
        </w:rPr>
      </w:pPr>
    </w:p>
    <w:p>
      <w:pPr>
        <w:ind w:right="360"/>
        <w:spacing w:after="0" w:line="244" w:lineRule="auto"/>
        <w:rPr>
          <w:sz w:val="20"/>
          <w:szCs w:val="20"/>
          <w:color w:val="auto"/>
        </w:rPr>
      </w:pPr>
      <w:r>
        <w:rPr>
          <w:rFonts w:ascii="Arial" w:cs="Arial" w:eastAsia="Arial" w:hAnsi="Arial"/>
          <w:sz w:val="15"/>
          <w:szCs w:val="15"/>
          <w:color w:val="auto"/>
        </w:rPr>
        <w:t>Under the MDCP, the maximum amount of an executive officer’s salary or ACI award payment that may be deferred for any one year is limited to $150,000. A participant’s overall plan balance must be less than $ 2 million at the end of any given year to enable a participant to defer compensation for the subsequent year. Deferred amounts earn interest at a rate equal to the five-year U.S. Treasury Note rate plus 2%.</w:t>
      </w:r>
    </w:p>
    <w:p>
      <w:pPr>
        <w:spacing w:after="0" w:line="176"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The following table sets forth the 2022 contributions, earnings, withdrawals and balances under the SRP II and the MDCP, to the extent the NEOs participated in such plans. The footnotes provide information about other amounts that were reported as earned in the Summary Compensation Table on page 61 for 2022 and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743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 Tables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29B"/>
              </w:rPr>
              <w:t>Aggregate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00529B"/>
              </w:rPr>
              <w:t>Executive</w:t>
            </w:r>
          </w:p>
        </w:tc>
        <w:tc>
          <w:tcPr>
            <w:tcW w:w="13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29B"/>
              </w:rPr>
              <w:t>Occidental</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29B"/>
              </w:rPr>
              <w:t>Aggregate</w:t>
            </w:r>
          </w:p>
        </w:tc>
        <w:tc>
          <w:tcPr>
            <w:tcW w:w="13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00529B"/>
              </w:rPr>
              <w:t>Withdrawals/</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00529B"/>
              </w:rPr>
              <w:t>Aggregate</w:t>
            </w:r>
          </w:p>
        </w:tc>
      </w:tr>
      <w:tr>
        <w:trPr>
          <w:trHeight w:val="159"/>
        </w:trPr>
        <w:tc>
          <w:tcPr>
            <w:tcW w:w="4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00529B"/>
              </w:rPr>
              <w:t>Contributions</w:t>
            </w:r>
          </w:p>
        </w:tc>
        <w:tc>
          <w:tcPr>
            <w:tcW w:w="1320" w:type="dxa"/>
            <w:vAlign w:val="bottom"/>
            <w:gridSpan w:val="2"/>
          </w:tcPr>
          <w:p>
            <w:pPr>
              <w:jc w:val="right"/>
              <w:ind w:right="168"/>
              <w:spacing w:after="0" w:line="159" w:lineRule="exact"/>
              <w:rPr>
                <w:sz w:val="20"/>
                <w:szCs w:val="20"/>
                <w:color w:val="auto"/>
              </w:rPr>
            </w:pPr>
            <w:r>
              <w:rPr>
                <w:rFonts w:ascii="Arial" w:cs="Arial" w:eastAsia="Arial" w:hAnsi="Arial"/>
                <w:sz w:val="14"/>
                <w:szCs w:val="14"/>
                <w:b w:val="1"/>
                <w:bCs w:val="1"/>
                <w:color w:val="00529B"/>
              </w:rPr>
              <w:t>Contributions</w:t>
            </w:r>
          </w:p>
        </w:tc>
        <w:tc>
          <w:tcPr>
            <w:tcW w:w="1080" w:type="dxa"/>
            <w:vAlign w:val="bottom"/>
            <w:gridSpan w:val="2"/>
          </w:tcPr>
          <w:p>
            <w:pPr>
              <w:jc w:val="right"/>
              <w:ind w:right="108"/>
              <w:spacing w:after="0" w:line="159" w:lineRule="exact"/>
              <w:rPr>
                <w:sz w:val="20"/>
                <w:szCs w:val="20"/>
                <w:color w:val="auto"/>
              </w:rPr>
            </w:pPr>
            <w:r>
              <w:rPr>
                <w:rFonts w:ascii="Arial" w:cs="Arial" w:eastAsia="Arial" w:hAnsi="Arial"/>
                <w:sz w:val="14"/>
                <w:szCs w:val="14"/>
                <w:b w:val="1"/>
                <w:bCs w:val="1"/>
                <w:color w:val="00529B"/>
              </w:rPr>
              <w:t>Earnings</w:t>
            </w:r>
          </w:p>
        </w:tc>
        <w:tc>
          <w:tcPr>
            <w:tcW w:w="1300" w:type="dxa"/>
            <w:vAlign w:val="bottom"/>
            <w:gridSpan w:val="2"/>
          </w:tcPr>
          <w:p>
            <w:pPr>
              <w:jc w:val="center"/>
              <w:ind w:right="48"/>
              <w:spacing w:after="0" w:line="159" w:lineRule="exact"/>
              <w:rPr>
                <w:sz w:val="20"/>
                <w:szCs w:val="20"/>
                <w:color w:val="auto"/>
              </w:rPr>
            </w:pPr>
            <w:r>
              <w:rPr>
                <w:rFonts w:ascii="Arial" w:cs="Arial" w:eastAsia="Arial" w:hAnsi="Arial"/>
                <w:sz w:val="14"/>
                <w:szCs w:val="14"/>
                <w:b w:val="1"/>
                <w:bCs w:val="1"/>
                <w:color w:val="00529B"/>
              </w:rPr>
              <w:t>Distributions</w:t>
            </w:r>
          </w:p>
        </w:tc>
        <w:tc>
          <w:tcPr>
            <w:tcW w:w="108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00529B"/>
              </w:rPr>
              <w:t>Balance at</w:t>
            </w:r>
          </w:p>
        </w:tc>
      </w:tr>
      <w:tr>
        <w:trPr>
          <w:trHeight w:val="235"/>
        </w:trPr>
        <w:tc>
          <w:tcPr>
            <w:tcW w:w="4700" w:type="dxa"/>
            <w:vAlign w:val="bottom"/>
            <w:tcBorders>
              <w:bottom w:val="single" w:sz="8" w:color="00529B"/>
            </w:tcBorders>
          </w:tcPr>
          <w:p>
            <w:pPr>
              <w:ind w:left="60"/>
              <w:spacing w:after="0"/>
              <w:rPr>
                <w:sz w:val="20"/>
                <w:szCs w:val="20"/>
                <w:color w:val="auto"/>
              </w:rPr>
            </w:pPr>
            <w:r>
              <w:rPr>
                <w:rFonts w:ascii="Arial" w:cs="Arial" w:eastAsia="Arial" w:hAnsi="Arial"/>
                <w:sz w:val="14"/>
                <w:szCs w:val="14"/>
                <w:b w:val="1"/>
                <w:bCs w:val="1"/>
                <w:color w:val="00529B"/>
              </w:rPr>
              <w:t>Name</w:t>
            </w:r>
          </w:p>
        </w:tc>
        <w:tc>
          <w:tcPr>
            <w:tcW w:w="540" w:type="dxa"/>
            <w:vAlign w:val="bottom"/>
            <w:tcBorders>
              <w:bottom w:val="single" w:sz="8" w:color="00529B"/>
            </w:tcBorders>
          </w:tcPr>
          <w:p>
            <w:pPr>
              <w:jc w:val="right"/>
              <w:ind w:right="48"/>
              <w:spacing w:after="0"/>
              <w:rPr>
                <w:sz w:val="20"/>
                <w:szCs w:val="20"/>
                <w:color w:val="auto"/>
              </w:rPr>
            </w:pPr>
            <w:r>
              <w:rPr>
                <w:rFonts w:ascii="Arial" w:cs="Arial" w:eastAsia="Arial" w:hAnsi="Arial"/>
                <w:sz w:val="14"/>
                <w:szCs w:val="14"/>
                <w:b w:val="1"/>
                <w:bCs w:val="1"/>
                <w:color w:val="00529B"/>
              </w:rPr>
              <w:t>Plan</w:t>
            </w:r>
          </w:p>
        </w:tc>
        <w:tc>
          <w:tcPr>
            <w:tcW w:w="1220" w:type="dxa"/>
            <w:vAlign w:val="bottom"/>
            <w:tcBorders>
              <w:bottom w:val="single" w:sz="8" w:color="00529B"/>
            </w:tcBorders>
          </w:tcPr>
          <w:p>
            <w:pPr>
              <w:jc w:val="right"/>
              <w:ind w:right="68"/>
              <w:spacing w:after="0" w:line="229" w:lineRule="exact"/>
              <w:rPr>
                <w:sz w:val="20"/>
                <w:szCs w:val="20"/>
                <w:color w:val="auto"/>
              </w:rPr>
            </w:pPr>
            <w:r>
              <w:rPr>
                <w:rFonts w:ascii="Arial" w:cs="Arial" w:eastAsia="Arial" w:hAnsi="Arial"/>
                <w:sz w:val="14"/>
                <w:szCs w:val="14"/>
                <w:b w:val="1"/>
                <w:bCs w:val="1"/>
                <w:color w:val="00529B"/>
              </w:rPr>
              <w:t>in 2022</w:t>
            </w:r>
            <w:r>
              <w:rPr>
                <w:rFonts w:ascii="Arial" w:cs="Arial" w:eastAsia="Arial" w:hAnsi="Arial"/>
                <w:sz w:val="23"/>
                <w:szCs w:val="23"/>
                <w:b w:val="1"/>
                <w:bCs w:val="1"/>
                <w:color w:val="00529B"/>
                <w:vertAlign w:val="superscript"/>
              </w:rPr>
              <w:t>(1)</w:t>
            </w:r>
          </w:p>
        </w:tc>
        <w:tc>
          <w:tcPr>
            <w:tcW w:w="1320" w:type="dxa"/>
            <w:vAlign w:val="bottom"/>
            <w:tcBorders>
              <w:bottom w:val="single" w:sz="8" w:color="00529B"/>
            </w:tcBorders>
            <w:gridSpan w:val="2"/>
          </w:tcPr>
          <w:p>
            <w:pPr>
              <w:jc w:val="right"/>
              <w:ind w:right="128"/>
              <w:spacing w:after="0" w:line="229" w:lineRule="exact"/>
              <w:rPr>
                <w:sz w:val="20"/>
                <w:szCs w:val="20"/>
                <w:color w:val="auto"/>
              </w:rPr>
            </w:pPr>
            <w:r>
              <w:rPr>
                <w:rFonts w:ascii="Arial" w:cs="Arial" w:eastAsia="Arial" w:hAnsi="Arial"/>
                <w:sz w:val="14"/>
                <w:szCs w:val="14"/>
                <w:b w:val="1"/>
                <w:bCs w:val="1"/>
                <w:color w:val="00529B"/>
              </w:rPr>
              <w:t>in 2022</w:t>
            </w:r>
            <w:r>
              <w:rPr>
                <w:rFonts w:ascii="Arial" w:cs="Arial" w:eastAsia="Arial" w:hAnsi="Arial"/>
                <w:sz w:val="23"/>
                <w:szCs w:val="23"/>
                <w:b w:val="1"/>
                <w:bCs w:val="1"/>
                <w:color w:val="00529B"/>
                <w:vertAlign w:val="superscript"/>
              </w:rPr>
              <w:t>(2)</w:t>
            </w:r>
          </w:p>
        </w:tc>
        <w:tc>
          <w:tcPr>
            <w:tcW w:w="1080" w:type="dxa"/>
            <w:vAlign w:val="bottom"/>
            <w:tcBorders>
              <w:bottom w:val="single" w:sz="8" w:color="00529B"/>
            </w:tcBorders>
            <w:gridSpan w:val="2"/>
          </w:tcPr>
          <w:p>
            <w:pPr>
              <w:jc w:val="right"/>
              <w:ind w:right="68"/>
              <w:spacing w:after="0" w:line="229" w:lineRule="exact"/>
              <w:rPr>
                <w:sz w:val="20"/>
                <w:szCs w:val="20"/>
                <w:color w:val="auto"/>
              </w:rPr>
            </w:pPr>
            <w:r>
              <w:rPr>
                <w:rFonts w:ascii="Arial" w:cs="Arial" w:eastAsia="Arial" w:hAnsi="Arial"/>
                <w:sz w:val="14"/>
                <w:szCs w:val="14"/>
                <w:b w:val="1"/>
                <w:bCs w:val="1"/>
                <w:color w:val="00529B"/>
              </w:rPr>
              <w:t>in 2022</w:t>
            </w:r>
            <w:r>
              <w:rPr>
                <w:rFonts w:ascii="Arial" w:cs="Arial" w:eastAsia="Arial" w:hAnsi="Arial"/>
                <w:sz w:val="23"/>
                <w:szCs w:val="23"/>
                <w:b w:val="1"/>
                <w:bCs w:val="1"/>
                <w:color w:val="00529B"/>
                <w:vertAlign w:val="superscript"/>
              </w:rPr>
              <w:t>(3)</w:t>
            </w:r>
          </w:p>
        </w:tc>
        <w:tc>
          <w:tcPr>
            <w:tcW w:w="1300" w:type="dxa"/>
            <w:vAlign w:val="bottom"/>
            <w:tcBorders>
              <w:bottom w:val="single" w:sz="8" w:color="00529B"/>
            </w:tcBorders>
            <w:gridSpan w:val="2"/>
          </w:tcPr>
          <w:p>
            <w:pPr>
              <w:jc w:val="right"/>
              <w:ind w:right="148"/>
              <w:spacing w:after="0" w:line="229" w:lineRule="exact"/>
              <w:rPr>
                <w:sz w:val="20"/>
                <w:szCs w:val="20"/>
                <w:color w:val="auto"/>
              </w:rPr>
            </w:pPr>
            <w:r>
              <w:rPr>
                <w:rFonts w:ascii="Arial" w:cs="Arial" w:eastAsia="Arial" w:hAnsi="Arial"/>
                <w:sz w:val="14"/>
                <w:szCs w:val="14"/>
                <w:b w:val="1"/>
                <w:bCs w:val="1"/>
                <w:color w:val="00529B"/>
              </w:rPr>
              <w:t>in 2022</w:t>
            </w:r>
            <w:r>
              <w:rPr>
                <w:rFonts w:ascii="Arial" w:cs="Arial" w:eastAsia="Arial" w:hAnsi="Arial"/>
                <w:sz w:val="23"/>
                <w:szCs w:val="23"/>
                <w:b w:val="1"/>
                <w:bCs w:val="1"/>
                <w:color w:val="00529B"/>
                <w:vertAlign w:val="superscript"/>
              </w:rPr>
              <w:t>(4)</w:t>
            </w:r>
          </w:p>
        </w:tc>
        <w:tc>
          <w:tcPr>
            <w:tcW w:w="1080" w:type="dxa"/>
            <w:vAlign w:val="bottom"/>
            <w:tcBorders>
              <w:bottom w:val="single" w:sz="8" w:color="00529B"/>
            </w:tcBorders>
            <w:gridSpan w:val="2"/>
          </w:tcPr>
          <w:p>
            <w:pPr>
              <w:jc w:val="right"/>
              <w:ind w:right="28"/>
              <w:spacing w:after="0" w:line="229" w:lineRule="exact"/>
              <w:rPr>
                <w:sz w:val="20"/>
                <w:szCs w:val="20"/>
                <w:color w:val="auto"/>
              </w:rPr>
            </w:pPr>
            <w:r>
              <w:rPr>
                <w:rFonts w:ascii="Arial" w:cs="Arial" w:eastAsia="Arial" w:hAnsi="Arial"/>
                <w:sz w:val="14"/>
                <w:szCs w:val="14"/>
                <w:b w:val="1"/>
                <w:bCs w:val="1"/>
                <w:color w:val="00529B"/>
              </w:rPr>
              <w:t>12/31/22</w:t>
            </w:r>
            <w:r>
              <w:rPr>
                <w:rFonts w:ascii="Arial" w:cs="Arial" w:eastAsia="Arial" w:hAnsi="Arial"/>
                <w:sz w:val="23"/>
                <w:szCs w:val="23"/>
                <w:b w:val="1"/>
                <w:bCs w:val="1"/>
                <w:color w:val="00529B"/>
                <w:vertAlign w:val="superscript"/>
              </w:rPr>
              <w:t>(5)</w:t>
            </w:r>
          </w:p>
        </w:tc>
      </w:tr>
      <w:tr>
        <w:trPr>
          <w:trHeight w:val="215"/>
        </w:trPr>
        <w:tc>
          <w:tcPr>
            <w:tcW w:w="4700" w:type="dxa"/>
            <w:vAlign w:val="bottom"/>
          </w:tcPr>
          <w:p>
            <w:pPr>
              <w:ind w:left="60"/>
              <w:spacing w:after="0"/>
              <w:rPr>
                <w:sz w:val="20"/>
                <w:szCs w:val="20"/>
                <w:color w:val="auto"/>
              </w:rPr>
            </w:pPr>
            <w:r>
              <w:rPr>
                <w:rFonts w:ascii="Arial" w:cs="Arial" w:eastAsia="Arial" w:hAnsi="Arial"/>
                <w:sz w:val="14"/>
                <w:szCs w:val="14"/>
                <w:b w:val="1"/>
                <w:bCs w:val="1"/>
                <w:color w:val="00529B"/>
              </w:rPr>
              <w:t>V. Hollub</w:t>
            </w: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8"/>
              </w:rPr>
              <w:t>SRP II</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w w:val="98"/>
              </w:rPr>
              <w:t>500,852</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w w:val="98"/>
              </w:rPr>
              <w:t>177,274</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4,032,655</w:t>
            </w:r>
          </w:p>
        </w:tc>
      </w:tr>
      <w:tr>
        <w:trPr>
          <w:trHeight w:val="207"/>
        </w:trPr>
        <w:tc>
          <w:tcPr>
            <w:tcW w:w="47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6"/>
              </w:rPr>
              <w:t>MDCP</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16,143</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21,794</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338,291</w:t>
            </w:r>
          </w:p>
        </w:tc>
      </w:tr>
      <w:tr>
        <w:trPr>
          <w:trHeight w:val="213"/>
        </w:trPr>
        <w:tc>
          <w:tcPr>
            <w:tcW w:w="4700" w:type="dxa"/>
            <w:vAlign w:val="bottom"/>
          </w:tcPr>
          <w:p>
            <w:pPr>
              <w:ind w:left="60"/>
              <w:spacing w:after="0"/>
              <w:rPr>
                <w:sz w:val="20"/>
                <w:szCs w:val="20"/>
                <w:color w:val="auto"/>
              </w:rPr>
            </w:pPr>
            <w:r>
              <w:rPr>
                <w:rFonts w:ascii="Arial" w:cs="Arial" w:eastAsia="Arial" w:hAnsi="Arial"/>
                <w:sz w:val="14"/>
                <w:szCs w:val="14"/>
                <w:b w:val="1"/>
                <w:bCs w:val="1"/>
                <w:color w:val="00529B"/>
              </w:rPr>
              <w:t>R. Peterson</w:t>
            </w: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8"/>
              </w:rPr>
              <w:t>SRP II</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w w:val="98"/>
              </w:rPr>
              <w:t>230,631</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86,517</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1,965,457</w:t>
            </w:r>
          </w:p>
        </w:tc>
      </w:tr>
      <w:tr>
        <w:trPr>
          <w:trHeight w:val="207"/>
        </w:trPr>
        <w:tc>
          <w:tcPr>
            <w:tcW w:w="47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6"/>
              </w:rPr>
              <w:t>MDCP</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4700" w:type="dxa"/>
            <w:vAlign w:val="bottom"/>
          </w:tcPr>
          <w:p>
            <w:pPr>
              <w:ind w:left="60"/>
              <w:spacing w:after="0"/>
              <w:rPr>
                <w:sz w:val="20"/>
                <w:szCs w:val="20"/>
                <w:color w:val="auto"/>
              </w:rPr>
            </w:pPr>
            <w:r>
              <w:rPr>
                <w:rFonts w:ascii="Arial" w:cs="Arial" w:eastAsia="Arial" w:hAnsi="Arial"/>
                <w:sz w:val="14"/>
                <w:szCs w:val="14"/>
                <w:b w:val="1"/>
                <w:bCs w:val="1"/>
                <w:color w:val="00529B"/>
              </w:rPr>
              <w:t>P. Bennett</w:t>
            </w: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8"/>
              </w:rPr>
              <w:t>SRP II</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w w:val="98"/>
              </w:rPr>
              <w:t>204,975</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63,573</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1,458,881</w:t>
            </w:r>
          </w:p>
        </w:tc>
      </w:tr>
      <w:tr>
        <w:trPr>
          <w:trHeight w:val="207"/>
        </w:trPr>
        <w:tc>
          <w:tcPr>
            <w:tcW w:w="47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6"/>
              </w:rPr>
              <w:t>MDCP</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24,837</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540,571</w:t>
            </w:r>
          </w:p>
        </w:tc>
      </w:tr>
      <w:tr>
        <w:trPr>
          <w:trHeight w:val="213"/>
        </w:trPr>
        <w:tc>
          <w:tcPr>
            <w:tcW w:w="4700" w:type="dxa"/>
            <w:vAlign w:val="bottom"/>
          </w:tcPr>
          <w:p>
            <w:pPr>
              <w:ind w:left="60"/>
              <w:spacing w:after="0"/>
              <w:rPr>
                <w:sz w:val="20"/>
                <w:szCs w:val="20"/>
                <w:color w:val="auto"/>
              </w:rPr>
            </w:pPr>
            <w:r>
              <w:rPr>
                <w:rFonts w:ascii="Arial" w:cs="Arial" w:eastAsia="Arial" w:hAnsi="Arial"/>
                <w:sz w:val="14"/>
                <w:szCs w:val="14"/>
                <w:b w:val="1"/>
                <w:bCs w:val="1"/>
                <w:color w:val="00529B"/>
              </w:rPr>
              <w:t>K. Dillon</w:t>
            </w: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8"/>
              </w:rPr>
              <w:t>SRP II</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w w:val="98"/>
              </w:rPr>
              <w:t>260,176</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w w:val="98"/>
              </w:rPr>
              <w:t>110,838</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2,498,289</w:t>
            </w:r>
          </w:p>
        </w:tc>
      </w:tr>
      <w:tr>
        <w:trPr>
          <w:trHeight w:val="206"/>
        </w:trPr>
        <w:tc>
          <w:tcPr>
            <w:tcW w:w="47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6"/>
              </w:rPr>
              <w:t>MDCP</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3"/>
        </w:trPr>
        <w:tc>
          <w:tcPr>
            <w:tcW w:w="4700" w:type="dxa"/>
            <w:vAlign w:val="bottom"/>
          </w:tcPr>
          <w:p>
            <w:pPr>
              <w:ind w:left="60"/>
              <w:spacing w:after="0"/>
              <w:rPr>
                <w:sz w:val="20"/>
                <w:szCs w:val="20"/>
                <w:color w:val="auto"/>
              </w:rPr>
            </w:pPr>
            <w:r>
              <w:rPr>
                <w:rFonts w:ascii="Arial" w:cs="Arial" w:eastAsia="Arial" w:hAnsi="Arial"/>
                <w:sz w:val="14"/>
                <w:szCs w:val="14"/>
                <w:b w:val="1"/>
                <w:bCs w:val="1"/>
                <w:color w:val="00529B"/>
              </w:rPr>
              <w:t>R. Jackson</w:t>
            </w: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8"/>
              </w:rPr>
              <w:t>SRP II</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w w:val="98"/>
              </w:rPr>
              <w:t>230,631</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75,315</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1,721,410</w:t>
            </w:r>
          </w:p>
        </w:tc>
      </w:tr>
      <w:tr>
        <w:trPr>
          <w:trHeight w:val="207"/>
        </w:trPr>
        <w:tc>
          <w:tcPr>
            <w:tcW w:w="47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6"/>
              </w:rPr>
              <w:t>MDCP</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4700" w:type="dxa"/>
            <w:vAlign w:val="bottom"/>
          </w:tcPr>
          <w:p>
            <w:pPr>
              <w:ind w:left="60"/>
              <w:spacing w:after="0"/>
              <w:rPr>
                <w:sz w:val="20"/>
                <w:szCs w:val="20"/>
                <w:color w:val="auto"/>
              </w:rPr>
            </w:pPr>
            <w:r>
              <w:rPr>
                <w:rFonts w:ascii="Arial" w:cs="Arial" w:eastAsia="Arial" w:hAnsi="Arial"/>
                <w:sz w:val="14"/>
                <w:szCs w:val="14"/>
                <w:b w:val="1"/>
                <w:bCs w:val="1"/>
                <w:color w:val="00529B"/>
              </w:rPr>
              <w:t>M. Backus</w:t>
            </w:r>
          </w:p>
        </w:tc>
        <w:tc>
          <w:tcPr>
            <w:tcW w:w="5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w w:val="98"/>
              </w:rPr>
              <w:t>SRP II</w:t>
            </w:r>
          </w:p>
        </w:tc>
        <w:tc>
          <w:tcPr>
            <w:tcW w:w="12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w w:val="98"/>
              </w:rPr>
              <w:t>268,362</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87,944</w:t>
            </w:r>
          </w:p>
        </w:tc>
        <w:tc>
          <w:tcPr>
            <w:tcW w:w="620" w:type="dxa"/>
            <w:vAlign w:val="bottom"/>
            <w:tcBorders>
              <w:bottom w:val="single" w:sz="8" w:color="D1D2D4"/>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1D2D4"/>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2,005,435</w:t>
            </w:r>
          </w:p>
        </w:tc>
      </w:tr>
      <w:tr>
        <w:trPr>
          <w:trHeight w:val="218"/>
        </w:trPr>
        <w:tc>
          <w:tcPr>
            <w:tcW w:w="4700" w:type="dxa"/>
            <w:vAlign w:val="bottom"/>
            <w:tcBorders>
              <w:bottom w:val="single" w:sz="8" w:color="00529B"/>
            </w:tcBorders>
          </w:tcPr>
          <w:p>
            <w:pPr>
              <w:spacing w:after="0"/>
              <w:rPr>
                <w:sz w:val="18"/>
                <w:szCs w:val="18"/>
                <w:color w:val="auto"/>
              </w:rPr>
            </w:pPr>
          </w:p>
        </w:tc>
        <w:tc>
          <w:tcPr>
            <w:tcW w:w="540" w:type="dxa"/>
            <w:vAlign w:val="bottom"/>
            <w:tcBorders>
              <w:bottom w:val="single" w:sz="8" w:color="00529B"/>
            </w:tcBorders>
          </w:tcPr>
          <w:p>
            <w:pPr>
              <w:jc w:val="right"/>
              <w:ind w:right="48"/>
              <w:spacing w:after="0"/>
              <w:rPr>
                <w:sz w:val="20"/>
                <w:szCs w:val="20"/>
                <w:color w:val="auto"/>
              </w:rPr>
            </w:pPr>
            <w:r>
              <w:rPr>
                <w:rFonts w:ascii="Arial" w:cs="Arial" w:eastAsia="Arial" w:hAnsi="Arial"/>
                <w:sz w:val="14"/>
                <w:szCs w:val="14"/>
                <w:color w:val="auto"/>
                <w:w w:val="96"/>
              </w:rPr>
              <w:t>MDCP</w:t>
            </w:r>
          </w:p>
        </w:tc>
        <w:tc>
          <w:tcPr>
            <w:tcW w:w="1220" w:type="dxa"/>
            <w:vAlign w:val="bottom"/>
            <w:tcBorders>
              <w:bottom w:val="single" w:sz="8" w:color="00529B"/>
            </w:tcBorders>
          </w:tcPr>
          <w:p>
            <w:pPr>
              <w:jc w:val="right"/>
              <w:ind w:right="68"/>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529B"/>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529B"/>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529B"/>
            </w:tcBorders>
          </w:tcPr>
          <w:p>
            <w:pPr>
              <w:jc w:val="center"/>
              <w:ind w:lef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529B"/>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29B"/>
            </w:tcBorders>
          </w:tcPr>
          <w:p>
            <w:pPr>
              <w:ind w:left="24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00529B"/>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225"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0"/>
          <w:szCs w:val="10"/>
          <w:color w:val="auto"/>
        </w:rPr>
      </w:pPr>
      <w:r>
        <w:rPr>
          <w:rFonts w:ascii="Arial" w:cs="Arial" w:eastAsia="Arial" w:hAnsi="Arial"/>
          <w:sz w:val="13"/>
          <w:szCs w:val="13"/>
          <w:color w:val="auto"/>
        </w:rPr>
        <w:t>No employee contributions to the SRP II are permitted, and none of the NEOs made contributions to the MDCP in 2022.</w:t>
      </w:r>
    </w:p>
    <w:p>
      <w:pPr>
        <w:spacing w:after="0" w:line="80" w:lineRule="exact"/>
        <w:rPr>
          <w:rFonts w:ascii="Arial" w:cs="Arial" w:eastAsia="Arial" w:hAnsi="Arial"/>
          <w:sz w:val="10"/>
          <w:szCs w:val="10"/>
          <w:color w:val="auto"/>
        </w:rPr>
      </w:pPr>
    </w:p>
    <w:p>
      <w:pPr>
        <w:ind w:left="300" w:hanging="292"/>
        <w:spacing w:after="0" w:line="243" w:lineRule="auto"/>
        <w:tabs>
          <w:tab w:leader="none" w:pos="300" w:val="left"/>
        </w:tabs>
        <w:numPr>
          <w:ilvl w:val="0"/>
          <w:numId w:val="69"/>
        </w:numPr>
        <w:rPr>
          <w:rFonts w:ascii="Arial" w:cs="Arial" w:eastAsia="Arial" w:hAnsi="Arial"/>
          <w:sz w:val="10"/>
          <w:szCs w:val="10"/>
          <w:color w:val="auto"/>
        </w:rPr>
      </w:pPr>
      <w:r>
        <w:rPr>
          <w:rFonts w:ascii="Arial" w:cs="Arial" w:eastAsia="Arial" w:hAnsi="Arial"/>
          <w:sz w:val="13"/>
          <w:szCs w:val="13"/>
          <w:color w:val="auto"/>
        </w:rPr>
        <w:t>Amounts represent Occidental’s 2022 contributions to the SRP II, which are reported under “All Other Compensation” in the Summary Compensation Table on page 61. Occidental did not make any contributions to the MDCP on behalf of any of the NEOs during 2022.</w:t>
      </w:r>
    </w:p>
    <w:p>
      <w:pPr>
        <w:spacing w:after="0" w:line="48" w:lineRule="exact"/>
        <w:rPr>
          <w:rFonts w:ascii="Arial" w:cs="Arial" w:eastAsia="Arial" w:hAnsi="Arial"/>
          <w:sz w:val="10"/>
          <w:szCs w:val="10"/>
          <w:color w:val="auto"/>
        </w:rPr>
      </w:pPr>
    </w:p>
    <w:p>
      <w:pPr>
        <w:ind w:left="300" w:hanging="292"/>
        <w:spacing w:after="0"/>
        <w:tabs>
          <w:tab w:leader="none" w:pos="300" w:val="left"/>
        </w:tabs>
        <w:numPr>
          <w:ilvl w:val="0"/>
          <w:numId w:val="69"/>
        </w:numPr>
        <w:rPr>
          <w:rFonts w:ascii="Arial" w:cs="Arial" w:eastAsia="Arial" w:hAnsi="Arial"/>
          <w:sz w:val="10"/>
          <w:szCs w:val="10"/>
          <w:color w:val="auto"/>
        </w:rPr>
      </w:pPr>
      <w:r>
        <w:rPr>
          <w:rFonts w:ascii="Arial" w:cs="Arial" w:eastAsia="Arial" w:hAnsi="Arial"/>
          <w:sz w:val="13"/>
          <w:szCs w:val="13"/>
          <w:color w:val="auto"/>
        </w:rPr>
        <w:t>Amounts include above-market earnings reported under “Nonqualified Deferred Compensation Earnings” in the Summary Compensation Table on page 61.</w:t>
      </w:r>
    </w:p>
    <w:p>
      <w:pPr>
        <w:spacing w:after="0" w:line="80" w:lineRule="exact"/>
        <w:rPr>
          <w:rFonts w:ascii="Arial" w:cs="Arial" w:eastAsia="Arial" w:hAnsi="Arial"/>
          <w:sz w:val="10"/>
          <w:szCs w:val="10"/>
          <w:color w:val="auto"/>
        </w:rPr>
      </w:pPr>
    </w:p>
    <w:p>
      <w:pPr>
        <w:ind w:left="300" w:hanging="292"/>
        <w:spacing w:after="0"/>
        <w:tabs>
          <w:tab w:leader="none" w:pos="300" w:val="left"/>
        </w:tabs>
        <w:numPr>
          <w:ilvl w:val="0"/>
          <w:numId w:val="69"/>
        </w:numPr>
        <w:rPr>
          <w:rFonts w:ascii="Arial" w:cs="Arial" w:eastAsia="Arial" w:hAnsi="Arial"/>
          <w:sz w:val="10"/>
          <w:szCs w:val="10"/>
          <w:color w:val="auto"/>
        </w:rPr>
      </w:pPr>
      <w:r>
        <w:rPr>
          <w:rFonts w:ascii="Arial" w:cs="Arial" w:eastAsia="Arial" w:hAnsi="Arial"/>
          <w:sz w:val="13"/>
          <w:szCs w:val="13"/>
          <w:color w:val="auto"/>
        </w:rPr>
        <w:t>The amount reported for Ms. Hollub represents a 2021 distribution from the MDCP paid in fiscal year 2022.</w:t>
      </w:r>
    </w:p>
    <w:p>
      <w:pPr>
        <w:spacing w:after="0" w:line="80" w:lineRule="exact"/>
        <w:rPr>
          <w:rFonts w:ascii="Arial" w:cs="Arial" w:eastAsia="Arial" w:hAnsi="Arial"/>
          <w:sz w:val="10"/>
          <w:szCs w:val="10"/>
          <w:color w:val="auto"/>
        </w:rPr>
      </w:pPr>
    </w:p>
    <w:p>
      <w:pPr>
        <w:ind w:left="300" w:right="100" w:hanging="292"/>
        <w:spacing w:after="0" w:line="229" w:lineRule="auto"/>
        <w:tabs>
          <w:tab w:leader="none" w:pos="300" w:val="left"/>
        </w:tabs>
        <w:numPr>
          <w:ilvl w:val="0"/>
          <w:numId w:val="69"/>
        </w:numPr>
        <w:rPr>
          <w:rFonts w:ascii="Arial" w:cs="Arial" w:eastAsia="Arial" w:hAnsi="Arial"/>
          <w:sz w:val="10"/>
          <w:szCs w:val="10"/>
          <w:color w:val="auto"/>
        </w:rPr>
      </w:pPr>
      <w:r>
        <w:rPr>
          <w:rFonts w:ascii="Arial" w:cs="Arial" w:eastAsia="Arial" w:hAnsi="Arial"/>
          <w:sz w:val="13"/>
          <w:szCs w:val="13"/>
          <w:color w:val="auto"/>
        </w:rPr>
        <w:t>The aggregate balance for each NEO who participates in the SRP II and/or the MDCP, as applicable, reflects the cumulative value, as of December 31, 2022, of the contributions to the NEO’s account, earnings on those contributions and any withdrawals or distributions since the NEO began participating in the plan. We previously reported Occidental contributions for the NEOs in the Summary Compensation Table for fiscal years prior to 2022 in the following aggregate amounts: Ms. Hollub – $2,467,220; Mr. Peterson – $341,932; Mr. Dillon – $391,280; Mr. Jackson – $143,223 and Ms. Backus – $1,324,162. Mr. Bennett was not an NEO prior to 2022.</w:t>
      </w:r>
    </w:p>
    <w:p>
      <w:pPr>
        <w:spacing w:after="0" w:line="16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Severance and Change in Control</w:t>
      </w:r>
    </w:p>
    <w:p>
      <w:pPr>
        <w:spacing w:after="0" w:line="241" w:lineRule="exact"/>
        <w:rPr>
          <w:sz w:val="20"/>
          <w:szCs w:val="20"/>
          <w:color w:val="auto"/>
        </w:rPr>
      </w:pPr>
    </w:p>
    <w:p>
      <w:pPr>
        <w:jc w:val="both"/>
        <w:ind w:right="60"/>
        <w:spacing w:after="0" w:line="238" w:lineRule="auto"/>
        <w:rPr>
          <w:sz w:val="20"/>
          <w:szCs w:val="20"/>
          <w:color w:val="auto"/>
        </w:rPr>
      </w:pPr>
      <w:r>
        <w:rPr>
          <w:rFonts w:ascii="Arial" w:cs="Arial" w:eastAsia="Arial" w:hAnsi="Arial"/>
          <w:sz w:val="15"/>
          <w:szCs w:val="15"/>
          <w:color w:val="auto"/>
        </w:rPr>
        <w:t>Occidental adopted the Severance Plan and the CIC Severance Plan (each as defined below) to allow Occidental’s executives to continue to exercise their judgment and perform their responsibilities without the potential for distraction that can arise from concerns regarding their personal circumstances. In reviewing each plan, the Compensation Committee consulted with its independent compensation consultant, Meridian, to develop market-based severance benefits that are competitive within the oil and gas industry and that reflect broader U.S. industry practices.</w:t>
      </w:r>
    </w:p>
    <w:p>
      <w:pPr>
        <w:spacing w:after="0" w:line="180" w:lineRule="exact"/>
        <w:rPr>
          <w:sz w:val="20"/>
          <w:szCs w:val="20"/>
          <w:color w:val="auto"/>
        </w:rPr>
      </w:pPr>
    </w:p>
    <w:p>
      <w:pPr>
        <w:ind w:right="380"/>
        <w:spacing w:after="0" w:line="264" w:lineRule="auto"/>
        <w:rPr>
          <w:sz w:val="20"/>
          <w:szCs w:val="20"/>
          <w:color w:val="auto"/>
        </w:rPr>
      </w:pPr>
      <w:r>
        <w:rPr>
          <w:rFonts w:ascii="Arial" w:cs="Arial" w:eastAsia="Arial" w:hAnsi="Arial"/>
          <w:sz w:val="15"/>
          <w:szCs w:val="15"/>
          <w:color w:val="auto"/>
        </w:rPr>
        <w:t>Receipt of any severance benefits is subject to the executive’s execution of a release of any claims against Occidental, as well as compliance with any restrictive covenants that the Compensation Committee determines in its discretion.</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Executive Severance Plan</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Occidental maintains the Occidental Petroleum Corporation Executive Severance Plan (the Severance Plan), which is applicable to Occidental’s executive officers. The Severance Plan provides severance benefits in the event that an eligible executive’s employment with Occidental and its subsidiaries is terminated other than for “cause” (as defined in the Severance Plan). The Severance Plan does not provide benefits upon a resignation by an executive for any reason. The severance benefits provided under the Severance Plan are as follows:</w:t>
      </w:r>
    </w:p>
    <w:p>
      <w:pPr>
        <w:spacing w:after="0" w:line="178" w:lineRule="exact"/>
        <w:rPr>
          <w:sz w:val="20"/>
          <w:szCs w:val="20"/>
          <w:color w:val="auto"/>
        </w:rPr>
      </w:pPr>
    </w:p>
    <w:p>
      <w:pPr>
        <w:ind w:left="280" w:right="40" w:hanging="272"/>
        <w:spacing w:after="0" w:line="199" w:lineRule="auto"/>
        <w:tabs>
          <w:tab w:leader="none" w:pos="280" w:val="left"/>
        </w:tabs>
        <w:numPr>
          <w:ilvl w:val="0"/>
          <w:numId w:val="70"/>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Cash Severance. </w:t>
      </w:r>
      <w:r>
        <w:rPr>
          <w:rFonts w:ascii="Arial" w:cs="Arial" w:eastAsia="Arial" w:hAnsi="Arial"/>
          <w:sz w:val="15"/>
          <w:szCs w:val="15"/>
          <w:color w:val="auto"/>
        </w:rPr>
        <w:t>Cash severance equal to 1.5 times (or, in the case of Occidental’s Chief Executive Officer, 2.0 times) the sum of (A) the executive’s base salary</w:t>
      </w:r>
      <w:r>
        <w:rPr>
          <w:rFonts w:ascii="Arial" w:cs="Arial" w:eastAsia="Arial" w:hAnsi="Arial"/>
          <w:sz w:val="15"/>
          <w:szCs w:val="15"/>
          <w:b w:val="1"/>
          <w:bCs w:val="1"/>
          <w:color w:val="auto"/>
        </w:rPr>
        <w:t xml:space="preserve"> </w:t>
      </w:r>
      <w:r>
        <w:rPr>
          <w:rFonts w:ascii="Arial" w:cs="Arial" w:eastAsia="Arial" w:hAnsi="Arial"/>
          <w:sz w:val="15"/>
          <w:szCs w:val="15"/>
          <w:color w:val="auto"/>
        </w:rPr>
        <w:t>and (B) the executive’s annual bonus. The executive’s base salary is the base salary in effect on the termination date, and the executive’s annual bonus is the target bonus for the year of termination.</w:t>
      </w:r>
    </w:p>
    <w:p>
      <w:pPr>
        <w:spacing w:after="0" w:line="2" w:lineRule="exact"/>
        <w:rPr>
          <w:rFonts w:ascii="Arial" w:cs="Arial" w:eastAsia="Arial" w:hAnsi="Arial"/>
          <w:sz w:val="25"/>
          <w:szCs w:val="25"/>
          <w:color w:val="00529B"/>
          <w:vertAlign w:val="superscript"/>
        </w:rPr>
      </w:pPr>
    </w:p>
    <w:p>
      <w:pPr>
        <w:ind w:left="280" w:hanging="272"/>
        <w:spacing w:after="0" w:line="209" w:lineRule="auto"/>
        <w:tabs>
          <w:tab w:leader="none" w:pos="280" w:val="left"/>
        </w:tabs>
        <w:numPr>
          <w:ilvl w:val="0"/>
          <w:numId w:val="70"/>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Pro-Rata Bonus. </w:t>
      </w:r>
      <w:r>
        <w:rPr>
          <w:rFonts w:ascii="Arial" w:cs="Arial" w:eastAsia="Arial" w:hAnsi="Arial"/>
          <w:sz w:val="15"/>
          <w:szCs w:val="15"/>
          <w:color w:val="auto"/>
        </w:rPr>
        <w:t>The pro-rata portion of the executive’s annual bonus for the year of termination, determined based on the target bonus.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Tables</w:t>
      </w:r>
    </w:p>
    <w:p>
      <w:pPr>
        <w:spacing w:after="0" w:line="204" w:lineRule="exact"/>
        <w:rPr>
          <w:sz w:val="20"/>
          <w:szCs w:val="20"/>
          <w:color w:val="auto"/>
        </w:rPr>
      </w:pPr>
    </w:p>
    <w:p>
      <w:pPr>
        <w:ind w:left="280" w:right="40" w:hanging="272"/>
        <w:spacing w:after="0" w:line="199" w:lineRule="auto"/>
        <w:tabs>
          <w:tab w:leader="none" w:pos="280" w:val="left"/>
        </w:tabs>
        <w:numPr>
          <w:ilvl w:val="0"/>
          <w:numId w:val="71"/>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Welfare Benefits. </w:t>
      </w:r>
      <w:r>
        <w:rPr>
          <w:rFonts w:ascii="Arial" w:cs="Arial" w:eastAsia="Arial" w:hAnsi="Arial"/>
          <w:sz w:val="15"/>
          <w:szCs w:val="15"/>
          <w:color w:val="auto"/>
        </w:rPr>
        <w:t>Continued participation of the executive (and eligible dependents) in the basic life, medical and dental plans in which the executive participated</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before the termination date at the same rates and levels that the executive participated prior to termination, in accordance with the terms of such plans, for two years following the termination date.</w:t>
      </w:r>
    </w:p>
    <w:p>
      <w:pPr>
        <w:spacing w:after="0" w:line="42" w:lineRule="exact"/>
        <w:rPr>
          <w:rFonts w:ascii="Arial" w:cs="Arial" w:eastAsia="Arial" w:hAnsi="Arial"/>
          <w:sz w:val="25"/>
          <w:szCs w:val="25"/>
          <w:color w:val="00529B"/>
          <w:vertAlign w:val="superscript"/>
        </w:rPr>
      </w:pPr>
    </w:p>
    <w:p>
      <w:pPr>
        <w:ind w:left="280" w:right="40" w:hanging="272"/>
        <w:spacing w:after="0" w:line="205" w:lineRule="auto"/>
        <w:tabs>
          <w:tab w:leader="none" w:pos="280" w:val="left"/>
        </w:tabs>
        <w:numPr>
          <w:ilvl w:val="0"/>
          <w:numId w:val="71"/>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Accelerated or Continued Vesting of Long-Term Incentive Awards. </w:t>
      </w:r>
      <w:r>
        <w:rPr>
          <w:rFonts w:ascii="Arial" w:cs="Arial" w:eastAsia="Arial" w:hAnsi="Arial"/>
          <w:sz w:val="15"/>
          <w:szCs w:val="15"/>
          <w:color w:val="auto"/>
        </w:rPr>
        <w:t>The service-based vesting condition applicable to any long-term incentive award would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to be met with respect to a pro-rata portion of the award. If the award is also subject to performance-based vesting conditions, the pro-rata portion of such award would continue to be subject to the satisfaction of the applicable performance conditions. Any individual performance goals that are not based on objective financial performance criteria would be deemed earned at target performance.</w:t>
      </w:r>
    </w:p>
    <w:p>
      <w:pPr>
        <w:ind w:left="280" w:hanging="272"/>
        <w:spacing w:after="0" w:line="209" w:lineRule="auto"/>
        <w:tabs>
          <w:tab w:leader="none" w:pos="280" w:val="left"/>
        </w:tabs>
        <w:numPr>
          <w:ilvl w:val="0"/>
          <w:numId w:val="71"/>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Outplacement. </w:t>
      </w:r>
      <w:r>
        <w:rPr>
          <w:rFonts w:ascii="Arial" w:cs="Arial" w:eastAsia="Arial" w:hAnsi="Arial"/>
          <w:sz w:val="15"/>
          <w:szCs w:val="15"/>
          <w:color w:val="auto"/>
        </w:rPr>
        <w:t>Outplacement services for up to nine months following the termination date.</w:t>
      </w:r>
    </w:p>
    <w:p>
      <w:pPr>
        <w:spacing w:after="0" w:line="117" w:lineRule="exact"/>
        <w:rPr>
          <w:sz w:val="20"/>
          <w:szCs w:val="20"/>
          <w:color w:val="auto"/>
        </w:rPr>
      </w:pPr>
    </w:p>
    <w:p>
      <w:pPr>
        <w:jc w:val="both"/>
        <w:ind w:right="440"/>
        <w:spacing w:after="0" w:line="236" w:lineRule="auto"/>
        <w:rPr>
          <w:sz w:val="20"/>
          <w:szCs w:val="20"/>
          <w:color w:val="auto"/>
        </w:rPr>
      </w:pPr>
      <w:r>
        <w:rPr>
          <w:rFonts w:ascii="Arial" w:cs="Arial" w:eastAsia="Arial" w:hAnsi="Arial"/>
          <w:sz w:val="15"/>
          <w:szCs w:val="15"/>
          <w:color w:val="auto"/>
        </w:rPr>
        <w:t>The Severance Plan also includes a “net best after tax provision” such that if any of the executive’s payments under the Severance Plan or otherwise would be subject to “golden parachute” excise taxes under the Internal Revenue Code, the payments to the executive will be reduced in order to limit or avoid the “golden parachute” excise tax if and to the extent such reduction would produce an expected better after-tax result for the executive.</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Change in Control Severance Plan</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Occidental also maintains the Occidental Petroleum Corporation Executive Change in Control Severance Plan (the CIC Severance Plan), which provides enhanced severance benefits to Occidental’s executive officers upon qualifying terminations of employment within two years following a Change in Control (as defined in the CIC Severance Plan).</w:t>
      </w:r>
    </w:p>
    <w:p>
      <w:pPr>
        <w:spacing w:after="0" w:line="176"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The CIC Severance Plan complements Occidental’s Executive Severance Plan, which provides severance benefits upon qualifying terminations before a Change in Control and after the two-year protection period following the Change in Control but does not provide for enhanced change in control protections.</w:t>
      </w:r>
    </w:p>
    <w:p>
      <w:pPr>
        <w:spacing w:after="0" w:line="161"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Severance benefits are payable under the CIC Severance Plan if an eligible executive’s employment with Occidental and its subsidiaries is terminated within two years following a Change in Control either (A) by Occidental (other than for “cause” (as defined in the CIC Severance Plan)) or (B) by the executive for “good reason” (as defined in the CIC Severance Plan). The severance benefits provided under the CIC Severance Plan are as follows:</w:t>
      </w:r>
    </w:p>
    <w:p>
      <w:pPr>
        <w:spacing w:after="0" w:line="174" w:lineRule="exact"/>
        <w:rPr>
          <w:sz w:val="20"/>
          <w:szCs w:val="20"/>
          <w:color w:val="auto"/>
        </w:rPr>
      </w:pPr>
    </w:p>
    <w:p>
      <w:pPr>
        <w:ind w:left="280" w:right="140" w:hanging="272"/>
        <w:spacing w:after="0" w:line="199" w:lineRule="auto"/>
        <w:tabs>
          <w:tab w:leader="none" w:pos="280" w:val="left"/>
        </w:tabs>
        <w:numPr>
          <w:ilvl w:val="0"/>
          <w:numId w:val="72"/>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Cash Severance. </w:t>
      </w:r>
      <w:r>
        <w:rPr>
          <w:rFonts w:ascii="Arial" w:cs="Arial" w:eastAsia="Arial" w:hAnsi="Arial"/>
          <w:sz w:val="15"/>
          <w:szCs w:val="15"/>
          <w:color w:val="auto"/>
        </w:rPr>
        <w:t>Cash severance equal to 2.00 times (or, in the case of Occidental’s Chief Executive Officer, 2.99 times) the sum of (A) the executive’s base</w:t>
      </w:r>
      <w:r>
        <w:rPr>
          <w:rFonts w:ascii="Arial" w:cs="Arial" w:eastAsia="Arial" w:hAnsi="Arial"/>
          <w:sz w:val="15"/>
          <w:szCs w:val="15"/>
          <w:b w:val="1"/>
          <w:bCs w:val="1"/>
          <w:color w:val="auto"/>
        </w:rPr>
        <w:t xml:space="preserve"> </w:t>
      </w:r>
      <w:r>
        <w:rPr>
          <w:rFonts w:ascii="Arial" w:cs="Arial" w:eastAsia="Arial" w:hAnsi="Arial"/>
          <w:sz w:val="15"/>
          <w:szCs w:val="15"/>
          <w:color w:val="auto"/>
        </w:rPr>
        <w:t>salary (based on the highest base salary in effect at any time during the three-year period preceding the Change in Control or at any time on or after the Change in Control) and (B) the executive’s target annual bonus.</w:t>
      </w:r>
    </w:p>
    <w:p>
      <w:pPr>
        <w:spacing w:after="0" w:line="42" w:lineRule="exact"/>
        <w:rPr>
          <w:rFonts w:ascii="Arial" w:cs="Arial" w:eastAsia="Arial" w:hAnsi="Arial"/>
          <w:sz w:val="25"/>
          <w:szCs w:val="25"/>
          <w:color w:val="00529B"/>
          <w:vertAlign w:val="superscript"/>
        </w:rPr>
      </w:pPr>
    </w:p>
    <w:p>
      <w:pPr>
        <w:ind w:left="280" w:right="200" w:hanging="272"/>
        <w:spacing w:after="0" w:line="199" w:lineRule="auto"/>
        <w:tabs>
          <w:tab w:leader="none" w:pos="280" w:val="left"/>
        </w:tabs>
        <w:numPr>
          <w:ilvl w:val="0"/>
          <w:numId w:val="72"/>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Pro-Rata Bonus. </w:t>
      </w:r>
      <w:r>
        <w:rPr>
          <w:rFonts w:ascii="Arial" w:cs="Arial" w:eastAsia="Arial" w:hAnsi="Arial"/>
          <w:sz w:val="15"/>
          <w:szCs w:val="15"/>
          <w:color w:val="auto"/>
        </w:rPr>
        <w:t>The pro-rata portion of the executive’s annual bonus for the year of termination, determined based on the greater of (A) the executive’s target</w:t>
      </w:r>
      <w:r>
        <w:rPr>
          <w:rFonts w:ascii="Arial" w:cs="Arial" w:eastAsia="Arial" w:hAnsi="Arial"/>
          <w:sz w:val="15"/>
          <w:szCs w:val="15"/>
          <w:b w:val="1"/>
          <w:bCs w:val="1"/>
          <w:color w:val="auto"/>
        </w:rPr>
        <w:t xml:space="preserve"> </w:t>
      </w:r>
      <w:r>
        <w:rPr>
          <w:rFonts w:ascii="Arial" w:cs="Arial" w:eastAsia="Arial" w:hAnsi="Arial"/>
          <w:sz w:val="15"/>
          <w:szCs w:val="15"/>
          <w:color w:val="auto"/>
        </w:rPr>
        <w:t>annual bonus and (B) the amount of such bonus that would have been due for the full year based on actual results for such year, had the executive remained employed through the payment date.</w:t>
      </w:r>
    </w:p>
    <w:p>
      <w:pPr>
        <w:spacing w:after="0" w:line="42" w:lineRule="exact"/>
        <w:rPr>
          <w:rFonts w:ascii="Arial" w:cs="Arial" w:eastAsia="Arial" w:hAnsi="Arial"/>
          <w:sz w:val="25"/>
          <w:szCs w:val="25"/>
          <w:color w:val="00529B"/>
          <w:vertAlign w:val="superscript"/>
        </w:rPr>
      </w:pPr>
    </w:p>
    <w:p>
      <w:pPr>
        <w:ind w:left="280" w:right="40" w:hanging="272"/>
        <w:spacing w:after="0" w:line="199" w:lineRule="auto"/>
        <w:tabs>
          <w:tab w:leader="none" w:pos="280" w:val="left"/>
        </w:tabs>
        <w:numPr>
          <w:ilvl w:val="0"/>
          <w:numId w:val="72"/>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Welfare Benefits. </w:t>
      </w:r>
      <w:r>
        <w:rPr>
          <w:rFonts w:ascii="Arial" w:cs="Arial" w:eastAsia="Arial" w:hAnsi="Arial"/>
          <w:sz w:val="15"/>
          <w:szCs w:val="15"/>
          <w:color w:val="auto"/>
        </w:rPr>
        <w:t>Continued participation of the executive (and eligible dependents) in the basic life, medical and dental plans in which the executive participated</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before the termination date at the same rates and levels that the executive participated prior to termination, in accordance with the terms of such plans, for two years following the termination date.</w:t>
      </w:r>
    </w:p>
    <w:p>
      <w:pPr>
        <w:spacing w:after="0" w:line="42" w:lineRule="exact"/>
        <w:rPr>
          <w:rFonts w:ascii="Arial" w:cs="Arial" w:eastAsia="Arial" w:hAnsi="Arial"/>
          <w:sz w:val="25"/>
          <w:szCs w:val="25"/>
          <w:color w:val="00529B"/>
          <w:vertAlign w:val="superscript"/>
        </w:rPr>
      </w:pPr>
    </w:p>
    <w:p>
      <w:pPr>
        <w:ind w:left="280" w:right="80" w:hanging="272"/>
        <w:spacing w:after="0" w:line="199" w:lineRule="auto"/>
        <w:tabs>
          <w:tab w:leader="none" w:pos="280" w:val="left"/>
        </w:tabs>
        <w:numPr>
          <w:ilvl w:val="0"/>
          <w:numId w:val="72"/>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Accelerated Vesting of Long-Term Incentive Awards. </w:t>
      </w:r>
      <w:r>
        <w:rPr>
          <w:rFonts w:ascii="Arial" w:cs="Arial" w:eastAsia="Arial" w:hAnsi="Arial"/>
          <w:sz w:val="15"/>
          <w:szCs w:val="15"/>
          <w:color w:val="auto"/>
        </w:rPr>
        <w:t>Vesting of all outstanding long-term incentive awards with performance-based awards vesting at the</w:t>
      </w:r>
      <w:r>
        <w:rPr>
          <w:rFonts w:ascii="Arial" w:cs="Arial" w:eastAsia="Arial" w:hAnsi="Arial"/>
          <w:sz w:val="15"/>
          <w:szCs w:val="15"/>
          <w:b w:val="1"/>
          <w:bCs w:val="1"/>
          <w:color w:val="auto"/>
        </w:rPr>
        <w:t xml:space="preserve"> </w:t>
      </w:r>
      <w:r>
        <w:rPr>
          <w:rFonts w:ascii="Arial" w:cs="Arial" w:eastAsia="Arial" w:hAnsi="Arial"/>
          <w:sz w:val="15"/>
          <w:szCs w:val="15"/>
          <w:color w:val="auto"/>
        </w:rPr>
        <w:t>greater of target performance and actual performance, except that any individual performance goals that are not based on objective financial performance criteria would be deemed earned at target performance.</w:t>
      </w:r>
    </w:p>
    <w:p>
      <w:pPr>
        <w:spacing w:after="0" w:line="2" w:lineRule="exact"/>
        <w:rPr>
          <w:rFonts w:ascii="Arial" w:cs="Arial" w:eastAsia="Arial" w:hAnsi="Arial"/>
          <w:sz w:val="25"/>
          <w:szCs w:val="25"/>
          <w:color w:val="00529B"/>
          <w:vertAlign w:val="superscript"/>
        </w:rPr>
      </w:pPr>
    </w:p>
    <w:p>
      <w:pPr>
        <w:ind w:left="280" w:hanging="272"/>
        <w:spacing w:after="0" w:line="209" w:lineRule="auto"/>
        <w:tabs>
          <w:tab w:leader="none" w:pos="280" w:val="left"/>
        </w:tabs>
        <w:numPr>
          <w:ilvl w:val="0"/>
          <w:numId w:val="72"/>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Outplacement. </w:t>
      </w:r>
      <w:r>
        <w:rPr>
          <w:rFonts w:ascii="Arial" w:cs="Arial" w:eastAsia="Arial" w:hAnsi="Arial"/>
          <w:sz w:val="15"/>
          <w:szCs w:val="15"/>
          <w:color w:val="auto"/>
        </w:rPr>
        <w:t>Outplacement services for up to nine months following the termination date.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Like the Severance Plan, the CIC Severance Plan also includes a “net best after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2743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ind w:left="9060"/>
        <w:spacing w:after="0"/>
        <w:rPr>
          <w:sz w:val="20"/>
          <w:szCs w:val="20"/>
          <w:color w:val="auto"/>
        </w:rPr>
      </w:pPr>
      <w:r>
        <w:rPr>
          <w:rFonts w:ascii="Arial" w:cs="Arial" w:eastAsia="Arial" w:hAnsi="Arial"/>
          <w:sz w:val="15"/>
          <w:szCs w:val="15"/>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Potential Payments upon Termination or Change in Control</w:t>
      </w:r>
    </w:p>
    <w:p>
      <w:pPr>
        <w:spacing w:after="0" w:line="241"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Payments and other benefits provided to NEOs in various termination circumstances or in connection with a change in control are subject to certain policies, plans and agreements. The material terms of these arrangements are summarized above and below. Except as described in this CD&amp;A, Occidental does not have any other agreements or plans that will require compensation to be paid to NEOs in the event of a termination of employment or a change in control.</w:t>
      </w:r>
    </w:p>
    <w:p>
      <w:pPr>
        <w:spacing w:after="0" w:line="174"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b w:val="1"/>
          <w:bCs w:val="1"/>
          <w:color w:val="auto"/>
        </w:rPr>
        <w:t xml:space="preserve">Golden Parachute Policy. </w:t>
      </w:r>
      <w:r>
        <w:rPr>
          <w:rFonts w:ascii="Arial" w:cs="Arial" w:eastAsia="Arial" w:hAnsi="Arial"/>
          <w:sz w:val="15"/>
          <w:szCs w:val="15"/>
          <w:color w:val="auto"/>
        </w:rPr>
        <w:t>Occidental’s Golden Parachute Policy provides that, subject to certain exceptions, Occidental will not grant Golden Parachute Benefits (as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in the policy) to any senior executive that exceed 2.99 times his or her salary plus ACI pay, unless the grant of such benefits is approved by a vote of Occidental’s shareholders. The complete Golden Parachute Policy is available at www.oxy.com.</w:t>
      </w:r>
    </w:p>
    <w:p>
      <w:pPr>
        <w:spacing w:after="0" w:line="172"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b w:val="1"/>
          <w:bCs w:val="1"/>
          <w:color w:val="auto"/>
        </w:rPr>
        <w:t xml:space="preserve">Outstanding Equity Awards. </w:t>
      </w:r>
      <w:r>
        <w:rPr>
          <w:rFonts w:ascii="Arial" w:cs="Arial" w:eastAsia="Arial" w:hAnsi="Arial"/>
          <w:sz w:val="15"/>
          <w:szCs w:val="15"/>
          <w:color w:val="auto"/>
        </w:rPr>
        <w:t>All outstanding awards held by our NEOs are subject to double-trigger vesting upon a “change in control” (as defined in the 2015 LTIP).</w:t>
      </w:r>
      <w:r>
        <w:rPr>
          <w:rFonts w:ascii="Arial" w:cs="Arial" w:eastAsia="Arial" w:hAnsi="Arial"/>
          <w:sz w:val="15"/>
          <w:szCs w:val="15"/>
          <w:b w:val="1"/>
          <w:bCs w:val="1"/>
          <w:color w:val="auto"/>
        </w:rPr>
        <w:t xml:space="preserve"> </w:t>
      </w:r>
      <w:r>
        <w:rPr>
          <w:rFonts w:ascii="Arial" w:cs="Arial" w:eastAsia="Arial" w:hAnsi="Arial"/>
          <w:sz w:val="15"/>
          <w:szCs w:val="15"/>
          <w:color w:val="auto"/>
        </w:rPr>
        <w:t>Payout under each of the outstanding equity awards based on various termination circumstances or in connection with a change in control are described in more detail in the footnotes to the Potential Payments table on page 73.</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00519B"/>
        </w:rPr>
        <w:t>Potential Payments</w:t>
      </w:r>
    </w:p>
    <w:p>
      <w:pPr>
        <w:spacing w:after="0" w:line="239"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In the table that follows, payments and other benefits provided to the NEOs in connection with various termination and change in control situations are set out as if the conditions for payment had occurred and the applicable triggering events took place on December 30, 2022, when the closing price of Occidental’s common stock was $62.99. The amounts shown are in addition to the payments and benefits that are potentially available to all full-time salaried U.S. dollar payroll employees, such as amounts vested under the Savings Plan and other tax-qualified retirement plans, amounts vested under Occidental’s nonqualified deferred compensation plans, payment for accrued PTO up to a maximum accrual ceiling of 350 hours, and disability benefits, among others.</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Actual amounts to be paid will depend on several factors, such as the date of each NEO’s separation from Occidental or the occurrence of a change in control event, Occidental’s ultimate achievement of performance goals underlying performance awards and the price of Occidental’s common stock when such awards are earned, if at all. The disclosures below do not take into consideration the effect of the Retirement Policy (because such policy became effective for our named executive officers on February 15, 2023) or any requirements under Section 409A of the Internal Revenue Code, which could affect, among other things, the timing of payments and distributions.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00519B"/>
                <w:w w:val="98"/>
              </w:rPr>
              <w:t>Change in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32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3"/>
                <w:szCs w:val="13"/>
                <w:b w:val="1"/>
                <w:bCs w:val="1"/>
                <w:color w:val="00519B"/>
              </w:rPr>
              <w:t>Retirement</w:t>
            </w:r>
          </w:p>
        </w:tc>
        <w:tc>
          <w:tcPr>
            <w:tcW w:w="180" w:type="dxa"/>
            <w:vAlign w:val="bottom"/>
          </w:tcPr>
          <w:p>
            <w:pPr>
              <w:spacing w:after="0"/>
              <w:rPr>
                <w:sz w:val="14"/>
                <w:szCs w:val="14"/>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00519B"/>
              </w:rPr>
              <w:t>Death or</w:t>
            </w:r>
          </w:p>
        </w:tc>
        <w:tc>
          <w:tcPr>
            <w:tcW w:w="11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519B"/>
              </w:rPr>
              <w:t>Involuntary</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00519B"/>
              </w:rPr>
              <w:t>Change in</w:t>
            </w: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00519B"/>
                <w:w w:val="93"/>
              </w:rPr>
              <w:t>Control and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20" w:type="dxa"/>
            <w:vAlign w:val="bottom"/>
            <w:vMerge w:val="restart"/>
          </w:tcPr>
          <w:p>
            <w:pPr>
              <w:ind w:left="40"/>
              <w:spacing w:after="0"/>
              <w:rPr>
                <w:sz w:val="20"/>
                <w:szCs w:val="20"/>
                <w:color w:val="auto"/>
              </w:rPr>
            </w:pPr>
            <w:r>
              <w:rPr>
                <w:rFonts w:ascii="Arial" w:cs="Arial" w:eastAsia="Arial" w:hAnsi="Arial"/>
                <w:sz w:val="13"/>
                <w:szCs w:val="13"/>
                <w:b w:val="1"/>
                <w:bCs w:val="1"/>
                <w:color w:val="00519B"/>
              </w:rPr>
              <w:t>Name/Type of Award</w:t>
            </w:r>
            <w:r>
              <w:rPr>
                <w:rFonts w:ascii="Arial" w:cs="Arial" w:eastAsia="Arial" w:hAnsi="Arial"/>
                <w:sz w:val="20"/>
                <w:szCs w:val="20"/>
                <w:b w:val="1"/>
                <w:bCs w:val="1"/>
                <w:color w:val="00519B"/>
                <w:vertAlign w:val="superscript"/>
              </w:rPr>
              <w:t>(1)</w:t>
            </w:r>
          </w:p>
        </w:tc>
        <w:tc>
          <w:tcPr>
            <w:tcW w:w="108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00519B"/>
                <w:w w:val="97"/>
              </w:rPr>
              <w:t>with Occidental</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18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00519B"/>
              </w:rPr>
              <w:t>Termination</w:t>
            </w: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519B"/>
                <w:w w:val="97"/>
              </w:rPr>
              <w:t>Qualifying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00519B"/>
            </w:tcBorders>
            <w:vMerge w:val="continue"/>
          </w:tcPr>
          <w:p>
            <w:pPr>
              <w:spacing w:after="0"/>
              <w:rPr>
                <w:sz w:val="17"/>
                <w:szCs w:val="17"/>
                <w:color w:val="auto"/>
              </w:rPr>
            </w:pPr>
          </w:p>
        </w:tc>
        <w:tc>
          <w:tcPr>
            <w:tcW w:w="340" w:type="dxa"/>
            <w:vAlign w:val="bottom"/>
            <w:tcBorders>
              <w:bottom w:val="single" w:sz="8" w:color="00519B"/>
            </w:tcBorders>
          </w:tcPr>
          <w:p>
            <w:pPr>
              <w:spacing w:after="0"/>
              <w:rPr>
                <w:sz w:val="17"/>
                <w:szCs w:val="17"/>
                <w:color w:val="auto"/>
              </w:rPr>
            </w:pPr>
          </w:p>
        </w:tc>
        <w:tc>
          <w:tcPr>
            <w:tcW w:w="740" w:type="dxa"/>
            <w:vAlign w:val="bottom"/>
            <w:tcBorders>
              <w:bottom w:val="single" w:sz="8" w:color="00519B"/>
            </w:tcBorders>
          </w:tcPr>
          <w:p>
            <w:pPr>
              <w:jc w:val="right"/>
              <w:ind w:right="57"/>
              <w:spacing w:after="0"/>
              <w:rPr>
                <w:sz w:val="20"/>
                <w:szCs w:val="20"/>
                <w:color w:val="auto"/>
              </w:rPr>
            </w:pPr>
            <w:r>
              <w:rPr>
                <w:rFonts w:ascii="Arial" w:cs="Arial" w:eastAsia="Arial" w:hAnsi="Arial"/>
                <w:sz w:val="13"/>
                <w:szCs w:val="13"/>
                <w:b w:val="1"/>
                <w:bCs w:val="1"/>
                <w:color w:val="00519B"/>
              </w:rPr>
              <w:t>Consent</w:t>
            </w:r>
          </w:p>
        </w:tc>
        <w:tc>
          <w:tcPr>
            <w:tcW w:w="180" w:type="dxa"/>
            <w:vAlign w:val="bottom"/>
            <w:tcBorders>
              <w:bottom w:val="single" w:sz="8" w:color="00519B"/>
            </w:tcBorders>
          </w:tcPr>
          <w:p>
            <w:pPr>
              <w:spacing w:after="0"/>
              <w:rPr>
                <w:sz w:val="17"/>
                <w:szCs w:val="17"/>
                <w:color w:val="auto"/>
              </w:rPr>
            </w:pPr>
          </w:p>
        </w:tc>
        <w:tc>
          <w:tcPr>
            <w:tcW w:w="720" w:type="dxa"/>
            <w:vAlign w:val="bottom"/>
            <w:tcBorders>
              <w:bottom w:val="single" w:sz="8" w:color="00519B"/>
            </w:tcBorders>
          </w:tcPr>
          <w:p>
            <w:pPr>
              <w:jc w:val="right"/>
              <w:ind w:right="37"/>
              <w:spacing w:after="0"/>
              <w:rPr>
                <w:sz w:val="20"/>
                <w:szCs w:val="20"/>
                <w:color w:val="auto"/>
              </w:rPr>
            </w:pPr>
            <w:r>
              <w:rPr>
                <w:rFonts w:ascii="Arial" w:cs="Arial" w:eastAsia="Arial" w:hAnsi="Arial"/>
                <w:sz w:val="13"/>
                <w:szCs w:val="13"/>
                <w:b w:val="1"/>
                <w:bCs w:val="1"/>
                <w:color w:val="00519B"/>
              </w:rPr>
              <w:t>Disability</w:t>
            </w:r>
          </w:p>
        </w:tc>
        <w:tc>
          <w:tcPr>
            <w:tcW w:w="1180" w:type="dxa"/>
            <w:vAlign w:val="bottom"/>
            <w:tcBorders>
              <w:bottom w:val="single" w:sz="8" w:color="00519B"/>
            </w:tcBorders>
            <w:gridSpan w:val="2"/>
          </w:tcPr>
          <w:p>
            <w:pPr>
              <w:jc w:val="right"/>
              <w:ind w:right="17"/>
              <w:spacing w:after="0" w:line="189" w:lineRule="exact"/>
              <w:rPr>
                <w:sz w:val="20"/>
                <w:szCs w:val="20"/>
                <w:color w:val="auto"/>
              </w:rPr>
            </w:pPr>
            <w:r>
              <w:rPr>
                <w:rFonts w:ascii="Arial" w:cs="Arial" w:eastAsia="Arial" w:hAnsi="Arial"/>
                <w:sz w:val="13"/>
                <w:szCs w:val="13"/>
                <w:b w:val="1"/>
                <w:bCs w:val="1"/>
                <w:color w:val="00519B"/>
              </w:rPr>
              <w:t>without Cause</w:t>
            </w:r>
            <w:r>
              <w:rPr>
                <w:rFonts w:ascii="Arial" w:cs="Arial" w:eastAsia="Arial" w:hAnsi="Arial"/>
                <w:sz w:val="20"/>
                <w:szCs w:val="20"/>
                <w:b w:val="1"/>
                <w:bCs w:val="1"/>
                <w:color w:val="00519B"/>
                <w:vertAlign w:val="superscript"/>
              </w:rPr>
              <w:t>(2)</w:t>
            </w:r>
          </w:p>
        </w:tc>
        <w:tc>
          <w:tcPr>
            <w:tcW w:w="780" w:type="dxa"/>
            <w:vAlign w:val="bottom"/>
            <w:tcBorders>
              <w:bottom w:val="single" w:sz="8" w:color="00519B"/>
            </w:tcBorders>
          </w:tcPr>
          <w:p>
            <w:pPr>
              <w:jc w:val="right"/>
              <w:ind w:right="17"/>
              <w:spacing w:after="0"/>
              <w:rPr>
                <w:sz w:val="20"/>
                <w:szCs w:val="20"/>
                <w:color w:val="auto"/>
              </w:rPr>
            </w:pPr>
            <w:r>
              <w:rPr>
                <w:rFonts w:ascii="Arial" w:cs="Arial" w:eastAsia="Arial" w:hAnsi="Arial"/>
                <w:sz w:val="13"/>
                <w:szCs w:val="13"/>
                <w:b w:val="1"/>
                <w:bCs w:val="1"/>
                <w:color w:val="00519B"/>
              </w:rPr>
              <w:t>Control</w:t>
            </w:r>
          </w:p>
        </w:tc>
        <w:tc>
          <w:tcPr>
            <w:tcW w:w="940" w:type="dxa"/>
            <w:vAlign w:val="bottom"/>
            <w:tcBorders>
              <w:bottom w:val="single" w:sz="8" w:color="00519B"/>
            </w:tcBorders>
            <w:gridSpan w:val="2"/>
          </w:tcPr>
          <w:p>
            <w:pPr>
              <w:jc w:val="right"/>
              <w:spacing w:after="0" w:line="189" w:lineRule="exact"/>
              <w:rPr>
                <w:sz w:val="20"/>
                <w:szCs w:val="20"/>
                <w:color w:val="auto"/>
              </w:rPr>
            </w:pPr>
            <w:r>
              <w:rPr>
                <w:rFonts w:ascii="Arial" w:cs="Arial" w:eastAsia="Arial" w:hAnsi="Arial"/>
                <w:sz w:val="13"/>
                <w:szCs w:val="13"/>
                <w:b w:val="1"/>
                <w:bCs w:val="1"/>
                <w:color w:val="00519B"/>
              </w:rPr>
              <w:t>Termination</w:t>
            </w:r>
            <w:r>
              <w:rPr>
                <w:rFonts w:ascii="Arial" w:cs="Arial" w:eastAsia="Arial" w:hAnsi="Arial"/>
                <w:sz w:val="20"/>
                <w:szCs w:val="20"/>
                <w:b w:val="1"/>
                <w:bCs w:val="1"/>
                <w:color w:val="00519B"/>
                <w:vertAlign w:val="superscript"/>
              </w:rPr>
              <w:t>(3)</w:t>
            </w:r>
          </w:p>
        </w:tc>
        <w:tc>
          <w:tcPr>
            <w:tcW w:w="40" w:type="dxa"/>
            <w:vAlign w:val="bottom"/>
            <w:tcBorders>
              <w:bottom w:val="single" w:sz="8" w:color="00519B"/>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320" w:type="dxa"/>
            <w:vAlign w:val="bottom"/>
          </w:tcPr>
          <w:p>
            <w:pPr>
              <w:ind w:left="40"/>
              <w:spacing w:after="0"/>
              <w:rPr>
                <w:sz w:val="20"/>
                <w:szCs w:val="20"/>
                <w:color w:val="auto"/>
              </w:rPr>
            </w:pPr>
            <w:r>
              <w:rPr>
                <w:rFonts w:ascii="Arial" w:cs="Arial" w:eastAsia="Arial" w:hAnsi="Arial"/>
                <w:sz w:val="13"/>
                <w:szCs w:val="13"/>
                <w:b w:val="1"/>
                <w:bCs w:val="1"/>
                <w:color w:val="00519B"/>
              </w:rPr>
              <w:t>V. Hollub</w:t>
            </w:r>
          </w:p>
        </w:tc>
        <w:tc>
          <w:tcPr>
            <w:tcW w:w="340" w:type="dxa"/>
            <w:vAlign w:val="bottom"/>
            <w:tcBorders>
              <w:bottom w:val="single" w:sz="8" w:color="D1D2D4"/>
            </w:tcBorders>
          </w:tcPr>
          <w:p>
            <w:pPr>
              <w:spacing w:after="0"/>
              <w:rPr>
                <w:sz w:val="15"/>
                <w:szCs w:val="15"/>
                <w:color w:val="auto"/>
              </w:rPr>
            </w:pPr>
          </w:p>
        </w:tc>
        <w:tc>
          <w:tcPr>
            <w:tcW w:w="740" w:type="dxa"/>
            <w:vAlign w:val="bottom"/>
            <w:tcBorders>
              <w:bottom w:val="single" w:sz="8" w:color="D1D2D4"/>
            </w:tcBorders>
          </w:tcPr>
          <w:p>
            <w:pPr>
              <w:spacing w:after="0"/>
              <w:rPr>
                <w:sz w:val="15"/>
                <w:szCs w:val="15"/>
                <w:color w:val="auto"/>
              </w:rPr>
            </w:pPr>
          </w:p>
        </w:tc>
        <w:tc>
          <w:tcPr>
            <w:tcW w:w="18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440" w:type="dxa"/>
            <w:vAlign w:val="bottom"/>
            <w:tcBorders>
              <w:bottom w:val="single" w:sz="8" w:color="D1D2D4"/>
            </w:tcBorders>
          </w:tcPr>
          <w:p>
            <w:pPr>
              <w:spacing w:after="0"/>
              <w:rPr>
                <w:sz w:val="15"/>
                <w:szCs w:val="15"/>
                <w:color w:val="auto"/>
              </w:rPr>
            </w:pPr>
          </w:p>
        </w:tc>
        <w:tc>
          <w:tcPr>
            <w:tcW w:w="740" w:type="dxa"/>
            <w:vAlign w:val="bottom"/>
            <w:tcBorders>
              <w:bottom w:val="single" w:sz="8" w:color="D1D2D4"/>
            </w:tcBorders>
          </w:tcPr>
          <w:p>
            <w:pPr>
              <w:spacing w:after="0"/>
              <w:rPr>
                <w:sz w:val="15"/>
                <w:szCs w:val="15"/>
                <w:color w:val="auto"/>
              </w:rPr>
            </w:pPr>
          </w:p>
        </w:tc>
        <w:tc>
          <w:tcPr>
            <w:tcW w:w="780" w:type="dxa"/>
            <w:vAlign w:val="bottom"/>
            <w:tcBorders>
              <w:bottom w:val="single" w:sz="8" w:color="D1D2D4"/>
            </w:tcBorders>
          </w:tcPr>
          <w:p>
            <w:pPr>
              <w:spacing w:after="0"/>
              <w:rPr>
                <w:sz w:val="15"/>
                <w:szCs w:val="15"/>
                <w:color w:val="auto"/>
              </w:rPr>
            </w:pPr>
          </w:p>
        </w:tc>
        <w:tc>
          <w:tcPr>
            <w:tcW w:w="300" w:type="dxa"/>
            <w:vAlign w:val="bottom"/>
            <w:tcBorders>
              <w:bottom w:val="single" w:sz="8" w:color="D1D2D4"/>
            </w:tcBorders>
          </w:tcPr>
          <w:p>
            <w:pPr>
              <w:spacing w:after="0"/>
              <w:rPr>
                <w:sz w:val="15"/>
                <w:szCs w:val="15"/>
                <w:color w:val="auto"/>
              </w:rPr>
            </w:pPr>
          </w:p>
        </w:tc>
        <w:tc>
          <w:tcPr>
            <w:tcW w:w="640" w:type="dxa"/>
            <w:vAlign w:val="bottom"/>
            <w:tcBorders>
              <w:bottom w:val="single" w:sz="8" w:color="D1D2D4"/>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0"/>
              <w:spacing w:after="0" w:line="216" w:lineRule="exact"/>
              <w:rPr>
                <w:sz w:val="20"/>
                <w:szCs w:val="20"/>
                <w:color w:val="auto"/>
              </w:rPr>
            </w:pPr>
            <w:r>
              <w:rPr>
                <w:rFonts w:ascii="Arial" w:cs="Arial" w:eastAsia="Arial" w:hAnsi="Arial"/>
                <w:sz w:val="13"/>
                <w:szCs w:val="13"/>
                <w:color w:val="auto"/>
              </w:rPr>
              <w:t>RSU Awards</w:t>
            </w:r>
            <w:r>
              <w:rPr>
                <w:rFonts w:ascii="Arial" w:cs="Arial" w:eastAsia="Arial" w:hAnsi="Arial"/>
                <w:sz w:val="20"/>
                <w:szCs w:val="20"/>
                <w:color w:val="auto"/>
                <w:vertAlign w:val="superscript"/>
              </w:rPr>
              <w:t>(4)</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4,453,267</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4,453,267</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4,453,267</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9,213,925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CROCE Awards</w:t>
            </w:r>
            <w:r>
              <w:rPr>
                <w:rFonts w:ascii="Arial" w:cs="Arial" w:eastAsia="Arial" w:hAnsi="Arial"/>
                <w:sz w:val="20"/>
                <w:szCs w:val="20"/>
                <w:color w:val="auto"/>
                <w:vertAlign w:val="superscript"/>
              </w:rPr>
              <w:t>(5)</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w w:val="92"/>
              </w:rPr>
              <w:t>11,496,936</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8,457,795</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8,457,795</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16,262,128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TSR Awards</w:t>
            </w:r>
            <w:r>
              <w:rPr>
                <w:rFonts w:ascii="Arial" w:cs="Arial" w:eastAsia="Arial" w:hAnsi="Arial"/>
                <w:sz w:val="20"/>
                <w:szCs w:val="20"/>
                <w:color w:val="auto"/>
                <w:vertAlign w:val="superscript"/>
              </w:rPr>
              <w:t>(6)</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7,942,159</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5,842,828</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5,842,828</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11,234,141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NQSOs</w:t>
            </w:r>
            <w:r>
              <w:rPr>
                <w:rFonts w:ascii="Arial" w:cs="Arial" w:eastAsia="Arial" w:hAnsi="Arial"/>
                <w:sz w:val="20"/>
                <w:szCs w:val="20"/>
                <w:color w:val="auto"/>
                <w:vertAlign w:val="superscript"/>
              </w:rPr>
              <w:t>(7)</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5,945,343</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w w:val="92"/>
              </w:rPr>
              <w:t>10,292,954</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5,945,343</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w w:val="95"/>
              </w:rPr>
              <w:t>10,292,954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SAR Award</w:t>
            </w:r>
            <w:r>
              <w:rPr>
                <w:rFonts w:ascii="Arial" w:cs="Arial" w:eastAsia="Arial" w:hAnsi="Arial"/>
                <w:sz w:val="20"/>
                <w:szCs w:val="20"/>
                <w:color w:val="auto"/>
                <w:vertAlign w:val="superscript"/>
              </w:rPr>
              <w:t>(8)</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1,647,977</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1,965,720</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1,647,977</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1,965,720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Cash Severance</w:t>
            </w:r>
            <w:r>
              <w:rPr>
                <w:rFonts w:ascii="Arial" w:cs="Arial" w:eastAsia="Arial" w:hAnsi="Arial"/>
                <w:sz w:val="20"/>
                <w:szCs w:val="20"/>
                <w:color w:val="auto"/>
                <w:vertAlign w:val="superscript"/>
              </w:rPr>
              <w:t>(9)</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6,500,000</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9,867,000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Pro-Rata Bonus</w:t>
            </w:r>
            <w:r>
              <w:rPr>
                <w:rFonts w:ascii="Arial" w:cs="Arial" w:eastAsia="Arial" w:hAnsi="Arial"/>
                <w:sz w:val="20"/>
                <w:szCs w:val="20"/>
                <w:color w:val="auto"/>
                <w:vertAlign w:val="superscript"/>
              </w:rPr>
              <w:t>(9)</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3,315,000</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3,315,000</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1,950,000</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3,315,000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Health &amp; Welfare Benefits</w:t>
            </w:r>
            <w:r>
              <w:rPr>
                <w:rFonts w:ascii="Arial" w:cs="Arial" w:eastAsia="Arial" w:hAnsi="Arial"/>
                <w:sz w:val="20"/>
                <w:szCs w:val="20"/>
                <w:color w:val="auto"/>
                <w:vertAlign w:val="superscript"/>
              </w:rPr>
              <w:t>(9)</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38,322</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38,322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
              <w:spacing w:after="0" w:line="209" w:lineRule="exact"/>
              <w:rPr>
                <w:sz w:val="20"/>
                <w:szCs w:val="20"/>
                <w:color w:val="auto"/>
              </w:rPr>
            </w:pPr>
            <w:r>
              <w:rPr>
                <w:rFonts w:ascii="Arial" w:cs="Arial" w:eastAsia="Arial" w:hAnsi="Arial"/>
                <w:sz w:val="13"/>
                <w:szCs w:val="13"/>
                <w:color w:val="auto"/>
              </w:rPr>
              <w:t>Outplacement</w:t>
            </w:r>
            <w:r>
              <w:rPr>
                <w:rFonts w:ascii="Arial" w:cs="Arial" w:eastAsia="Arial" w:hAnsi="Arial"/>
                <w:sz w:val="20"/>
                <w:szCs w:val="20"/>
                <w:color w:val="auto"/>
                <w:vertAlign w:val="superscript"/>
              </w:rPr>
              <w:t>(9)</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30,000</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320" w:type="dxa"/>
            <w:vAlign w:val="bottom"/>
            <w:tcBorders>
              <w:bottom w:val="single" w:sz="8" w:color="D1D2D4"/>
            </w:tcBorders>
          </w:tcPr>
          <w:p>
            <w:pPr>
              <w:ind w:left="4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D1D2D4"/>
            </w:tcBorders>
          </w:tcPr>
          <w:p>
            <w:pPr>
              <w:ind w:left="260"/>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b w:val="1"/>
                <w:bCs w:val="1"/>
                <w:color w:val="auto"/>
                <w:w w:val="92"/>
              </w:rPr>
              <w:t>34,800,682</w:t>
            </w:r>
          </w:p>
        </w:tc>
        <w:tc>
          <w:tcPr>
            <w:tcW w:w="18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b w:val="1"/>
                <w:bCs w:val="1"/>
                <w:color w:val="auto"/>
                <w:w w:val="92"/>
              </w:rPr>
              <w:t>34,327,564</w:t>
            </w:r>
          </w:p>
        </w:tc>
        <w:tc>
          <w:tcPr>
            <w:tcW w:w="44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b w:val="1"/>
                <w:bCs w:val="1"/>
                <w:color w:val="auto"/>
                <w:w w:val="98"/>
              </w:rPr>
              <w:t>34,865,532</w:t>
            </w:r>
          </w:p>
        </w:tc>
        <w:tc>
          <w:tcPr>
            <w:tcW w:w="78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b w:val="1"/>
                <w:bCs w:val="1"/>
                <w:color w:val="auto"/>
              </w:rPr>
              <w:t>$ —</w:t>
            </w:r>
          </w:p>
        </w:tc>
        <w:tc>
          <w:tcPr>
            <w:tcW w:w="300" w:type="dxa"/>
            <w:vAlign w:val="bottom"/>
            <w:tcBorders>
              <w:bottom w:val="single" w:sz="8" w:color="D1D2D4"/>
            </w:tcBorders>
          </w:tcPr>
          <w:p>
            <w:pPr>
              <w:ind w:left="24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w w:val="95"/>
              </w:rPr>
              <w:t>62,219,190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Tables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00519B"/>
                <w:w w:val="98"/>
              </w:rPr>
              <w:t>Change in</w:t>
            </w:r>
          </w:p>
        </w:tc>
        <w:tc>
          <w:tcPr>
            <w:tcW w:w="0" w:type="dxa"/>
            <w:vAlign w:val="bottom"/>
          </w:tcPr>
          <w:p>
            <w:pPr>
              <w:spacing w:after="0"/>
              <w:rPr>
                <w:sz w:val="1"/>
                <w:szCs w:val="1"/>
                <w:color w:val="auto"/>
              </w:rPr>
            </w:pPr>
          </w:p>
        </w:tc>
      </w:tr>
      <w:tr>
        <w:trPr>
          <w:trHeight w:val="166"/>
        </w:trPr>
        <w:tc>
          <w:tcPr>
            <w:tcW w:w="6140" w:type="dxa"/>
            <w:vAlign w:val="bottom"/>
          </w:tcPr>
          <w:p>
            <w:pPr>
              <w:spacing w:after="0"/>
              <w:rPr>
                <w:sz w:val="14"/>
                <w:szCs w:val="14"/>
                <w:color w:val="auto"/>
              </w:rPr>
            </w:pPr>
          </w:p>
        </w:tc>
        <w:tc>
          <w:tcPr>
            <w:tcW w:w="1160" w:type="dxa"/>
            <w:vAlign w:val="bottom"/>
            <w:gridSpan w:val="2"/>
          </w:tcPr>
          <w:p>
            <w:pPr>
              <w:jc w:val="right"/>
              <w:ind w:right="77"/>
              <w:spacing w:after="0"/>
              <w:rPr>
                <w:sz w:val="20"/>
                <w:szCs w:val="20"/>
                <w:color w:val="auto"/>
              </w:rPr>
            </w:pPr>
            <w:r>
              <w:rPr>
                <w:rFonts w:ascii="Arial" w:cs="Arial" w:eastAsia="Arial" w:hAnsi="Arial"/>
                <w:sz w:val="13"/>
                <w:szCs w:val="13"/>
                <w:b w:val="1"/>
                <w:bCs w:val="1"/>
                <w:color w:val="00519B"/>
              </w:rPr>
              <w:t>Retirement</w:t>
            </w:r>
          </w:p>
        </w:tc>
        <w:tc>
          <w:tcPr>
            <w:tcW w:w="220" w:type="dxa"/>
            <w:vAlign w:val="bottom"/>
          </w:tcPr>
          <w:p>
            <w:pPr>
              <w:spacing w:after="0"/>
              <w:rPr>
                <w:sz w:val="14"/>
                <w:szCs w:val="14"/>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519B"/>
              </w:rPr>
              <w:t>Death or</w:t>
            </w:r>
          </w:p>
        </w:tc>
        <w:tc>
          <w:tcPr>
            <w:tcW w:w="11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519B"/>
              </w:rPr>
              <w:t>Involuntary</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00519B"/>
              </w:rPr>
              <w:t>Change in</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00519B"/>
                <w:w w:val="98"/>
              </w:rPr>
              <w:t>Control and</w:t>
            </w:r>
          </w:p>
        </w:tc>
        <w:tc>
          <w:tcPr>
            <w:tcW w:w="0" w:type="dxa"/>
            <w:vAlign w:val="bottom"/>
          </w:tcPr>
          <w:p>
            <w:pPr>
              <w:spacing w:after="0"/>
              <w:rPr>
                <w:sz w:val="1"/>
                <w:szCs w:val="1"/>
                <w:color w:val="auto"/>
              </w:rPr>
            </w:pPr>
          </w:p>
        </w:tc>
      </w:tr>
      <w:tr>
        <w:trPr>
          <w:trHeight w:val="135"/>
        </w:trPr>
        <w:tc>
          <w:tcPr>
            <w:tcW w:w="6140" w:type="dxa"/>
            <w:vAlign w:val="bottom"/>
            <w:vMerge w:val="restart"/>
          </w:tcPr>
          <w:p>
            <w:pPr>
              <w:ind w:left="40"/>
              <w:spacing w:after="0"/>
              <w:rPr>
                <w:sz w:val="20"/>
                <w:szCs w:val="20"/>
                <w:color w:val="auto"/>
              </w:rPr>
            </w:pPr>
            <w:r>
              <w:rPr>
                <w:rFonts w:ascii="Arial" w:cs="Arial" w:eastAsia="Arial" w:hAnsi="Arial"/>
                <w:sz w:val="13"/>
                <w:szCs w:val="13"/>
                <w:b w:val="1"/>
                <w:bCs w:val="1"/>
                <w:color w:val="00519B"/>
              </w:rPr>
              <w:t>Name/Type of Award</w:t>
            </w:r>
            <w:r>
              <w:rPr>
                <w:rFonts w:ascii="Arial" w:cs="Arial" w:eastAsia="Arial" w:hAnsi="Arial"/>
                <w:sz w:val="20"/>
                <w:szCs w:val="20"/>
                <w:b w:val="1"/>
                <w:bCs w:val="1"/>
                <w:color w:val="00519B"/>
                <w:vertAlign w:val="superscript"/>
              </w:rPr>
              <w:t>(1)</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b w:val="1"/>
                <w:bCs w:val="1"/>
                <w:color w:val="00519B"/>
              </w:rPr>
              <w:t>with Occidental</w:t>
            </w: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gridSpan w:val="2"/>
          </w:tcPr>
          <w:p>
            <w:pPr>
              <w:ind w:left="380"/>
              <w:spacing w:after="0" w:line="135" w:lineRule="exact"/>
              <w:rPr>
                <w:sz w:val="20"/>
                <w:szCs w:val="20"/>
                <w:color w:val="auto"/>
              </w:rPr>
            </w:pPr>
            <w:r>
              <w:rPr>
                <w:rFonts w:ascii="Arial" w:cs="Arial" w:eastAsia="Arial" w:hAnsi="Arial"/>
                <w:sz w:val="13"/>
                <w:szCs w:val="13"/>
                <w:b w:val="1"/>
                <w:bCs w:val="1"/>
                <w:color w:val="00519B"/>
              </w:rPr>
              <w:t>Termination</w:t>
            </w:r>
          </w:p>
        </w:tc>
        <w:tc>
          <w:tcPr>
            <w:tcW w:w="8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00519B"/>
                <w:w w:val="97"/>
              </w:rPr>
              <w:t>Qualifying</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00519B"/>
            </w:tcBorders>
            <w:vMerge w:val="continue"/>
          </w:tcPr>
          <w:p>
            <w:pPr>
              <w:spacing w:after="0"/>
              <w:rPr>
                <w:sz w:val="15"/>
                <w:szCs w:val="15"/>
                <w:color w:val="auto"/>
              </w:rPr>
            </w:pPr>
          </w:p>
        </w:tc>
        <w:tc>
          <w:tcPr>
            <w:tcW w:w="400" w:type="dxa"/>
            <w:vAlign w:val="bottom"/>
            <w:tcBorders>
              <w:bottom w:val="single" w:sz="8" w:color="00519B"/>
            </w:tcBorders>
          </w:tcPr>
          <w:p>
            <w:pPr>
              <w:spacing w:after="0"/>
              <w:rPr>
                <w:sz w:val="15"/>
                <w:szCs w:val="15"/>
                <w:color w:val="auto"/>
              </w:rPr>
            </w:pPr>
          </w:p>
        </w:tc>
        <w:tc>
          <w:tcPr>
            <w:tcW w:w="760" w:type="dxa"/>
            <w:vAlign w:val="bottom"/>
            <w:tcBorders>
              <w:bottom w:val="single" w:sz="8" w:color="00519B"/>
            </w:tcBorders>
          </w:tcPr>
          <w:p>
            <w:pPr>
              <w:jc w:val="right"/>
              <w:ind w:right="77"/>
              <w:spacing w:after="0"/>
              <w:rPr>
                <w:sz w:val="20"/>
                <w:szCs w:val="20"/>
                <w:color w:val="auto"/>
              </w:rPr>
            </w:pPr>
            <w:r>
              <w:rPr>
                <w:rFonts w:ascii="Arial" w:cs="Arial" w:eastAsia="Arial" w:hAnsi="Arial"/>
                <w:sz w:val="13"/>
                <w:szCs w:val="13"/>
                <w:b w:val="1"/>
                <w:bCs w:val="1"/>
                <w:color w:val="00519B"/>
              </w:rPr>
              <w:t>Consent</w:t>
            </w:r>
          </w:p>
        </w:tc>
        <w:tc>
          <w:tcPr>
            <w:tcW w:w="220" w:type="dxa"/>
            <w:vAlign w:val="bottom"/>
            <w:tcBorders>
              <w:bottom w:val="single" w:sz="8" w:color="00519B"/>
            </w:tcBorders>
          </w:tcPr>
          <w:p>
            <w:pPr>
              <w:spacing w:after="0"/>
              <w:rPr>
                <w:sz w:val="15"/>
                <w:szCs w:val="15"/>
                <w:color w:val="auto"/>
              </w:rPr>
            </w:pPr>
          </w:p>
        </w:tc>
        <w:tc>
          <w:tcPr>
            <w:tcW w:w="740" w:type="dxa"/>
            <w:vAlign w:val="bottom"/>
            <w:tcBorders>
              <w:bottom w:val="single" w:sz="8" w:color="00519B"/>
            </w:tcBorders>
          </w:tcPr>
          <w:p>
            <w:pPr>
              <w:jc w:val="right"/>
              <w:ind w:right="57"/>
              <w:spacing w:after="0"/>
              <w:rPr>
                <w:sz w:val="20"/>
                <w:szCs w:val="20"/>
                <w:color w:val="auto"/>
              </w:rPr>
            </w:pPr>
            <w:r>
              <w:rPr>
                <w:rFonts w:ascii="Arial" w:cs="Arial" w:eastAsia="Arial" w:hAnsi="Arial"/>
                <w:sz w:val="13"/>
                <w:szCs w:val="13"/>
                <w:b w:val="1"/>
                <w:bCs w:val="1"/>
                <w:color w:val="00519B"/>
              </w:rPr>
              <w:t>Disability</w:t>
            </w:r>
          </w:p>
        </w:tc>
        <w:tc>
          <w:tcPr>
            <w:tcW w:w="1180" w:type="dxa"/>
            <w:vAlign w:val="bottom"/>
            <w:tcBorders>
              <w:bottom w:val="single" w:sz="8" w:color="00519B"/>
            </w:tcBorders>
            <w:gridSpan w:val="2"/>
          </w:tcPr>
          <w:p>
            <w:pPr>
              <w:jc w:val="right"/>
              <w:ind w:right="17"/>
              <w:spacing w:after="0" w:line="176" w:lineRule="exact"/>
              <w:rPr>
                <w:sz w:val="20"/>
                <w:szCs w:val="20"/>
                <w:color w:val="auto"/>
              </w:rPr>
            </w:pPr>
            <w:r>
              <w:rPr>
                <w:rFonts w:ascii="Arial" w:cs="Arial" w:eastAsia="Arial" w:hAnsi="Arial"/>
                <w:sz w:val="13"/>
                <w:szCs w:val="13"/>
                <w:b w:val="1"/>
                <w:bCs w:val="1"/>
                <w:color w:val="00519B"/>
              </w:rPr>
              <w:t>without Cause</w:t>
            </w:r>
            <w:r>
              <w:rPr>
                <w:rFonts w:ascii="Arial" w:cs="Arial" w:eastAsia="Arial" w:hAnsi="Arial"/>
                <w:sz w:val="20"/>
                <w:szCs w:val="20"/>
                <w:b w:val="1"/>
                <w:bCs w:val="1"/>
                <w:color w:val="00519B"/>
                <w:vertAlign w:val="superscript"/>
              </w:rPr>
              <w:t>(2)</w:t>
            </w:r>
          </w:p>
        </w:tc>
        <w:tc>
          <w:tcPr>
            <w:tcW w:w="800" w:type="dxa"/>
            <w:vAlign w:val="bottom"/>
            <w:tcBorders>
              <w:bottom w:val="single" w:sz="8" w:color="00519B"/>
            </w:tcBorders>
          </w:tcPr>
          <w:p>
            <w:pPr>
              <w:jc w:val="right"/>
              <w:ind w:right="37"/>
              <w:spacing w:after="0"/>
              <w:rPr>
                <w:sz w:val="20"/>
                <w:szCs w:val="20"/>
                <w:color w:val="auto"/>
              </w:rPr>
            </w:pPr>
            <w:r>
              <w:rPr>
                <w:rFonts w:ascii="Arial" w:cs="Arial" w:eastAsia="Arial" w:hAnsi="Arial"/>
                <w:sz w:val="13"/>
                <w:szCs w:val="13"/>
                <w:b w:val="1"/>
                <w:bCs w:val="1"/>
                <w:color w:val="00519B"/>
              </w:rPr>
              <w:t>Control</w:t>
            </w:r>
          </w:p>
        </w:tc>
        <w:tc>
          <w:tcPr>
            <w:tcW w:w="1000" w:type="dxa"/>
            <w:vAlign w:val="bottom"/>
            <w:tcBorders>
              <w:bottom w:val="single" w:sz="8" w:color="00519B"/>
            </w:tcBorders>
            <w:gridSpan w:val="2"/>
          </w:tcPr>
          <w:p>
            <w:pPr>
              <w:jc w:val="right"/>
              <w:spacing w:after="0" w:line="176" w:lineRule="exact"/>
              <w:rPr>
                <w:sz w:val="20"/>
                <w:szCs w:val="20"/>
                <w:color w:val="auto"/>
              </w:rPr>
            </w:pPr>
            <w:r>
              <w:rPr>
                <w:rFonts w:ascii="Arial" w:cs="Arial" w:eastAsia="Arial" w:hAnsi="Arial"/>
                <w:sz w:val="13"/>
                <w:szCs w:val="13"/>
                <w:b w:val="1"/>
                <w:bCs w:val="1"/>
                <w:color w:val="00519B"/>
              </w:rPr>
              <w:t>Termination</w:t>
            </w:r>
            <w:r>
              <w:rPr>
                <w:rFonts w:ascii="Arial" w:cs="Arial" w:eastAsia="Arial" w:hAnsi="Arial"/>
                <w:sz w:val="20"/>
                <w:szCs w:val="20"/>
                <w:b w:val="1"/>
                <w:bCs w:val="1"/>
                <w:color w:val="00519B"/>
                <w:vertAlign w:val="superscript"/>
              </w:rPr>
              <w:t>(3)</w:t>
            </w:r>
          </w:p>
        </w:tc>
        <w:tc>
          <w:tcPr>
            <w:tcW w:w="0" w:type="dxa"/>
            <w:vAlign w:val="bottom"/>
          </w:tcPr>
          <w:p>
            <w:pPr>
              <w:spacing w:after="0"/>
              <w:rPr>
                <w:sz w:val="1"/>
                <w:szCs w:val="1"/>
                <w:color w:val="auto"/>
              </w:rPr>
            </w:pPr>
          </w:p>
        </w:tc>
      </w:tr>
      <w:tr>
        <w:trPr>
          <w:trHeight w:val="183"/>
        </w:trPr>
        <w:tc>
          <w:tcPr>
            <w:tcW w:w="6140" w:type="dxa"/>
            <w:vAlign w:val="bottom"/>
          </w:tcPr>
          <w:p>
            <w:pPr>
              <w:ind w:left="40"/>
              <w:spacing w:after="0"/>
              <w:rPr>
                <w:sz w:val="20"/>
                <w:szCs w:val="20"/>
                <w:color w:val="auto"/>
              </w:rPr>
            </w:pPr>
            <w:r>
              <w:rPr>
                <w:rFonts w:ascii="Arial" w:cs="Arial" w:eastAsia="Arial" w:hAnsi="Arial"/>
                <w:sz w:val="13"/>
                <w:szCs w:val="13"/>
                <w:b w:val="1"/>
                <w:bCs w:val="1"/>
                <w:color w:val="00519B"/>
              </w:rPr>
              <w:t>R. Peterson</w:t>
            </w:r>
          </w:p>
        </w:tc>
        <w:tc>
          <w:tcPr>
            <w:tcW w:w="400" w:type="dxa"/>
            <w:vAlign w:val="bottom"/>
            <w:tcBorders>
              <w:bottom w:val="single" w:sz="8" w:color="D1D2D4"/>
            </w:tcBorders>
          </w:tcPr>
          <w:p>
            <w:pPr>
              <w:spacing w:after="0"/>
              <w:rPr>
                <w:sz w:val="15"/>
                <w:szCs w:val="15"/>
                <w:color w:val="auto"/>
              </w:rPr>
            </w:pPr>
          </w:p>
        </w:tc>
        <w:tc>
          <w:tcPr>
            <w:tcW w:w="760" w:type="dxa"/>
            <w:vAlign w:val="bottom"/>
            <w:tcBorders>
              <w:bottom w:val="single" w:sz="8" w:color="D1D2D4"/>
            </w:tcBorders>
          </w:tcPr>
          <w:p>
            <w:pPr>
              <w:spacing w:after="0"/>
              <w:rPr>
                <w:sz w:val="15"/>
                <w:szCs w:val="15"/>
                <w:color w:val="auto"/>
              </w:rPr>
            </w:pPr>
          </w:p>
        </w:tc>
        <w:tc>
          <w:tcPr>
            <w:tcW w:w="220" w:type="dxa"/>
            <w:vAlign w:val="bottom"/>
            <w:tcBorders>
              <w:bottom w:val="single" w:sz="8" w:color="D1D2D4"/>
            </w:tcBorders>
          </w:tcPr>
          <w:p>
            <w:pPr>
              <w:spacing w:after="0"/>
              <w:rPr>
                <w:sz w:val="15"/>
                <w:szCs w:val="15"/>
                <w:color w:val="auto"/>
              </w:rPr>
            </w:pPr>
          </w:p>
        </w:tc>
        <w:tc>
          <w:tcPr>
            <w:tcW w:w="740" w:type="dxa"/>
            <w:vAlign w:val="bottom"/>
            <w:tcBorders>
              <w:bottom w:val="single" w:sz="8" w:color="D1D2D4"/>
            </w:tcBorders>
          </w:tcPr>
          <w:p>
            <w:pPr>
              <w:spacing w:after="0"/>
              <w:rPr>
                <w:sz w:val="15"/>
                <w:szCs w:val="15"/>
                <w:color w:val="auto"/>
              </w:rPr>
            </w:pPr>
          </w:p>
        </w:tc>
        <w:tc>
          <w:tcPr>
            <w:tcW w:w="46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8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0"/>
              <w:spacing w:after="0" w:line="216" w:lineRule="exact"/>
              <w:rPr>
                <w:sz w:val="20"/>
                <w:szCs w:val="20"/>
                <w:color w:val="auto"/>
              </w:rPr>
            </w:pPr>
            <w:r>
              <w:rPr>
                <w:rFonts w:ascii="Arial" w:cs="Arial" w:eastAsia="Arial" w:hAnsi="Arial"/>
                <w:sz w:val="13"/>
                <w:szCs w:val="13"/>
                <w:color w:val="auto"/>
              </w:rPr>
              <w:t>RSU Awards</w:t>
            </w:r>
            <w:r>
              <w:rPr>
                <w:rFonts w:ascii="Arial" w:cs="Arial" w:eastAsia="Arial" w:hAnsi="Arial"/>
                <w:sz w:val="20"/>
                <w:szCs w:val="20"/>
                <w:color w:val="auto"/>
                <w:vertAlign w:val="superscript"/>
              </w:rPr>
              <w:t>(4)</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1,256,965</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1,256,965</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1,256,965</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2,860,187</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CROCE Awards</w:t>
            </w:r>
            <w:r>
              <w:rPr>
                <w:rFonts w:ascii="Arial" w:cs="Arial" w:eastAsia="Arial" w:hAnsi="Arial"/>
                <w:sz w:val="20"/>
                <w:szCs w:val="20"/>
                <w:color w:val="auto"/>
                <w:vertAlign w:val="superscript"/>
              </w:rPr>
              <w:t>(5)</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4,254,345</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3,096,589</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3,096,589</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5,818,260</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TSR Awards</w:t>
            </w:r>
            <w:r>
              <w:rPr>
                <w:rFonts w:ascii="Arial" w:cs="Arial" w:eastAsia="Arial" w:hAnsi="Arial"/>
                <w:sz w:val="20"/>
                <w:szCs w:val="20"/>
                <w:color w:val="auto"/>
                <w:vertAlign w:val="superscript"/>
              </w:rPr>
              <w:t>(6)</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2,938,989</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2,139,268</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2,139,268</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4,019,392</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NQSOs</w:t>
            </w:r>
            <w:r>
              <w:rPr>
                <w:rFonts w:ascii="Arial" w:cs="Arial" w:eastAsia="Arial" w:hAnsi="Arial"/>
                <w:sz w:val="20"/>
                <w:szCs w:val="20"/>
                <w:color w:val="auto"/>
                <w:vertAlign w:val="superscript"/>
              </w:rPr>
              <w:t>(7)</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769,308</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2,063,816</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769,308</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2,063,816</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Cash Severance</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2,115,000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2,820,000</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Pro-Rata Bonus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1,190,000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1,190,000</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700,000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1,190,000</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Health &amp; Welfare Benefits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56,073</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56,073</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Outplacement</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78"/>
        </w:trPr>
        <w:tc>
          <w:tcPr>
            <w:tcW w:w="6140" w:type="dxa"/>
            <w:vAlign w:val="bottom"/>
            <w:tcBorders>
              <w:bottom w:val="single" w:sz="8" w:color="D1D2D4"/>
            </w:tcBorders>
          </w:tcPr>
          <w:p>
            <w:pPr>
              <w:ind w:left="40"/>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b w:val="1"/>
                <w:bCs w:val="1"/>
                <w:color w:val="auto"/>
                <w:w w:val="92"/>
              </w:rPr>
              <w:t>10,409,607</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b w:val="1"/>
                <w:bCs w:val="1"/>
                <w:color w:val="auto"/>
              </w:rPr>
              <w:t>9,746,638</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b w:val="1"/>
                <w:bCs w:val="1"/>
                <w:color w:val="auto"/>
                <w:w w:val="95"/>
              </w:rPr>
              <w:t>10,163,203</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b w:val="1"/>
                <w:bCs w:val="1"/>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w w:val="95"/>
              </w:rPr>
              <w:t>18,857,728</w:t>
            </w:r>
          </w:p>
        </w:tc>
        <w:tc>
          <w:tcPr>
            <w:tcW w:w="0" w:type="dxa"/>
            <w:vAlign w:val="bottom"/>
          </w:tcPr>
          <w:p>
            <w:pPr>
              <w:spacing w:after="0"/>
              <w:rPr>
                <w:sz w:val="1"/>
                <w:szCs w:val="1"/>
                <w:color w:val="auto"/>
              </w:rPr>
            </w:pPr>
          </w:p>
        </w:tc>
      </w:tr>
      <w:tr>
        <w:trPr>
          <w:trHeight w:val="180"/>
        </w:trPr>
        <w:tc>
          <w:tcPr>
            <w:tcW w:w="6140" w:type="dxa"/>
            <w:vAlign w:val="bottom"/>
          </w:tcPr>
          <w:p>
            <w:pPr>
              <w:ind w:left="40"/>
              <w:spacing w:after="0"/>
              <w:rPr>
                <w:sz w:val="20"/>
                <w:szCs w:val="20"/>
                <w:color w:val="auto"/>
              </w:rPr>
            </w:pPr>
            <w:r>
              <w:rPr>
                <w:rFonts w:ascii="Arial" w:cs="Arial" w:eastAsia="Arial" w:hAnsi="Arial"/>
                <w:sz w:val="13"/>
                <w:szCs w:val="13"/>
                <w:b w:val="1"/>
                <w:bCs w:val="1"/>
                <w:color w:val="00519B"/>
              </w:rPr>
              <w:t>P. Bennett</w:t>
            </w:r>
          </w:p>
        </w:tc>
        <w:tc>
          <w:tcPr>
            <w:tcW w:w="400" w:type="dxa"/>
            <w:vAlign w:val="bottom"/>
            <w:tcBorders>
              <w:bottom w:val="single" w:sz="8" w:color="D1D2D4"/>
            </w:tcBorders>
          </w:tcPr>
          <w:p>
            <w:pPr>
              <w:spacing w:after="0"/>
              <w:rPr>
                <w:sz w:val="15"/>
                <w:szCs w:val="15"/>
                <w:color w:val="auto"/>
              </w:rPr>
            </w:pPr>
          </w:p>
        </w:tc>
        <w:tc>
          <w:tcPr>
            <w:tcW w:w="760" w:type="dxa"/>
            <w:vAlign w:val="bottom"/>
            <w:tcBorders>
              <w:bottom w:val="single" w:sz="8" w:color="D1D2D4"/>
            </w:tcBorders>
          </w:tcPr>
          <w:p>
            <w:pPr>
              <w:spacing w:after="0"/>
              <w:rPr>
                <w:sz w:val="15"/>
                <w:szCs w:val="15"/>
                <w:color w:val="auto"/>
              </w:rPr>
            </w:pPr>
          </w:p>
        </w:tc>
        <w:tc>
          <w:tcPr>
            <w:tcW w:w="220" w:type="dxa"/>
            <w:vAlign w:val="bottom"/>
            <w:tcBorders>
              <w:bottom w:val="single" w:sz="8" w:color="D1D2D4"/>
            </w:tcBorders>
          </w:tcPr>
          <w:p>
            <w:pPr>
              <w:spacing w:after="0"/>
              <w:rPr>
                <w:sz w:val="15"/>
                <w:szCs w:val="15"/>
                <w:color w:val="auto"/>
              </w:rPr>
            </w:pPr>
          </w:p>
        </w:tc>
        <w:tc>
          <w:tcPr>
            <w:tcW w:w="740" w:type="dxa"/>
            <w:vAlign w:val="bottom"/>
            <w:tcBorders>
              <w:bottom w:val="single" w:sz="8" w:color="D1D2D4"/>
            </w:tcBorders>
          </w:tcPr>
          <w:p>
            <w:pPr>
              <w:spacing w:after="0"/>
              <w:rPr>
                <w:sz w:val="15"/>
                <w:szCs w:val="15"/>
                <w:color w:val="auto"/>
              </w:rPr>
            </w:pPr>
          </w:p>
        </w:tc>
        <w:tc>
          <w:tcPr>
            <w:tcW w:w="46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8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0"/>
              <w:spacing w:after="0" w:line="216" w:lineRule="exact"/>
              <w:rPr>
                <w:sz w:val="20"/>
                <w:szCs w:val="20"/>
                <w:color w:val="auto"/>
              </w:rPr>
            </w:pPr>
            <w:r>
              <w:rPr>
                <w:rFonts w:ascii="Arial" w:cs="Arial" w:eastAsia="Arial" w:hAnsi="Arial"/>
                <w:sz w:val="13"/>
                <w:szCs w:val="13"/>
                <w:color w:val="auto"/>
              </w:rPr>
              <w:t>RSU Awards</w:t>
            </w:r>
            <w:r>
              <w:rPr>
                <w:rFonts w:ascii="Arial" w:cs="Arial" w:eastAsia="Arial" w:hAnsi="Arial"/>
                <w:sz w:val="20"/>
                <w:szCs w:val="20"/>
                <w:color w:val="auto"/>
                <w:vertAlign w:val="superscript"/>
              </w:rPr>
              <w:t>(4)</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878,270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878,270</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878,270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1,898,078</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CROCE Awards</w:t>
            </w:r>
            <w:r>
              <w:rPr>
                <w:rFonts w:ascii="Arial" w:cs="Arial" w:eastAsia="Arial" w:hAnsi="Arial"/>
                <w:sz w:val="20"/>
                <w:szCs w:val="20"/>
                <w:color w:val="auto"/>
                <w:vertAlign w:val="superscript"/>
              </w:rPr>
              <w:t>(5)</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2,659,061</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1,935,432</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1,935,432</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3,636,539</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TSR Awards</w:t>
            </w:r>
            <w:r>
              <w:rPr>
                <w:rFonts w:ascii="Arial" w:cs="Arial" w:eastAsia="Arial" w:hAnsi="Arial"/>
                <w:sz w:val="20"/>
                <w:szCs w:val="20"/>
                <w:color w:val="auto"/>
                <w:vertAlign w:val="superscript"/>
              </w:rPr>
              <w:t>(6)</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1,836,915</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1,337,027</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1,337,027</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2,512,167</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NQSOs</w:t>
            </w:r>
            <w:r>
              <w:rPr>
                <w:rFonts w:ascii="Arial" w:cs="Arial" w:eastAsia="Arial" w:hAnsi="Arial"/>
                <w:sz w:val="20"/>
                <w:szCs w:val="20"/>
                <w:color w:val="auto"/>
                <w:vertAlign w:val="superscript"/>
              </w:rPr>
              <w:t>(7)</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480,851</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1,289,884</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480,851</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1,289,884</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Cash Severance</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1,815,000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2,420,000</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Pro-Rata Bonus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1,020,000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1,020,000</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600,000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Health &amp; Welfare Benefits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34,547</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34,547</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Outplacement</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78"/>
        </w:trPr>
        <w:tc>
          <w:tcPr>
            <w:tcW w:w="6140" w:type="dxa"/>
            <w:vAlign w:val="bottom"/>
            <w:tcBorders>
              <w:bottom w:val="single" w:sz="8" w:color="D1D2D4"/>
            </w:tcBorders>
          </w:tcPr>
          <w:p>
            <w:pPr>
              <w:ind w:left="40"/>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b w:val="1"/>
                <w:bCs w:val="1"/>
                <w:color w:val="auto"/>
              </w:rPr>
              <w:t>6,875,097</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b w:val="1"/>
                <w:bCs w:val="1"/>
                <w:color w:val="auto"/>
              </w:rPr>
              <w:t>6,460,613</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b w:val="1"/>
                <w:bCs w:val="1"/>
                <w:color w:val="auto"/>
              </w:rPr>
              <w:t>7,111,127</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b w:val="1"/>
                <w:bCs w:val="1"/>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w w:val="95"/>
              </w:rPr>
              <w:t>12,841,215</w:t>
            </w:r>
          </w:p>
        </w:tc>
        <w:tc>
          <w:tcPr>
            <w:tcW w:w="0" w:type="dxa"/>
            <w:vAlign w:val="bottom"/>
          </w:tcPr>
          <w:p>
            <w:pPr>
              <w:spacing w:after="0"/>
              <w:rPr>
                <w:sz w:val="1"/>
                <w:szCs w:val="1"/>
                <w:color w:val="auto"/>
              </w:rPr>
            </w:pPr>
          </w:p>
        </w:tc>
      </w:tr>
      <w:tr>
        <w:trPr>
          <w:trHeight w:val="180"/>
        </w:trPr>
        <w:tc>
          <w:tcPr>
            <w:tcW w:w="6140" w:type="dxa"/>
            <w:vAlign w:val="bottom"/>
          </w:tcPr>
          <w:p>
            <w:pPr>
              <w:ind w:left="40"/>
              <w:spacing w:after="0"/>
              <w:rPr>
                <w:sz w:val="20"/>
                <w:szCs w:val="20"/>
                <w:color w:val="auto"/>
              </w:rPr>
            </w:pPr>
            <w:r>
              <w:rPr>
                <w:rFonts w:ascii="Arial" w:cs="Arial" w:eastAsia="Arial" w:hAnsi="Arial"/>
                <w:sz w:val="13"/>
                <w:szCs w:val="13"/>
                <w:b w:val="1"/>
                <w:bCs w:val="1"/>
                <w:color w:val="00519B"/>
              </w:rPr>
              <w:t>K. Dillon</w:t>
            </w:r>
          </w:p>
        </w:tc>
        <w:tc>
          <w:tcPr>
            <w:tcW w:w="400" w:type="dxa"/>
            <w:vAlign w:val="bottom"/>
            <w:tcBorders>
              <w:bottom w:val="single" w:sz="8" w:color="D1D2D4"/>
            </w:tcBorders>
          </w:tcPr>
          <w:p>
            <w:pPr>
              <w:spacing w:after="0"/>
              <w:rPr>
                <w:sz w:val="15"/>
                <w:szCs w:val="15"/>
                <w:color w:val="auto"/>
              </w:rPr>
            </w:pPr>
          </w:p>
        </w:tc>
        <w:tc>
          <w:tcPr>
            <w:tcW w:w="760" w:type="dxa"/>
            <w:vAlign w:val="bottom"/>
            <w:tcBorders>
              <w:bottom w:val="single" w:sz="8" w:color="D1D2D4"/>
            </w:tcBorders>
          </w:tcPr>
          <w:p>
            <w:pPr>
              <w:spacing w:after="0"/>
              <w:rPr>
                <w:sz w:val="15"/>
                <w:szCs w:val="15"/>
                <w:color w:val="auto"/>
              </w:rPr>
            </w:pPr>
          </w:p>
        </w:tc>
        <w:tc>
          <w:tcPr>
            <w:tcW w:w="220" w:type="dxa"/>
            <w:vAlign w:val="bottom"/>
            <w:tcBorders>
              <w:bottom w:val="single" w:sz="8" w:color="D1D2D4"/>
            </w:tcBorders>
          </w:tcPr>
          <w:p>
            <w:pPr>
              <w:spacing w:after="0"/>
              <w:rPr>
                <w:sz w:val="15"/>
                <w:szCs w:val="15"/>
                <w:color w:val="auto"/>
              </w:rPr>
            </w:pPr>
          </w:p>
        </w:tc>
        <w:tc>
          <w:tcPr>
            <w:tcW w:w="740" w:type="dxa"/>
            <w:vAlign w:val="bottom"/>
            <w:tcBorders>
              <w:bottom w:val="single" w:sz="8" w:color="D1D2D4"/>
            </w:tcBorders>
          </w:tcPr>
          <w:p>
            <w:pPr>
              <w:spacing w:after="0"/>
              <w:rPr>
                <w:sz w:val="15"/>
                <w:szCs w:val="15"/>
                <w:color w:val="auto"/>
              </w:rPr>
            </w:pPr>
          </w:p>
        </w:tc>
        <w:tc>
          <w:tcPr>
            <w:tcW w:w="46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8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0"/>
              <w:spacing w:after="0" w:line="216" w:lineRule="exact"/>
              <w:rPr>
                <w:sz w:val="20"/>
                <w:szCs w:val="20"/>
                <w:color w:val="auto"/>
              </w:rPr>
            </w:pPr>
            <w:r>
              <w:rPr>
                <w:rFonts w:ascii="Arial" w:cs="Arial" w:eastAsia="Arial" w:hAnsi="Arial"/>
                <w:sz w:val="13"/>
                <w:szCs w:val="13"/>
                <w:color w:val="auto"/>
              </w:rPr>
              <w:t>RSU Awards</w:t>
            </w:r>
            <w:r>
              <w:rPr>
                <w:rFonts w:ascii="Arial" w:cs="Arial" w:eastAsia="Arial" w:hAnsi="Arial"/>
                <w:sz w:val="20"/>
                <w:szCs w:val="20"/>
                <w:color w:val="auto"/>
                <w:vertAlign w:val="superscript"/>
              </w:rPr>
              <w:t>(4)</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1,181,440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1,181,440</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1,181,440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2,874,360</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CROCE Awards</w:t>
            </w:r>
            <w:r>
              <w:rPr>
                <w:rFonts w:ascii="Arial" w:cs="Arial" w:eastAsia="Arial" w:hAnsi="Arial"/>
                <w:sz w:val="20"/>
                <w:szCs w:val="20"/>
                <w:color w:val="auto"/>
                <w:vertAlign w:val="superscript"/>
              </w:rPr>
              <w:t>(5)</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4,513,613</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3,293,874</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3,293,874</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6,224,168</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TSR Awards</w:t>
            </w:r>
            <w:r>
              <w:rPr>
                <w:rFonts w:ascii="Arial" w:cs="Arial" w:eastAsia="Arial" w:hAnsi="Arial"/>
                <w:sz w:val="20"/>
                <w:szCs w:val="20"/>
                <w:color w:val="auto"/>
                <w:vertAlign w:val="superscript"/>
              </w:rPr>
              <w:t>(6)</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3,118,132</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2,275,578</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2,275,578</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4,299,823</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NQSOs</w:t>
            </w:r>
            <w:r>
              <w:rPr>
                <w:rFonts w:ascii="Arial" w:cs="Arial" w:eastAsia="Arial" w:hAnsi="Arial"/>
                <w:sz w:val="20"/>
                <w:szCs w:val="20"/>
                <w:color w:val="auto"/>
                <w:vertAlign w:val="superscript"/>
              </w:rPr>
              <w:t>(7)</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2,361,585</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4,042,799</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2,361,585</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4,042,799</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Cash Severance</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2,302,500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3,070,000</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Pro-Rata Bonus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1,402,500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1,402,500</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825,000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1,402,500</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Health &amp; Welfare Benefits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35,094</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35,094</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Outplacement</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78"/>
        </w:trPr>
        <w:tc>
          <w:tcPr>
            <w:tcW w:w="6140" w:type="dxa"/>
            <w:vAlign w:val="bottom"/>
            <w:tcBorders>
              <w:bottom w:val="single" w:sz="8" w:color="D1D2D4"/>
            </w:tcBorders>
          </w:tcPr>
          <w:p>
            <w:pPr>
              <w:ind w:left="40"/>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b w:val="1"/>
                <w:bCs w:val="1"/>
                <w:color w:val="auto"/>
                <w:w w:val="92"/>
              </w:rPr>
              <w:t>12,577,270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b w:val="1"/>
                <w:bCs w:val="1"/>
                <w:color w:val="auto"/>
                <w:w w:val="92"/>
              </w:rPr>
              <w:t>12,196,191</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b w:val="1"/>
                <w:bCs w:val="1"/>
                <w:color w:val="auto"/>
                <w:w w:val="95"/>
              </w:rPr>
              <w:t>12,305,071</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b w:val="1"/>
                <w:bCs w:val="1"/>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w w:val="95"/>
              </w:rPr>
              <w:t>21,978,744</w:t>
            </w:r>
          </w:p>
        </w:tc>
        <w:tc>
          <w:tcPr>
            <w:tcW w:w="0" w:type="dxa"/>
            <w:vAlign w:val="bottom"/>
          </w:tcPr>
          <w:p>
            <w:pPr>
              <w:spacing w:after="0"/>
              <w:rPr>
                <w:sz w:val="1"/>
                <w:szCs w:val="1"/>
                <w:color w:val="auto"/>
              </w:rPr>
            </w:pPr>
          </w:p>
        </w:tc>
      </w:tr>
      <w:tr>
        <w:trPr>
          <w:trHeight w:val="180"/>
        </w:trPr>
        <w:tc>
          <w:tcPr>
            <w:tcW w:w="6140" w:type="dxa"/>
            <w:vAlign w:val="bottom"/>
          </w:tcPr>
          <w:p>
            <w:pPr>
              <w:ind w:left="40"/>
              <w:spacing w:after="0"/>
              <w:rPr>
                <w:sz w:val="20"/>
                <w:szCs w:val="20"/>
                <w:color w:val="auto"/>
              </w:rPr>
            </w:pPr>
            <w:r>
              <w:rPr>
                <w:rFonts w:ascii="Arial" w:cs="Arial" w:eastAsia="Arial" w:hAnsi="Arial"/>
                <w:sz w:val="13"/>
                <w:szCs w:val="13"/>
                <w:b w:val="1"/>
                <w:bCs w:val="1"/>
                <w:color w:val="00519B"/>
              </w:rPr>
              <w:t>R. Jackson</w:t>
            </w:r>
          </w:p>
        </w:tc>
        <w:tc>
          <w:tcPr>
            <w:tcW w:w="400" w:type="dxa"/>
            <w:vAlign w:val="bottom"/>
            <w:tcBorders>
              <w:bottom w:val="single" w:sz="8" w:color="D1D2D4"/>
            </w:tcBorders>
          </w:tcPr>
          <w:p>
            <w:pPr>
              <w:spacing w:after="0"/>
              <w:rPr>
                <w:sz w:val="15"/>
                <w:szCs w:val="15"/>
                <w:color w:val="auto"/>
              </w:rPr>
            </w:pPr>
          </w:p>
        </w:tc>
        <w:tc>
          <w:tcPr>
            <w:tcW w:w="760" w:type="dxa"/>
            <w:vAlign w:val="bottom"/>
            <w:tcBorders>
              <w:bottom w:val="single" w:sz="8" w:color="D1D2D4"/>
            </w:tcBorders>
          </w:tcPr>
          <w:p>
            <w:pPr>
              <w:spacing w:after="0"/>
              <w:rPr>
                <w:sz w:val="15"/>
                <w:szCs w:val="15"/>
                <w:color w:val="auto"/>
              </w:rPr>
            </w:pPr>
          </w:p>
        </w:tc>
        <w:tc>
          <w:tcPr>
            <w:tcW w:w="220" w:type="dxa"/>
            <w:vAlign w:val="bottom"/>
            <w:tcBorders>
              <w:bottom w:val="single" w:sz="8" w:color="D1D2D4"/>
            </w:tcBorders>
          </w:tcPr>
          <w:p>
            <w:pPr>
              <w:spacing w:after="0"/>
              <w:rPr>
                <w:sz w:val="15"/>
                <w:szCs w:val="15"/>
                <w:color w:val="auto"/>
              </w:rPr>
            </w:pPr>
          </w:p>
        </w:tc>
        <w:tc>
          <w:tcPr>
            <w:tcW w:w="740" w:type="dxa"/>
            <w:vAlign w:val="bottom"/>
            <w:tcBorders>
              <w:bottom w:val="single" w:sz="8" w:color="D1D2D4"/>
            </w:tcBorders>
          </w:tcPr>
          <w:p>
            <w:pPr>
              <w:spacing w:after="0"/>
              <w:rPr>
                <w:sz w:val="15"/>
                <w:szCs w:val="15"/>
                <w:color w:val="auto"/>
              </w:rPr>
            </w:pPr>
          </w:p>
        </w:tc>
        <w:tc>
          <w:tcPr>
            <w:tcW w:w="460" w:type="dxa"/>
            <w:vAlign w:val="bottom"/>
            <w:tcBorders>
              <w:bottom w:val="single" w:sz="8" w:color="D1D2D4"/>
            </w:tcBorders>
          </w:tcPr>
          <w:p>
            <w:pPr>
              <w:spacing w:after="0"/>
              <w:rPr>
                <w:sz w:val="15"/>
                <w:szCs w:val="15"/>
                <w:color w:val="auto"/>
              </w:rPr>
            </w:pPr>
          </w:p>
        </w:tc>
        <w:tc>
          <w:tcPr>
            <w:tcW w:w="720" w:type="dxa"/>
            <w:vAlign w:val="bottom"/>
            <w:tcBorders>
              <w:bottom w:val="single" w:sz="8" w:color="D1D2D4"/>
            </w:tcBorders>
          </w:tcPr>
          <w:p>
            <w:pPr>
              <w:spacing w:after="0"/>
              <w:rPr>
                <w:sz w:val="15"/>
                <w:szCs w:val="15"/>
                <w:color w:val="auto"/>
              </w:rPr>
            </w:pPr>
          </w:p>
        </w:tc>
        <w:tc>
          <w:tcPr>
            <w:tcW w:w="800" w:type="dxa"/>
            <w:vAlign w:val="bottom"/>
            <w:tcBorders>
              <w:bottom w:val="single" w:sz="8" w:color="D1D2D4"/>
            </w:tcBorders>
          </w:tcPr>
          <w:p>
            <w:pPr>
              <w:spacing w:after="0"/>
              <w:rPr>
                <w:sz w:val="15"/>
                <w:szCs w:val="15"/>
                <w:color w:val="auto"/>
              </w:rPr>
            </w:pPr>
          </w:p>
        </w:tc>
        <w:tc>
          <w:tcPr>
            <w:tcW w:w="320" w:type="dxa"/>
            <w:vAlign w:val="bottom"/>
            <w:tcBorders>
              <w:bottom w:val="single" w:sz="8" w:color="D1D2D4"/>
            </w:tcBorders>
          </w:tcPr>
          <w:p>
            <w:pPr>
              <w:spacing w:after="0"/>
              <w:rPr>
                <w:sz w:val="15"/>
                <w:szCs w:val="15"/>
                <w:color w:val="auto"/>
              </w:rPr>
            </w:pPr>
          </w:p>
        </w:tc>
        <w:tc>
          <w:tcPr>
            <w:tcW w:w="68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0"/>
              <w:spacing w:after="0" w:line="216" w:lineRule="exact"/>
              <w:rPr>
                <w:sz w:val="20"/>
                <w:szCs w:val="20"/>
                <w:color w:val="auto"/>
              </w:rPr>
            </w:pPr>
            <w:r>
              <w:rPr>
                <w:rFonts w:ascii="Arial" w:cs="Arial" w:eastAsia="Arial" w:hAnsi="Arial"/>
                <w:sz w:val="13"/>
                <w:szCs w:val="13"/>
                <w:color w:val="auto"/>
              </w:rPr>
              <w:t>RSU Awards</w:t>
            </w:r>
            <w:r>
              <w:rPr>
                <w:rFonts w:ascii="Arial" w:cs="Arial" w:eastAsia="Arial" w:hAnsi="Arial"/>
                <w:sz w:val="20"/>
                <w:szCs w:val="20"/>
                <w:color w:val="auto"/>
                <w:vertAlign w:val="superscript"/>
              </w:rPr>
              <w:t>(4)</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1,278,193</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1,278,193</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1,278,193</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2,885,446</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CROCE Awards</w:t>
            </w:r>
            <w:r>
              <w:rPr>
                <w:rFonts w:ascii="Arial" w:cs="Arial" w:eastAsia="Arial" w:hAnsi="Arial"/>
                <w:sz w:val="20"/>
                <w:szCs w:val="20"/>
                <w:color w:val="auto"/>
                <w:vertAlign w:val="superscript"/>
              </w:rPr>
              <w:t>(5)</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4,254,345</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3,096,589</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3,096,589</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5,818,260</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TSR Awards</w:t>
            </w:r>
            <w:r>
              <w:rPr>
                <w:rFonts w:ascii="Arial" w:cs="Arial" w:eastAsia="Arial" w:hAnsi="Arial"/>
                <w:sz w:val="20"/>
                <w:szCs w:val="20"/>
                <w:color w:val="auto"/>
                <w:vertAlign w:val="superscript"/>
              </w:rPr>
              <w:t>(6)</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2,938,989</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2,139,268</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2,139,268</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4,019,392</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NQSOs</w:t>
            </w:r>
            <w:r>
              <w:rPr>
                <w:rFonts w:ascii="Arial" w:cs="Arial" w:eastAsia="Arial" w:hAnsi="Arial"/>
                <w:sz w:val="20"/>
                <w:szCs w:val="20"/>
                <w:color w:val="auto"/>
                <w:vertAlign w:val="superscript"/>
              </w:rPr>
              <w:t>(7)</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769,308</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2,063,816</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769,308</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2,063,816</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Cash Severance</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2,115,000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2,820,000</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Pro-Rata Bonus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1,190,000</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1,190,000</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700,000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1,190,000</w:t>
            </w:r>
          </w:p>
        </w:tc>
        <w:tc>
          <w:tcPr>
            <w:tcW w:w="0" w:type="dxa"/>
            <w:vAlign w:val="bottom"/>
          </w:tcPr>
          <w:p>
            <w:pPr>
              <w:spacing w:after="0"/>
              <w:rPr>
                <w:sz w:val="1"/>
                <w:szCs w:val="1"/>
                <w:color w:val="auto"/>
              </w:rPr>
            </w:pPr>
          </w:p>
        </w:tc>
      </w:tr>
      <w:tr>
        <w:trPr>
          <w:trHeight w:val="209"/>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Health &amp; Welfare Benefits</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50,698</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50,698</w:t>
            </w:r>
          </w:p>
        </w:tc>
        <w:tc>
          <w:tcPr>
            <w:tcW w:w="0" w:type="dxa"/>
            <w:vAlign w:val="bottom"/>
          </w:tcPr>
          <w:p>
            <w:pPr>
              <w:spacing w:after="0"/>
              <w:rPr>
                <w:sz w:val="1"/>
                <w:szCs w:val="1"/>
                <w:color w:val="auto"/>
              </w:rPr>
            </w:pPr>
          </w:p>
        </w:tc>
      </w:tr>
      <w:tr>
        <w:trPr>
          <w:trHeight w:val="210"/>
        </w:trPr>
        <w:tc>
          <w:tcPr>
            <w:tcW w:w="6140" w:type="dxa"/>
            <w:vAlign w:val="bottom"/>
          </w:tcPr>
          <w:p>
            <w:pPr>
              <w:ind w:left="40"/>
              <w:spacing w:after="0" w:line="209" w:lineRule="exact"/>
              <w:rPr>
                <w:sz w:val="20"/>
                <w:szCs w:val="20"/>
                <w:color w:val="auto"/>
              </w:rPr>
            </w:pPr>
            <w:r>
              <w:rPr>
                <w:rFonts w:ascii="Arial" w:cs="Arial" w:eastAsia="Arial" w:hAnsi="Arial"/>
                <w:sz w:val="13"/>
                <w:szCs w:val="13"/>
                <w:color w:val="auto"/>
              </w:rPr>
              <w:t>Outplacement</w:t>
            </w:r>
            <w:r>
              <w:rPr>
                <w:rFonts w:ascii="Arial" w:cs="Arial" w:eastAsia="Arial" w:hAnsi="Arial"/>
                <w:sz w:val="20"/>
                <w:szCs w:val="20"/>
                <w:color w:val="auto"/>
                <w:vertAlign w:val="superscript"/>
              </w:rPr>
              <w:t>(9)</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30,000</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78"/>
        </w:trPr>
        <w:tc>
          <w:tcPr>
            <w:tcW w:w="6140" w:type="dxa"/>
            <w:vAlign w:val="bottom"/>
            <w:tcBorders>
              <w:bottom w:val="single" w:sz="8" w:color="D1D2D4"/>
            </w:tcBorders>
          </w:tcPr>
          <w:p>
            <w:pPr>
              <w:ind w:left="40"/>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D1D2D4"/>
            </w:tcBorders>
          </w:tcPr>
          <w:p>
            <w:pPr>
              <w:jc w:val="right"/>
              <w:ind w:right="77"/>
              <w:spacing w:after="0"/>
              <w:rPr>
                <w:sz w:val="20"/>
                <w:szCs w:val="20"/>
                <w:color w:val="auto"/>
              </w:rPr>
            </w:pPr>
            <w:r>
              <w:rPr>
                <w:rFonts w:ascii="Arial" w:cs="Arial" w:eastAsia="Arial" w:hAnsi="Arial"/>
                <w:sz w:val="13"/>
                <w:szCs w:val="13"/>
                <w:b w:val="1"/>
                <w:bCs w:val="1"/>
                <w:color w:val="auto"/>
                <w:w w:val="92"/>
              </w:rPr>
              <w:t>10,430,835</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1D2D4"/>
            </w:tcBorders>
          </w:tcPr>
          <w:p>
            <w:pPr>
              <w:jc w:val="right"/>
              <w:ind w:right="57"/>
              <w:spacing w:after="0"/>
              <w:rPr>
                <w:sz w:val="20"/>
                <w:szCs w:val="20"/>
                <w:color w:val="auto"/>
              </w:rPr>
            </w:pPr>
            <w:r>
              <w:rPr>
                <w:rFonts w:ascii="Arial" w:cs="Arial" w:eastAsia="Arial" w:hAnsi="Arial"/>
                <w:sz w:val="13"/>
                <w:szCs w:val="13"/>
                <w:b w:val="1"/>
                <w:bCs w:val="1"/>
                <w:color w:val="auto"/>
              </w:rPr>
              <w:t>9,767,866</w:t>
            </w:r>
          </w:p>
        </w:tc>
        <w:tc>
          <w:tcPr>
            <w:tcW w:w="460" w:type="dxa"/>
            <w:vAlign w:val="bottom"/>
            <w:tcBorders>
              <w:bottom w:val="single" w:sz="8" w:color="D1D2D4"/>
            </w:tcBorders>
          </w:tcPr>
          <w:p>
            <w:pPr>
              <w:ind w:left="38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b w:val="1"/>
                <w:bCs w:val="1"/>
                <w:color w:val="auto"/>
                <w:w w:val="95"/>
              </w:rPr>
              <w:t>10,179,056</w:t>
            </w:r>
          </w:p>
        </w:tc>
        <w:tc>
          <w:tcPr>
            <w:tcW w:w="8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b w:val="1"/>
                <w:bCs w:val="1"/>
                <w:color w:val="auto"/>
              </w:rPr>
              <w:t>$ —</w:t>
            </w:r>
          </w:p>
        </w:tc>
        <w:tc>
          <w:tcPr>
            <w:tcW w:w="320" w:type="dxa"/>
            <w:vAlign w:val="bottom"/>
            <w:tcBorders>
              <w:bottom w:val="single" w:sz="8" w:color="D1D2D4"/>
            </w:tcBorders>
          </w:tcPr>
          <w:p>
            <w:pPr>
              <w:ind w:left="26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3"/>
                <w:szCs w:val="13"/>
                <w:b w:val="1"/>
                <w:bCs w:val="1"/>
                <w:color w:val="auto"/>
                <w:w w:val="95"/>
              </w:rPr>
              <w:t>18,877,612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743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6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 Tables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00519B"/>
                <w:w w:val="98"/>
              </w:rPr>
              <w:t>Change in</w:t>
            </w:r>
          </w:p>
        </w:tc>
        <w:tc>
          <w:tcPr>
            <w:tcW w:w="0" w:type="dxa"/>
            <w:vAlign w:val="bottom"/>
          </w:tcPr>
          <w:p>
            <w:pPr>
              <w:spacing w:after="0"/>
              <w:rPr>
                <w:sz w:val="1"/>
                <w:szCs w:val="1"/>
                <w:color w:val="auto"/>
              </w:rPr>
            </w:pPr>
          </w:p>
        </w:tc>
      </w:tr>
      <w:tr>
        <w:trPr>
          <w:trHeight w:val="166"/>
        </w:trPr>
        <w:tc>
          <w:tcPr>
            <w:tcW w:w="566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00519B"/>
              </w:rPr>
              <w:t>Retirement</w:t>
            </w:r>
          </w:p>
        </w:tc>
        <w:tc>
          <w:tcPr>
            <w:tcW w:w="280" w:type="dxa"/>
            <w:vAlign w:val="bottom"/>
          </w:tcPr>
          <w:p>
            <w:pPr>
              <w:spacing w:after="0"/>
              <w:rPr>
                <w:sz w:val="14"/>
                <w:szCs w:val="14"/>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00519B"/>
              </w:rPr>
              <w:t>Death or</w:t>
            </w:r>
          </w:p>
        </w:tc>
        <w:tc>
          <w:tcPr>
            <w:tcW w:w="13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00519B"/>
              </w:rPr>
              <w:t>Involuntary</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00519B"/>
              </w:rPr>
              <w:t>Change in</w:t>
            </w:r>
          </w:p>
        </w:tc>
        <w:tc>
          <w:tcPr>
            <w:tcW w:w="1100" w:type="dxa"/>
            <w:vAlign w:val="bottom"/>
            <w:gridSpan w:val="2"/>
          </w:tcPr>
          <w:p>
            <w:pPr>
              <w:ind w:left="320"/>
              <w:spacing w:after="0"/>
              <w:rPr>
                <w:sz w:val="20"/>
                <w:szCs w:val="20"/>
                <w:color w:val="auto"/>
              </w:rPr>
            </w:pPr>
            <w:r>
              <w:rPr>
                <w:rFonts w:ascii="Arial" w:cs="Arial" w:eastAsia="Arial" w:hAnsi="Arial"/>
                <w:sz w:val="13"/>
                <w:szCs w:val="13"/>
                <w:b w:val="1"/>
                <w:bCs w:val="1"/>
                <w:color w:val="00519B"/>
              </w:rPr>
              <w:t>Control and</w:t>
            </w:r>
          </w:p>
        </w:tc>
        <w:tc>
          <w:tcPr>
            <w:tcW w:w="0" w:type="dxa"/>
            <w:vAlign w:val="bottom"/>
          </w:tcPr>
          <w:p>
            <w:pPr>
              <w:spacing w:after="0"/>
              <w:rPr>
                <w:sz w:val="1"/>
                <w:szCs w:val="1"/>
                <w:color w:val="auto"/>
              </w:rPr>
            </w:pPr>
          </w:p>
        </w:tc>
      </w:tr>
      <w:tr>
        <w:trPr>
          <w:trHeight w:val="135"/>
        </w:trPr>
        <w:tc>
          <w:tcPr>
            <w:tcW w:w="5660" w:type="dxa"/>
            <w:vAlign w:val="bottom"/>
            <w:vMerge w:val="restart"/>
          </w:tcPr>
          <w:p>
            <w:pPr>
              <w:ind w:left="40"/>
              <w:spacing w:after="0"/>
              <w:rPr>
                <w:sz w:val="20"/>
                <w:szCs w:val="20"/>
                <w:color w:val="auto"/>
              </w:rPr>
            </w:pPr>
            <w:r>
              <w:rPr>
                <w:rFonts w:ascii="Arial" w:cs="Arial" w:eastAsia="Arial" w:hAnsi="Arial"/>
                <w:sz w:val="13"/>
                <w:szCs w:val="13"/>
                <w:b w:val="1"/>
                <w:bCs w:val="1"/>
                <w:color w:val="00519B"/>
              </w:rPr>
              <w:t>Name/Type of Award</w:t>
            </w:r>
            <w:r>
              <w:rPr>
                <w:rFonts w:ascii="Arial" w:cs="Arial" w:eastAsia="Arial" w:hAnsi="Arial"/>
                <w:sz w:val="20"/>
                <w:szCs w:val="20"/>
                <w:b w:val="1"/>
                <w:bCs w:val="1"/>
                <w:color w:val="00519B"/>
                <w:vertAlign w:val="superscript"/>
              </w:rPr>
              <w:t>(1)</w:t>
            </w:r>
          </w:p>
        </w:tc>
        <w:tc>
          <w:tcPr>
            <w:tcW w:w="118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00519B"/>
                <w:w w:val="95"/>
              </w:rPr>
              <w:t>with Occidental</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00" w:type="dxa"/>
            <w:vAlign w:val="bottom"/>
            <w:gridSpan w:val="2"/>
          </w:tcPr>
          <w:p>
            <w:pPr>
              <w:jc w:val="right"/>
              <w:ind w:right="97"/>
              <w:spacing w:after="0" w:line="135" w:lineRule="exact"/>
              <w:rPr>
                <w:sz w:val="20"/>
                <w:szCs w:val="20"/>
                <w:color w:val="auto"/>
              </w:rPr>
            </w:pPr>
            <w:r>
              <w:rPr>
                <w:rFonts w:ascii="Arial" w:cs="Arial" w:eastAsia="Arial" w:hAnsi="Arial"/>
                <w:sz w:val="13"/>
                <w:szCs w:val="13"/>
                <w:b w:val="1"/>
                <w:bCs w:val="1"/>
                <w:color w:val="00519B"/>
              </w:rPr>
              <w:t>Termination</w:t>
            </w:r>
          </w:p>
        </w:tc>
        <w:tc>
          <w:tcPr>
            <w:tcW w:w="9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519B"/>
                <w:w w:val="97"/>
              </w:rPr>
              <w:t>Qualifying</w:t>
            </w:r>
          </w:p>
        </w:tc>
        <w:tc>
          <w:tcPr>
            <w:tcW w:w="0" w:type="dxa"/>
            <w:vAlign w:val="bottom"/>
          </w:tcPr>
          <w:p>
            <w:pPr>
              <w:spacing w:after="0"/>
              <w:rPr>
                <w:sz w:val="1"/>
                <w:szCs w:val="1"/>
                <w:color w:val="auto"/>
              </w:rPr>
            </w:pPr>
          </w:p>
        </w:tc>
      </w:tr>
      <w:tr>
        <w:trPr>
          <w:trHeight w:val="183"/>
        </w:trPr>
        <w:tc>
          <w:tcPr>
            <w:tcW w:w="5660" w:type="dxa"/>
            <w:vAlign w:val="bottom"/>
            <w:tcBorders>
              <w:bottom w:val="single" w:sz="8" w:color="00519B"/>
            </w:tcBorders>
            <w:vMerge w:val="continue"/>
          </w:tcPr>
          <w:p>
            <w:pPr>
              <w:spacing w:after="0"/>
              <w:rPr>
                <w:sz w:val="15"/>
                <w:szCs w:val="15"/>
                <w:color w:val="auto"/>
              </w:rPr>
            </w:pPr>
          </w:p>
        </w:tc>
        <w:tc>
          <w:tcPr>
            <w:tcW w:w="320" w:type="dxa"/>
            <w:vAlign w:val="bottom"/>
            <w:tcBorders>
              <w:bottom w:val="single" w:sz="8" w:color="00519B"/>
            </w:tcBorders>
          </w:tcPr>
          <w:p>
            <w:pPr>
              <w:spacing w:after="0"/>
              <w:rPr>
                <w:sz w:val="15"/>
                <w:szCs w:val="15"/>
                <w:color w:val="auto"/>
              </w:rPr>
            </w:pPr>
          </w:p>
        </w:tc>
        <w:tc>
          <w:tcPr>
            <w:tcW w:w="860" w:type="dxa"/>
            <w:vAlign w:val="bottom"/>
            <w:tcBorders>
              <w:bottom w:val="single" w:sz="8" w:color="00519B"/>
            </w:tcBorders>
          </w:tcPr>
          <w:p>
            <w:pPr>
              <w:jc w:val="right"/>
              <w:ind w:right="177"/>
              <w:spacing w:after="0"/>
              <w:rPr>
                <w:sz w:val="20"/>
                <w:szCs w:val="20"/>
                <w:color w:val="auto"/>
              </w:rPr>
            </w:pPr>
            <w:r>
              <w:rPr>
                <w:rFonts w:ascii="Arial" w:cs="Arial" w:eastAsia="Arial" w:hAnsi="Arial"/>
                <w:sz w:val="13"/>
                <w:szCs w:val="13"/>
                <w:b w:val="1"/>
                <w:bCs w:val="1"/>
                <w:color w:val="00519B"/>
              </w:rPr>
              <w:t>Consent</w:t>
            </w:r>
          </w:p>
        </w:tc>
        <w:tc>
          <w:tcPr>
            <w:tcW w:w="280" w:type="dxa"/>
            <w:vAlign w:val="bottom"/>
            <w:tcBorders>
              <w:bottom w:val="single" w:sz="8" w:color="00519B"/>
            </w:tcBorders>
          </w:tcPr>
          <w:p>
            <w:pPr>
              <w:spacing w:after="0"/>
              <w:rPr>
                <w:sz w:val="15"/>
                <w:szCs w:val="15"/>
                <w:color w:val="auto"/>
              </w:rPr>
            </w:pPr>
          </w:p>
        </w:tc>
        <w:tc>
          <w:tcPr>
            <w:tcW w:w="800" w:type="dxa"/>
            <w:vAlign w:val="bottom"/>
            <w:tcBorders>
              <w:bottom w:val="single" w:sz="8" w:color="00519B"/>
            </w:tcBorders>
          </w:tcPr>
          <w:p>
            <w:pPr>
              <w:jc w:val="right"/>
              <w:ind w:right="97"/>
              <w:spacing w:after="0"/>
              <w:rPr>
                <w:sz w:val="20"/>
                <w:szCs w:val="20"/>
                <w:color w:val="auto"/>
              </w:rPr>
            </w:pPr>
            <w:r>
              <w:rPr>
                <w:rFonts w:ascii="Arial" w:cs="Arial" w:eastAsia="Arial" w:hAnsi="Arial"/>
                <w:sz w:val="13"/>
                <w:szCs w:val="13"/>
                <w:b w:val="1"/>
                <w:bCs w:val="1"/>
                <w:color w:val="00519B"/>
              </w:rPr>
              <w:t>Disability</w:t>
            </w:r>
          </w:p>
        </w:tc>
        <w:tc>
          <w:tcPr>
            <w:tcW w:w="1300" w:type="dxa"/>
            <w:vAlign w:val="bottom"/>
            <w:tcBorders>
              <w:bottom w:val="single" w:sz="8" w:color="00519B"/>
            </w:tcBorders>
            <w:gridSpan w:val="2"/>
          </w:tcPr>
          <w:p>
            <w:pPr>
              <w:jc w:val="right"/>
              <w:ind w:right="97"/>
              <w:spacing w:after="0" w:line="176" w:lineRule="exact"/>
              <w:rPr>
                <w:sz w:val="20"/>
                <w:szCs w:val="20"/>
                <w:color w:val="auto"/>
              </w:rPr>
            </w:pPr>
            <w:r>
              <w:rPr>
                <w:rFonts w:ascii="Arial" w:cs="Arial" w:eastAsia="Arial" w:hAnsi="Arial"/>
                <w:sz w:val="13"/>
                <w:szCs w:val="13"/>
                <w:b w:val="1"/>
                <w:bCs w:val="1"/>
                <w:color w:val="00519B"/>
              </w:rPr>
              <w:t>without Cause</w:t>
            </w:r>
            <w:r>
              <w:rPr>
                <w:rFonts w:ascii="Arial" w:cs="Arial" w:eastAsia="Arial" w:hAnsi="Arial"/>
                <w:sz w:val="20"/>
                <w:szCs w:val="20"/>
                <w:b w:val="1"/>
                <w:bCs w:val="1"/>
                <w:color w:val="00519B"/>
                <w:vertAlign w:val="superscript"/>
              </w:rPr>
              <w:t>(2)</w:t>
            </w:r>
          </w:p>
        </w:tc>
        <w:tc>
          <w:tcPr>
            <w:tcW w:w="920" w:type="dxa"/>
            <w:vAlign w:val="bottom"/>
            <w:tcBorders>
              <w:bottom w:val="single" w:sz="8" w:color="00519B"/>
            </w:tcBorders>
          </w:tcPr>
          <w:p>
            <w:pPr>
              <w:jc w:val="right"/>
              <w:ind w:right="97"/>
              <w:spacing w:after="0"/>
              <w:rPr>
                <w:sz w:val="20"/>
                <w:szCs w:val="20"/>
                <w:color w:val="auto"/>
              </w:rPr>
            </w:pPr>
            <w:r>
              <w:rPr>
                <w:rFonts w:ascii="Arial" w:cs="Arial" w:eastAsia="Arial" w:hAnsi="Arial"/>
                <w:sz w:val="13"/>
                <w:szCs w:val="13"/>
                <w:b w:val="1"/>
                <w:bCs w:val="1"/>
                <w:color w:val="00519B"/>
              </w:rPr>
              <w:t>Control</w:t>
            </w:r>
          </w:p>
        </w:tc>
        <w:tc>
          <w:tcPr>
            <w:tcW w:w="1100" w:type="dxa"/>
            <w:vAlign w:val="bottom"/>
            <w:tcBorders>
              <w:bottom w:val="single" w:sz="8" w:color="00519B"/>
            </w:tcBorders>
            <w:gridSpan w:val="2"/>
          </w:tcPr>
          <w:p>
            <w:pPr>
              <w:jc w:val="right"/>
              <w:ind w:right="17"/>
              <w:spacing w:after="0" w:line="176" w:lineRule="exact"/>
              <w:rPr>
                <w:sz w:val="20"/>
                <w:szCs w:val="20"/>
                <w:color w:val="auto"/>
              </w:rPr>
            </w:pPr>
            <w:r>
              <w:rPr>
                <w:rFonts w:ascii="Arial" w:cs="Arial" w:eastAsia="Arial" w:hAnsi="Arial"/>
                <w:sz w:val="13"/>
                <w:szCs w:val="13"/>
                <w:b w:val="1"/>
                <w:bCs w:val="1"/>
                <w:color w:val="00519B"/>
              </w:rPr>
              <w:t>Termination</w:t>
            </w:r>
            <w:r>
              <w:rPr>
                <w:rFonts w:ascii="Arial" w:cs="Arial" w:eastAsia="Arial" w:hAnsi="Arial"/>
                <w:sz w:val="20"/>
                <w:szCs w:val="20"/>
                <w:b w:val="1"/>
                <w:bCs w:val="1"/>
                <w:color w:val="00519B"/>
                <w:vertAlign w:val="superscript"/>
              </w:rPr>
              <w:t>(3)</w:t>
            </w:r>
          </w:p>
        </w:tc>
        <w:tc>
          <w:tcPr>
            <w:tcW w:w="0" w:type="dxa"/>
            <w:vAlign w:val="bottom"/>
          </w:tcPr>
          <w:p>
            <w:pPr>
              <w:spacing w:after="0"/>
              <w:rPr>
                <w:sz w:val="1"/>
                <w:szCs w:val="1"/>
                <w:color w:val="auto"/>
              </w:rPr>
            </w:pPr>
          </w:p>
        </w:tc>
      </w:tr>
      <w:tr>
        <w:trPr>
          <w:trHeight w:val="230"/>
        </w:trPr>
        <w:tc>
          <w:tcPr>
            <w:tcW w:w="5660" w:type="dxa"/>
            <w:vAlign w:val="bottom"/>
          </w:tcPr>
          <w:p>
            <w:pPr>
              <w:ind w:left="40"/>
              <w:spacing w:after="0"/>
              <w:rPr>
                <w:sz w:val="20"/>
                <w:szCs w:val="20"/>
                <w:color w:val="auto"/>
              </w:rPr>
            </w:pPr>
            <w:r>
              <w:rPr>
                <w:rFonts w:ascii="Arial" w:cs="Arial" w:eastAsia="Arial" w:hAnsi="Arial"/>
                <w:sz w:val="13"/>
                <w:szCs w:val="13"/>
                <w:b w:val="1"/>
                <w:bCs w:val="1"/>
                <w:color w:val="00519B"/>
              </w:rPr>
              <w:t>M. Backus</w:t>
            </w:r>
            <w:r>
              <w:rPr>
                <w:rFonts w:ascii="Arial" w:cs="Arial" w:eastAsia="Arial" w:hAnsi="Arial"/>
                <w:sz w:val="20"/>
                <w:szCs w:val="20"/>
                <w:b w:val="1"/>
                <w:bCs w:val="1"/>
                <w:color w:val="00519B"/>
                <w:vertAlign w:val="superscript"/>
              </w:rPr>
              <w:t>(9)</w:t>
            </w:r>
          </w:p>
        </w:tc>
        <w:tc>
          <w:tcPr>
            <w:tcW w:w="320" w:type="dxa"/>
            <w:vAlign w:val="bottom"/>
            <w:tcBorders>
              <w:bottom w:val="single" w:sz="8" w:color="D1D2D4"/>
            </w:tcBorders>
          </w:tcPr>
          <w:p>
            <w:pPr>
              <w:spacing w:after="0"/>
              <w:rPr>
                <w:sz w:val="19"/>
                <w:szCs w:val="19"/>
                <w:color w:val="auto"/>
              </w:rPr>
            </w:pPr>
          </w:p>
        </w:tc>
        <w:tc>
          <w:tcPr>
            <w:tcW w:w="860" w:type="dxa"/>
            <w:vAlign w:val="bottom"/>
            <w:tcBorders>
              <w:bottom w:val="single" w:sz="8" w:color="D1D2D4"/>
            </w:tcBorders>
          </w:tcPr>
          <w:p>
            <w:pPr>
              <w:spacing w:after="0"/>
              <w:rPr>
                <w:sz w:val="19"/>
                <w:szCs w:val="19"/>
                <w:color w:val="auto"/>
              </w:rPr>
            </w:pPr>
          </w:p>
        </w:tc>
        <w:tc>
          <w:tcPr>
            <w:tcW w:w="280" w:type="dxa"/>
            <w:vAlign w:val="bottom"/>
            <w:tcBorders>
              <w:bottom w:val="single" w:sz="8" w:color="D1D2D4"/>
            </w:tcBorders>
          </w:tcPr>
          <w:p>
            <w:pPr>
              <w:spacing w:after="0"/>
              <w:rPr>
                <w:sz w:val="19"/>
                <w:szCs w:val="19"/>
                <w:color w:val="auto"/>
              </w:rPr>
            </w:pPr>
          </w:p>
        </w:tc>
        <w:tc>
          <w:tcPr>
            <w:tcW w:w="800" w:type="dxa"/>
            <w:vAlign w:val="bottom"/>
            <w:tcBorders>
              <w:bottom w:val="single" w:sz="8" w:color="D1D2D4"/>
            </w:tcBorders>
          </w:tcPr>
          <w:p>
            <w:pPr>
              <w:spacing w:after="0"/>
              <w:rPr>
                <w:sz w:val="19"/>
                <w:szCs w:val="19"/>
                <w:color w:val="auto"/>
              </w:rPr>
            </w:pPr>
          </w:p>
        </w:tc>
        <w:tc>
          <w:tcPr>
            <w:tcW w:w="500" w:type="dxa"/>
            <w:vAlign w:val="bottom"/>
            <w:tcBorders>
              <w:bottom w:val="single" w:sz="8" w:color="D1D2D4"/>
            </w:tcBorders>
          </w:tcPr>
          <w:p>
            <w:pPr>
              <w:spacing w:after="0"/>
              <w:rPr>
                <w:sz w:val="19"/>
                <w:szCs w:val="19"/>
                <w:color w:val="auto"/>
              </w:rPr>
            </w:pPr>
          </w:p>
        </w:tc>
        <w:tc>
          <w:tcPr>
            <w:tcW w:w="800" w:type="dxa"/>
            <w:vAlign w:val="bottom"/>
            <w:tcBorders>
              <w:bottom w:val="single" w:sz="8" w:color="D1D2D4"/>
            </w:tcBorders>
          </w:tcPr>
          <w:p>
            <w:pPr>
              <w:spacing w:after="0"/>
              <w:rPr>
                <w:sz w:val="19"/>
                <w:szCs w:val="19"/>
                <w:color w:val="auto"/>
              </w:rPr>
            </w:pPr>
          </w:p>
        </w:tc>
        <w:tc>
          <w:tcPr>
            <w:tcW w:w="920" w:type="dxa"/>
            <w:vAlign w:val="bottom"/>
            <w:tcBorders>
              <w:bottom w:val="single" w:sz="8" w:color="D1D2D4"/>
            </w:tcBorders>
          </w:tcPr>
          <w:p>
            <w:pPr>
              <w:spacing w:after="0"/>
              <w:rPr>
                <w:sz w:val="19"/>
                <w:szCs w:val="19"/>
                <w:color w:val="auto"/>
              </w:rPr>
            </w:pPr>
          </w:p>
        </w:tc>
        <w:tc>
          <w:tcPr>
            <w:tcW w:w="380" w:type="dxa"/>
            <w:vAlign w:val="bottom"/>
            <w:tcBorders>
              <w:bottom w:val="single" w:sz="8" w:color="D1D2D4"/>
            </w:tcBorders>
          </w:tcPr>
          <w:p>
            <w:pPr>
              <w:spacing w:after="0"/>
              <w:rPr>
                <w:sz w:val="19"/>
                <w:szCs w:val="19"/>
                <w:color w:val="auto"/>
              </w:rPr>
            </w:pPr>
          </w:p>
        </w:tc>
        <w:tc>
          <w:tcPr>
            <w:tcW w:w="720" w:type="dxa"/>
            <w:vAlign w:val="bottom"/>
            <w:tcBorders>
              <w:bottom w:val="single" w:sz="8" w:color="D1D2D4"/>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RSU Awards</w:t>
            </w:r>
            <w:r>
              <w:rPr>
                <w:rFonts w:ascii="Arial" w:cs="Arial" w:eastAsia="Arial" w:hAnsi="Arial"/>
                <w:sz w:val="20"/>
                <w:szCs w:val="20"/>
                <w:color w:val="auto"/>
                <w:vertAlign w:val="superscript"/>
              </w:rPr>
              <w:t>(4)</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1,185,157</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1,185,157</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1,185,157</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2,864,722</w:t>
            </w:r>
          </w:p>
        </w:tc>
        <w:tc>
          <w:tcPr>
            <w:tcW w:w="0" w:type="dxa"/>
            <w:vAlign w:val="bottom"/>
          </w:tcPr>
          <w:p>
            <w:pPr>
              <w:spacing w:after="0"/>
              <w:rPr>
                <w:sz w:val="1"/>
                <w:szCs w:val="1"/>
                <w:color w:val="auto"/>
              </w:rPr>
            </w:pPr>
          </w:p>
        </w:tc>
      </w:tr>
      <w:tr>
        <w:trPr>
          <w:trHeight w:val="209"/>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CROCE Awards</w:t>
            </w:r>
            <w:r>
              <w:rPr>
                <w:rFonts w:ascii="Arial" w:cs="Arial" w:eastAsia="Arial" w:hAnsi="Arial"/>
                <w:sz w:val="20"/>
                <w:szCs w:val="20"/>
                <w:color w:val="auto"/>
                <w:vertAlign w:val="superscript"/>
              </w:rPr>
              <w:t>(5)</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4,551,281</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3,310,882</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3,310,882</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6,212,956</w:t>
            </w:r>
          </w:p>
        </w:tc>
        <w:tc>
          <w:tcPr>
            <w:tcW w:w="0" w:type="dxa"/>
            <w:vAlign w:val="bottom"/>
          </w:tcPr>
          <w:p>
            <w:pPr>
              <w:spacing w:after="0"/>
              <w:rPr>
                <w:sz w:val="1"/>
                <w:szCs w:val="1"/>
                <w:color w:val="auto"/>
              </w:rPr>
            </w:pPr>
          </w:p>
        </w:tc>
      </w:tr>
      <w:tr>
        <w:trPr>
          <w:trHeight w:val="210"/>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TSR Awards</w:t>
            </w:r>
            <w:r>
              <w:rPr>
                <w:rFonts w:ascii="Arial" w:cs="Arial" w:eastAsia="Arial" w:hAnsi="Arial"/>
                <w:sz w:val="20"/>
                <w:szCs w:val="20"/>
                <w:color w:val="auto"/>
                <w:vertAlign w:val="superscript"/>
              </w:rPr>
              <w:t>(6)</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3,144,083</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2,287,167</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2,287,167</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4,292,013</w:t>
            </w:r>
          </w:p>
        </w:tc>
        <w:tc>
          <w:tcPr>
            <w:tcW w:w="0" w:type="dxa"/>
            <w:vAlign w:val="bottom"/>
          </w:tcPr>
          <w:p>
            <w:pPr>
              <w:spacing w:after="0"/>
              <w:rPr>
                <w:sz w:val="1"/>
                <w:szCs w:val="1"/>
                <w:color w:val="auto"/>
              </w:rPr>
            </w:pPr>
          </w:p>
        </w:tc>
      </w:tr>
      <w:tr>
        <w:trPr>
          <w:trHeight w:val="209"/>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NQSOs</w:t>
            </w:r>
            <w:r>
              <w:rPr>
                <w:rFonts w:ascii="Arial" w:cs="Arial" w:eastAsia="Arial" w:hAnsi="Arial"/>
                <w:sz w:val="20"/>
                <w:szCs w:val="20"/>
                <w:color w:val="auto"/>
                <w:vertAlign w:val="superscript"/>
              </w:rPr>
              <w:t>(7)</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2,392,076</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4,077,239</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2,392,076</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4,077,239</w:t>
            </w:r>
          </w:p>
        </w:tc>
        <w:tc>
          <w:tcPr>
            <w:tcW w:w="0" w:type="dxa"/>
            <w:vAlign w:val="bottom"/>
          </w:tcPr>
          <w:p>
            <w:pPr>
              <w:spacing w:after="0"/>
              <w:rPr>
                <w:sz w:val="1"/>
                <w:szCs w:val="1"/>
                <w:color w:val="auto"/>
              </w:rPr>
            </w:pPr>
          </w:p>
        </w:tc>
      </w:tr>
      <w:tr>
        <w:trPr>
          <w:trHeight w:val="210"/>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Cash Severance</w:t>
            </w:r>
            <w:r>
              <w:rPr>
                <w:rFonts w:ascii="Arial" w:cs="Arial" w:eastAsia="Arial" w:hAnsi="Arial"/>
                <w:sz w:val="20"/>
                <w:szCs w:val="20"/>
                <w:color w:val="auto"/>
                <w:vertAlign w:val="superscript"/>
              </w:rPr>
              <w:t>(9)</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2,362,500</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3,150,000</w:t>
            </w:r>
          </w:p>
        </w:tc>
        <w:tc>
          <w:tcPr>
            <w:tcW w:w="0" w:type="dxa"/>
            <w:vAlign w:val="bottom"/>
          </w:tcPr>
          <w:p>
            <w:pPr>
              <w:spacing w:after="0"/>
              <w:rPr>
                <w:sz w:val="1"/>
                <w:szCs w:val="1"/>
                <w:color w:val="auto"/>
              </w:rPr>
            </w:pPr>
          </w:p>
        </w:tc>
      </w:tr>
      <w:tr>
        <w:trPr>
          <w:trHeight w:val="209"/>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Pro-Rata Bonus</w:t>
            </w:r>
            <w:r>
              <w:rPr>
                <w:rFonts w:ascii="Arial" w:cs="Arial" w:eastAsia="Arial" w:hAnsi="Arial"/>
                <w:sz w:val="20"/>
                <w:szCs w:val="20"/>
                <w:color w:val="auto"/>
                <w:vertAlign w:val="superscript"/>
              </w:rPr>
              <w:t>(9)</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1,402,500</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1,402,500</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825,000</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1,402,500</w:t>
            </w:r>
          </w:p>
        </w:tc>
        <w:tc>
          <w:tcPr>
            <w:tcW w:w="0" w:type="dxa"/>
            <w:vAlign w:val="bottom"/>
          </w:tcPr>
          <w:p>
            <w:pPr>
              <w:spacing w:after="0"/>
              <w:rPr>
                <w:sz w:val="1"/>
                <w:szCs w:val="1"/>
                <w:color w:val="auto"/>
              </w:rPr>
            </w:pPr>
          </w:p>
        </w:tc>
      </w:tr>
      <w:tr>
        <w:trPr>
          <w:trHeight w:val="209"/>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Health &amp; Welfare Benefits</w:t>
            </w:r>
            <w:r>
              <w:rPr>
                <w:rFonts w:ascii="Arial" w:cs="Arial" w:eastAsia="Arial" w:hAnsi="Arial"/>
                <w:sz w:val="20"/>
                <w:szCs w:val="20"/>
                <w:color w:val="auto"/>
                <w:vertAlign w:val="superscript"/>
              </w:rPr>
              <w:t>(9)</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19,708</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19,708</w:t>
            </w:r>
          </w:p>
        </w:tc>
        <w:tc>
          <w:tcPr>
            <w:tcW w:w="0" w:type="dxa"/>
            <w:vAlign w:val="bottom"/>
          </w:tcPr>
          <w:p>
            <w:pPr>
              <w:spacing w:after="0"/>
              <w:rPr>
                <w:sz w:val="1"/>
                <w:szCs w:val="1"/>
                <w:color w:val="auto"/>
              </w:rPr>
            </w:pPr>
          </w:p>
        </w:tc>
      </w:tr>
      <w:tr>
        <w:trPr>
          <w:trHeight w:val="210"/>
        </w:trPr>
        <w:tc>
          <w:tcPr>
            <w:tcW w:w="5660" w:type="dxa"/>
            <w:vAlign w:val="bottom"/>
          </w:tcPr>
          <w:p>
            <w:pPr>
              <w:ind w:left="40"/>
              <w:spacing w:after="0" w:line="209" w:lineRule="exact"/>
              <w:rPr>
                <w:sz w:val="20"/>
                <w:szCs w:val="20"/>
                <w:color w:val="auto"/>
              </w:rPr>
            </w:pPr>
            <w:r>
              <w:rPr>
                <w:rFonts w:ascii="Arial" w:cs="Arial" w:eastAsia="Arial" w:hAnsi="Arial"/>
                <w:sz w:val="13"/>
                <w:szCs w:val="13"/>
                <w:color w:val="auto"/>
              </w:rPr>
              <w:t>Outplacement</w:t>
            </w:r>
            <w:r>
              <w:rPr>
                <w:rFonts w:ascii="Arial" w:cs="Arial" w:eastAsia="Arial" w:hAnsi="Arial"/>
                <w:sz w:val="20"/>
                <w:szCs w:val="20"/>
                <w:color w:val="auto"/>
                <w:vertAlign w:val="superscript"/>
              </w:rPr>
              <w:t>(9)</w:t>
            </w:r>
          </w:p>
        </w:tc>
        <w:tc>
          <w:tcPr>
            <w:tcW w:w="3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ind w:right="1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30,000</w:t>
            </w:r>
          </w:p>
        </w:tc>
        <w:tc>
          <w:tcPr>
            <w:tcW w:w="920" w:type="dxa"/>
            <w:vAlign w:val="bottom"/>
            <w:tcBorders>
              <w:bottom w:val="single" w:sz="8" w:color="D1D2D4"/>
            </w:tcBorders>
          </w:tcPr>
          <w:p>
            <w:pPr>
              <w:jc w:val="right"/>
              <w:ind w:right="97"/>
              <w:spacing w:after="0"/>
              <w:rPr>
                <w:sz w:val="20"/>
                <w:szCs w:val="20"/>
                <w:color w:val="auto"/>
              </w:rPr>
            </w:pPr>
            <w:r>
              <w:rPr>
                <w:rFonts w:ascii="Arial" w:cs="Arial" w:eastAsia="Arial" w:hAnsi="Arial"/>
                <w:sz w:val="13"/>
                <w:szCs w:val="13"/>
                <w:color w:val="auto"/>
              </w:rPr>
              <w:t>$ —</w:t>
            </w:r>
          </w:p>
        </w:tc>
        <w:tc>
          <w:tcPr>
            <w:tcW w:w="380" w:type="dxa"/>
            <w:vAlign w:val="bottom"/>
            <w:tcBorders>
              <w:bottom w:val="single" w:sz="8" w:color="D1D2D4"/>
            </w:tcBorders>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D1D2D4"/>
            </w:tcBorders>
          </w:tcPr>
          <w:p>
            <w:pPr>
              <w:jc w:val="right"/>
              <w:ind w:right="17"/>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00519B"/>
            </w:tcBorders>
          </w:tcPr>
          <w:p>
            <w:pPr>
              <w:ind w:left="40"/>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00519B"/>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00519B"/>
            </w:tcBorders>
          </w:tcPr>
          <w:p>
            <w:pPr>
              <w:jc w:val="right"/>
              <w:ind w:right="177"/>
              <w:spacing w:after="0"/>
              <w:rPr>
                <w:sz w:val="20"/>
                <w:szCs w:val="20"/>
                <w:color w:val="auto"/>
              </w:rPr>
            </w:pPr>
            <w:r>
              <w:rPr>
                <w:rFonts w:ascii="Arial" w:cs="Arial" w:eastAsia="Arial" w:hAnsi="Arial"/>
                <w:sz w:val="13"/>
                <w:szCs w:val="13"/>
                <w:b w:val="1"/>
                <w:bCs w:val="1"/>
                <w:color w:val="auto"/>
                <w:w w:val="92"/>
              </w:rPr>
              <w:t>12,675,097</w:t>
            </w:r>
          </w:p>
        </w:tc>
        <w:tc>
          <w:tcPr>
            <w:tcW w:w="280" w:type="dxa"/>
            <w:vAlign w:val="bottom"/>
            <w:tcBorders>
              <w:bottom w:val="single" w:sz="8" w:color="00519B"/>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00519B"/>
            </w:tcBorders>
          </w:tcPr>
          <w:p>
            <w:pPr>
              <w:jc w:val="right"/>
              <w:ind w:right="97"/>
              <w:spacing w:after="0"/>
              <w:rPr>
                <w:sz w:val="20"/>
                <w:szCs w:val="20"/>
                <w:color w:val="auto"/>
              </w:rPr>
            </w:pPr>
            <w:r>
              <w:rPr>
                <w:rFonts w:ascii="Arial" w:cs="Arial" w:eastAsia="Arial" w:hAnsi="Arial"/>
                <w:sz w:val="13"/>
                <w:szCs w:val="13"/>
                <w:b w:val="1"/>
                <w:bCs w:val="1"/>
                <w:color w:val="auto"/>
                <w:w w:val="95"/>
              </w:rPr>
              <w:t>12,262,945</w:t>
            </w:r>
          </w:p>
        </w:tc>
        <w:tc>
          <w:tcPr>
            <w:tcW w:w="500" w:type="dxa"/>
            <w:vAlign w:val="bottom"/>
            <w:tcBorders>
              <w:bottom w:val="single" w:sz="8" w:color="00519B"/>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00519B"/>
            </w:tcBorders>
          </w:tcPr>
          <w:p>
            <w:pPr>
              <w:jc w:val="right"/>
              <w:ind w:right="97"/>
              <w:spacing w:after="0"/>
              <w:rPr>
                <w:sz w:val="20"/>
                <w:szCs w:val="20"/>
                <w:color w:val="auto"/>
              </w:rPr>
            </w:pPr>
            <w:r>
              <w:rPr>
                <w:rFonts w:ascii="Arial" w:cs="Arial" w:eastAsia="Arial" w:hAnsi="Arial"/>
                <w:sz w:val="13"/>
                <w:szCs w:val="13"/>
                <w:b w:val="1"/>
                <w:bCs w:val="1"/>
                <w:color w:val="auto"/>
                <w:w w:val="95"/>
              </w:rPr>
              <w:t>12,412,490</w:t>
            </w:r>
          </w:p>
        </w:tc>
        <w:tc>
          <w:tcPr>
            <w:tcW w:w="920" w:type="dxa"/>
            <w:vAlign w:val="bottom"/>
            <w:tcBorders>
              <w:bottom w:val="single" w:sz="8" w:color="00519B"/>
            </w:tcBorders>
          </w:tcPr>
          <w:p>
            <w:pPr>
              <w:jc w:val="right"/>
              <w:ind w:right="97"/>
              <w:spacing w:after="0"/>
              <w:rPr>
                <w:sz w:val="20"/>
                <w:szCs w:val="20"/>
                <w:color w:val="auto"/>
              </w:rPr>
            </w:pPr>
            <w:r>
              <w:rPr>
                <w:rFonts w:ascii="Arial" w:cs="Arial" w:eastAsia="Arial" w:hAnsi="Arial"/>
                <w:sz w:val="13"/>
                <w:szCs w:val="13"/>
                <w:b w:val="1"/>
                <w:bCs w:val="1"/>
                <w:color w:val="auto"/>
              </w:rPr>
              <w:t>$ —</w:t>
            </w:r>
          </w:p>
        </w:tc>
        <w:tc>
          <w:tcPr>
            <w:tcW w:w="380" w:type="dxa"/>
            <w:vAlign w:val="bottom"/>
            <w:tcBorders>
              <w:bottom w:val="single" w:sz="8" w:color="00519B"/>
            </w:tcBorders>
          </w:tcPr>
          <w:p>
            <w:pPr>
              <w:ind w:left="32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519B"/>
            </w:tcBorders>
          </w:tcPr>
          <w:p>
            <w:pPr>
              <w:jc w:val="right"/>
              <w:ind w:right="17"/>
              <w:spacing w:after="0"/>
              <w:rPr>
                <w:sz w:val="20"/>
                <w:szCs w:val="20"/>
                <w:color w:val="auto"/>
              </w:rPr>
            </w:pPr>
            <w:r>
              <w:rPr>
                <w:rFonts w:ascii="Arial" w:cs="Arial" w:eastAsia="Arial" w:hAnsi="Arial"/>
                <w:sz w:val="13"/>
                <w:szCs w:val="13"/>
                <w:b w:val="1"/>
                <w:bCs w:val="1"/>
                <w:color w:val="auto"/>
                <w:w w:val="95"/>
              </w:rPr>
              <w:t>22,049,138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right="500" w:hanging="292"/>
        <w:spacing w:after="0" w:line="243" w:lineRule="auto"/>
        <w:tabs>
          <w:tab w:leader="none" w:pos="300" w:val="left"/>
        </w:tabs>
        <w:numPr>
          <w:ilvl w:val="0"/>
          <w:numId w:val="73"/>
        </w:numPr>
        <w:rPr>
          <w:rFonts w:ascii="Arial" w:cs="Arial" w:eastAsia="Arial" w:hAnsi="Arial"/>
          <w:sz w:val="10"/>
          <w:szCs w:val="10"/>
          <w:color w:val="auto"/>
        </w:rPr>
      </w:pPr>
      <w:r>
        <w:rPr>
          <w:rFonts w:ascii="Arial" w:cs="Arial" w:eastAsia="Arial" w:hAnsi="Arial"/>
          <w:sz w:val="13"/>
          <w:szCs w:val="13"/>
          <w:color w:val="auto"/>
        </w:rPr>
        <w:t>The treatment of outstanding equity awards in connection with each termination scenario specified in this table is summarized in the chart below, without taking into account the effect of the Retirement Policy, which applied to the NEOs beginning in February 2023:</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3"/>
                <w:szCs w:val="13"/>
                <w:b w:val="1"/>
                <w:bCs w:val="1"/>
                <w:color w:val="00519B"/>
              </w:rPr>
              <w:t>Change in</w:t>
            </w: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2860" w:type="dxa"/>
            <w:vAlign w:val="bottom"/>
          </w:tcPr>
          <w:p>
            <w:pPr>
              <w:ind w:left="980"/>
              <w:spacing w:after="0"/>
              <w:rPr>
                <w:sz w:val="20"/>
                <w:szCs w:val="20"/>
                <w:color w:val="auto"/>
              </w:rPr>
            </w:pPr>
            <w:r>
              <w:rPr>
                <w:rFonts w:ascii="Arial" w:cs="Arial" w:eastAsia="Arial" w:hAnsi="Arial"/>
                <w:sz w:val="13"/>
                <w:szCs w:val="13"/>
                <w:b w:val="1"/>
                <w:bCs w:val="1"/>
                <w:color w:val="00519B"/>
              </w:rPr>
              <w:t>Retirement</w:t>
            </w:r>
          </w:p>
        </w:tc>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00519B"/>
              </w:rPr>
              <w:t>Death or</w:t>
            </w:r>
          </w:p>
        </w:tc>
        <w:tc>
          <w:tcPr>
            <w:tcW w:w="1980" w:type="dxa"/>
            <w:vAlign w:val="bottom"/>
          </w:tcPr>
          <w:p>
            <w:pPr>
              <w:ind w:left="80"/>
              <w:spacing w:after="0"/>
              <w:rPr>
                <w:sz w:val="20"/>
                <w:szCs w:val="20"/>
                <w:color w:val="auto"/>
              </w:rPr>
            </w:pPr>
            <w:r>
              <w:rPr>
                <w:rFonts w:ascii="Arial" w:cs="Arial" w:eastAsia="Arial" w:hAnsi="Arial"/>
                <w:sz w:val="13"/>
                <w:szCs w:val="13"/>
                <w:b w:val="1"/>
                <w:bCs w:val="1"/>
                <w:color w:val="00519B"/>
              </w:rPr>
              <w:t>Involuntary</w:t>
            </w:r>
          </w:p>
        </w:tc>
        <w:tc>
          <w:tcPr>
            <w:tcW w:w="1060" w:type="dxa"/>
            <w:vAlign w:val="bottom"/>
            <w:vMerge w:val="restart"/>
          </w:tcPr>
          <w:p>
            <w:pPr>
              <w:ind w:left="80"/>
              <w:spacing w:after="0"/>
              <w:rPr>
                <w:sz w:val="20"/>
                <w:szCs w:val="20"/>
                <w:color w:val="auto"/>
              </w:rPr>
            </w:pPr>
            <w:r>
              <w:rPr>
                <w:rFonts w:ascii="Arial" w:cs="Arial" w:eastAsia="Arial" w:hAnsi="Arial"/>
                <w:sz w:val="13"/>
                <w:szCs w:val="13"/>
                <w:b w:val="1"/>
                <w:bCs w:val="1"/>
                <w:color w:val="00519B"/>
              </w:rPr>
              <w:t>Change in</w:t>
            </w:r>
          </w:p>
        </w:tc>
        <w:tc>
          <w:tcPr>
            <w:tcW w:w="1200" w:type="dxa"/>
            <w:vAlign w:val="bottom"/>
          </w:tcPr>
          <w:p>
            <w:pPr>
              <w:ind w:left="80"/>
              <w:spacing w:after="0"/>
              <w:rPr>
                <w:sz w:val="20"/>
                <w:szCs w:val="20"/>
                <w:color w:val="auto"/>
              </w:rPr>
            </w:pPr>
            <w:r>
              <w:rPr>
                <w:rFonts w:ascii="Arial" w:cs="Arial" w:eastAsia="Arial" w:hAnsi="Arial"/>
                <w:sz w:val="13"/>
                <w:szCs w:val="13"/>
                <w:b w:val="1"/>
                <w:bCs w:val="1"/>
                <w:color w:val="00519B"/>
              </w:rPr>
              <w:t>Control and</w:t>
            </w:r>
          </w:p>
        </w:tc>
        <w:tc>
          <w:tcPr>
            <w:tcW w:w="0" w:type="dxa"/>
            <w:vAlign w:val="bottom"/>
          </w:tcPr>
          <w:p>
            <w:pPr>
              <w:spacing w:after="0"/>
              <w:rPr>
                <w:sz w:val="1"/>
                <w:szCs w:val="1"/>
                <w:color w:val="auto"/>
              </w:rPr>
            </w:pPr>
          </w:p>
        </w:tc>
      </w:tr>
      <w:tr>
        <w:trPr>
          <w:trHeight w:val="135"/>
        </w:trPr>
        <w:tc>
          <w:tcPr>
            <w:tcW w:w="1880" w:type="dxa"/>
            <w:vAlign w:val="bottom"/>
            <w:vMerge w:val="restart"/>
          </w:tcPr>
          <w:p>
            <w:pPr>
              <w:ind w:left="40"/>
              <w:spacing w:after="0"/>
              <w:rPr>
                <w:sz w:val="20"/>
                <w:szCs w:val="20"/>
                <w:color w:val="auto"/>
              </w:rPr>
            </w:pPr>
            <w:r>
              <w:rPr>
                <w:rFonts w:ascii="Arial" w:cs="Arial" w:eastAsia="Arial" w:hAnsi="Arial"/>
                <w:sz w:val="13"/>
                <w:szCs w:val="13"/>
                <w:b w:val="1"/>
                <w:bCs w:val="1"/>
                <w:color w:val="00519B"/>
              </w:rPr>
              <w:t>Type of Award</w:t>
            </w:r>
          </w:p>
        </w:tc>
        <w:tc>
          <w:tcPr>
            <w:tcW w:w="2860" w:type="dxa"/>
            <w:vAlign w:val="bottom"/>
          </w:tcPr>
          <w:p>
            <w:pPr>
              <w:ind w:left="980"/>
              <w:spacing w:after="0" w:line="135" w:lineRule="exact"/>
              <w:rPr>
                <w:sz w:val="20"/>
                <w:szCs w:val="20"/>
                <w:color w:val="auto"/>
              </w:rPr>
            </w:pPr>
            <w:r>
              <w:rPr>
                <w:rFonts w:ascii="Arial" w:cs="Arial" w:eastAsia="Arial" w:hAnsi="Arial"/>
                <w:sz w:val="13"/>
                <w:szCs w:val="13"/>
                <w:b w:val="1"/>
                <w:bCs w:val="1"/>
                <w:color w:val="00519B"/>
              </w:rPr>
              <w:t>with Occidental</w:t>
            </w:r>
          </w:p>
        </w:tc>
        <w:tc>
          <w:tcPr>
            <w:tcW w:w="2000" w:type="dxa"/>
            <w:vAlign w:val="bottom"/>
            <w:vMerge w:val="continue"/>
          </w:tcPr>
          <w:p>
            <w:pPr>
              <w:spacing w:after="0"/>
              <w:rPr>
                <w:sz w:val="11"/>
                <w:szCs w:val="11"/>
                <w:color w:val="auto"/>
              </w:rPr>
            </w:pPr>
          </w:p>
        </w:tc>
        <w:tc>
          <w:tcPr>
            <w:tcW w:w="1980" w:type="dxa"/>
            <w:vAlign w:val="bottom"/>
          </w:tcPr>
          <w:p>
            <w:pPr>
              <w:ind w:left="80"/>
              <w:spacing w:after="0" w:line="135" w:lineRule="exact"/>
              <w:rPr>
                <w:sz w:val="20"/>
                <w:szCs w:val="20"/>
                <w:color w:val="auto"/>
              </w:rPr>
            </w:pPr>
            <w:r>
              <w:rPr>
                <w:rFonts w:ascii="Arial" w:cs="Arial" w:eastAsia="Arial" w:hAnsi="Arial"/>
                <w:sz w:val="13"/>
                <w:szCs w:val="13"/>
                <w:b w:val="1"/>
                <w:bCs w:val="1"/>
                <w:color w:val="00519B"/>
              </w:rPr>
              <w:t>Termination</w:t>
            </w:r>
          </w:p>
        </w:tc>
        <w:tc>
          <w:tcPr>
            <w:tcW w:w="1060" w:type="dxa"/>
            <w:vAlign w:val="bottom"/>
            <w:vMerge w:val="continue"/>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3"/>
                <w:szCs w:val="13"/>
                <w:b w:val="1"/>
                <w:bCs w:val="1"/>
                <w:color w:val="00519B"/>
              </w:rPr>
              <w:t>Qualifying</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519B"/>
            </w:tcBorders>
            <w:vMerge w:val="continue"/>
          </w:tcPr>
          <w:p>
            <w:pPr>
              <w:spacing w:after="0"/>
              <w:rPr>
                <w:sz w:val="17"/>
                <w:szCs w:val="17"/>
                <w:color w:val="auto"/>
              </w:rPr>
            </w:pPr>
          </w:p>
        </w:tc>
        <w:tc>
          <w:tcPr>
            <w:tcW w:w="2860" w:type="dxa"/>
            <w:vAlign w:val="bottom"/>
            <w:tcBorders>
              <w:bottom w:val="single" w:sz="8" w:color="00519B"/>
            </w:tcBorders>
          </w:tcPr>
          <w:p>
            <w:pPr>
              <w:ind w:left="980"/>
              <w:spacing w:after="0"/>
              <w:rPr>
                <w:sz w:val="20"/>
                <w:szCs w:val="20"/>
                <w:color w:val="auto"/>
              </w:rPr>
            </w:pPr>
            <w:r>
              <w:rPr>
                <w:rFonts w:ascii="Arial" w:cs="Arial" w:eastAsia="Arial" w:hAnsi="Arial"/>
                <w:sz w:val="13"/>
                <w:szCs w:val="13"/>
                <w:b w:val="1"/>
                <w:bCs w:val="1"/>
                <w:color w:val="00519B"/>
              </w:rPr>
              <w:t>Consent</w:t>
            </w:r>
          </w:p>
        </w:tc>
        <w:tc>
          <w:tcPr>
            <w:tcW w:w="2000" w:type="dxa"/>
            <w:vAlign w:val="bottom"/>
            <w:tcBorders>
              <w:bottom w:val="single" w:sz="8" w:color="00519B"/>
            </w:tcBorders>
          </w:tcPr>
          <w:p>
            <w:pPr>
              <w:ind w:left="100"/>
              <w:spacing w:after="0"/>
              <w:rPr>
                <w:sz w:val="20"/>
                <w:szCs w:val="20"/>
                <w:color w:val="auto"/>
              </w:rPr>
            </w:pPr>
            <w:r>
              <w:rPr>
                <w:rFonts w:ascii="Arial" w:cs="Arial" w:eastAsia="Arial" w:hAnsi="Arial"/>
                <w:sz w:val="13"/>
                <w:szCs w:val="13"/>
                <w:b w:val="1"/>
                <w:bCs w:val="1"/>
                <w:color w:val="00519B"/>
              </w:rPr>
              <w:t>Disability</w:t>
            </w:r>
          </w:p>
        </w:tc>
        <w:tc>
          <w:tcPr>
            <w:tcW w:w="1980" w:type="dxa"/>
            <w:vAlign w:val="bottom"/>
            <w:tcBorders>
              <w:bottom w:val="single" w:sz="8" w:color="00519B"/>
            </w:tcBorders>
          </w:tcPr>
          <w:p>
            <w:pPr>
              <w:ind w:left="80"/>
              <w:spacing w:after="0" w:line="189" w:lineRule="exact"/>
              <w:rPr>
                <w:sz w:val="20"/>
                <w:szCs w:val="20"/>
                <w:color w:val="auto"/>
              </w:rPr>
            </w:pPr>
            <w:r>
              <w:rPr>
                <w:rFonts w:ascii="Arial" w:cs="Arial" w:eastAsia="Arial" w:hAnsi="Arial"/>
                <w:sz w:val="13"/>
                <w:szCs w:val="13"/>
                <w:b w:val="1"/>
                <w:bCs w:val="1"/>
                <w:color w:val="00519B"/>
              </w:rPr>
              <w:t>without Cause</w:t>
            </w:r>
            <w:r>
              <w:rPr>
                <w:rFonts w:ascii="Arial" w:cs="Arial" w:eastAsia="Arial" w:hAnsi="Arial"/>
                <w:sz w:val="20"/>
                <w:szCs w:val="20"/>
                <w:b w:val="1"/>
                <w:bCs w:val="1"/>
                <w:color w:val="00519B"/>
                <w:vertAlign w:val="superscript"/>
              </w:rPr>
              <w:t>(2)</w:t>
            </w:r>
          </w:p>
        </w:tc>
        <w:tc>
          <w:tcPr>
            <w:tcW w:w="1060" w:type="dxa"/>
            <w:vAlign w:val="bottom"/>
            <w:tcBorders>
              <w:bottom w:val="single" w:sz="8" w:color="00519B"/>
            </w:tcBorders>
          </w:tcPr>
          <w:p>
            <w:pPr>
              <w:ind w:left="80"/>
              <w:spacing w:after="0"/>
              <w:rPr>
                <w:sz w:val="20"/>
                <w:szCs w:val="20"/>
                <w:color w:val="auto"/>
              </w:rPr>
            </w:pPr>
            <w:r>
              <w:rPr>
                <w:rFonts w:ascii="Arial" w:cs="Arial" w:eastAsia="Arial" w:hAnsi="Arial"/>
                <w:sz w:val="13"/>
                <w:szCs w:val="13"/>
                <w:b w:val="1"/>
                <w:bCs w:val="1"/>
                <w:color w:val="00519B"/>
              </w:rPr>
              <w:t>Control</w:t>
            </w:r>
          </w:p>
        </w:tc>
        <w:tc>
          <w:tcPr>
            <w:tcW w:w="1200" w:type="dxa"/>
            <w:vAlign w:val="bottom"/>
            <w:tcBorders>
              <w:bottom w:val="single" w:sz="8" w:color="00519B"/>
            </w:tcBorders>
          </w:tcPr>
          <w:p>
            <w:pPr>
              <w:ind w:left="80"/>
              <w:spacing w:after="0" w:line="189" w:lineRule="exact"/>
              <w:rPr>
                <w:sz w:val="20"/>
                <w:szCs w:val="20"/>
                <w:color w:val="auto"/>
              </w:rPr>
            </w:pPr>
            <w:r>
              <w:rPr>
                <w:rFonts w:ascii="Arial" w:cs="Arial" w:eastAsia="Arial" w:hAnsi="Arial"/>
                <w:sz w:val="13"/>
                <w:szCs w:val="13"/>
                <w:b w:val="1"/>
                <w:bCs w:val="1"/>
                <w:color w:val="00519B"/>
              </w:rPr>
              <w:t>Termination</w:t>
            </w:r>
            <w:r>
              <w:rPr>
                <w:rFonts w:ascii="Arial" w:cs="Arial" w:eastAsia="Arial" w:hAnsi="Arial"/>
                <w:sz w:val="20"/>
                <w:szCs w:val="20"/>
                <w:b w:val="1"/>
                <w:bCs w:val="1"/>
                <w:color w:val="00519B"/>
                <w:vertAlign w:val="superscript"/>
              </w:rPr>
              <w:t>(3)</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D1D2D4"/>
            </w:tcBorders>
          </w:tcPr>
          <w:p>
            <w:pPr>
              <w:ind w:left="40"/>
              <w:spacing w:after="0"/>
              <w:rPr>
                <w:sz w:val="20"/>
                <w:szCs w:val="20"/>
                <w:color w:val="auto"/>
              </w:rPr>
            </w:pPr>
            <w:r>
              <w:rPr>
                <w:rFonts w:ascii="Arial" w:cs="Arial" w:eastAsia="Arial" w:hAnsi="Arial"/>
                <w:sz w:val="13"/>
                <w:szCs w:val="13"/>
                <w:b w:val="1"/>
                <w:bCs w:val="1"/>
                <w:color w:val="00519B"/>
              </w:rPr>
              <w:t>RSU</w:t>
            </w:r>
          </w:p>
        </w:tc>
        <w:tc>
          <w:tcPr>
            <w:tcW w:w="2860" w:type="dxa"/>
            <w:vAlign w:val="bottom"/>
            <w:tcBorders>
              <w:bottom w:val="single" w:sz="8" w:color="D1D2D4"/>
            </w:tcBorders>
          </w:tcPr>
          <w:p>
            <w:pPr>
              <w:ind w:left="980"/>
              <w:spacing w:after="0"/>
              <w:rPr>
                <w:sz w:val="20"/>
                <w:szCs w:val="20"/>
                <w:color w:val="auto"/>
              </w:rPr>
            </w:pPr>
            <w:r>
              <w:rPr>
                <w:rFonts w:ascii="Arial" w:cs="Arial" w:eastAsia="Arial" w:hAnsi="Arial"/>
                <w:sz w:val="13"/>
                <w:szCs w:val="13"/>
                <w:color w:val="auto"/>
                <w:w w:val="99"/>
              </w:rPr>
              <w:t>Award vests on a pro-rata basis.</w:t>
            </w:r>
          </w:p>
        </w:tc>
        <w:tc>
          <w:tcPr>
            <w:tcW w:w="2000" w:type="dxa"/>
            <w:vAlign w:val="bottom"/>
            <w:tcBorders>
              <w:bottom w:val="single" w:sz="8" w:color="D1D2D4"/>
            </w:tcBorders>
          </w:tcPr>
          <w:p>
            <w:pPr>
              <w:ind w:left="100"/>
              <w:spacing w:after="0"/>
              <w:rPr>
                <w:sz w:val="20"/>
                <w:szCs w:val="20"/>
                <w:color w:val="auto"/>
              </w:rPr>
            </w:pPr>
            <w:r>
              <w:rPr>
                <w:rFonts w:ascii="Arial" w:cs="Arial" w:eastAsia="Arial" w:hAnsi="Arial"/>
                <w:sz w:val="13"/>
                <w:szCs w:val="13"/>
                <w:color w:val="auto"/>
              </w:rPr>
              <w:t>Award vests on a pro-rata basis.</w:t>
            </w:r>
          </w:p>
        </w:tc>
        <w:tc>
          <w:tcPr>
            <w:tcW w:w="1980" w:type="dxa"/>
            <w:vAlign w:val="bottom"/>
            <w:tcBorders>
              <w:bottom w:val="single" w:sz="8" w:color="D1D2D4"/>
            </w:tcBorders>
          </w:tcPr>
          <w:p>
            <w:pPr>
              <w:ind w:left="80"/>
              <w:spacing w:after="0"/>
              <w:rPr>
                <w:sz w:val="20"/>
                <w:szCs w:val="20"/>
                <w:color w:val="auto"/>
              </w:rPr>
            </w:pPr>
            <w:r>
              <w:rPr>
                <w:rFonts w:ascii="Arial" w:cs="Arial" w:eastAsia="Arial" w:hAnsi="Arial"/>
                <w:sz w:val="13"/>
                <w:szCs w:val="13"/>
                <w:color w:val="auto"/>
              </w:rPr>
              <w:t>Award vests on a pro-rata basis.</w:t>
            </w:r>
          </w:p>
        </w:tc>
        <w:tc>
          <w:tcPr>
            <w:tcW w:w="1060" w:type="dxa"/>
            <w:vAlign w:val="bottom"/>
            <w:tcBorders>
              <w:bottom w:val="single" w:sz="8" w:color="D1D2D4"/>
            </w:tcBorders>
          </w:tcPr>
          <w:p>
            <w:pPr>
              <w:ind w:left="80"/>
              <w:spacing w:after="0"/>
              <w:rPr>
                <w:sz w:val="20"/>
                <w:szCs w:val="20"/>
                <w:color w:val="auto"/>
              </w:rPr>
            </w:pPr>
            <w:r>
              <w:rPr>
                <w:rFonts w:ascii="Arial" w:cs="Arial" w:eastAsia="Arial" w:hAnsi="Arial"/>
                <w:sz w:val="13"/>
                <w:szCs w:val="13"/>
                <w:color w:val="auto"/>
              </w:rPr>
              <w:t>No effect.</w:t>
            </w:r>
          </w:p>
        </w:tc>
        <w:tc>
          <w:tcPr>
            <w:tcW w:w="1200" w:type="dxa"/>
            <w:vAlign w:val="bottom"/>
            <w:tcBorders>
              <w:bottom w:val="single" w:sz="8" w:color="D1D2D4"/>
            </w:tcBorders>
          </w:tcPr>
          <w:p>
            <w:pPr>
              <w:ind w:left="80"/>
              <w:spacing w:after="0"/>
              <w:rPr>
                <w:sz w:val="20"/>
                <w:szCs w:val="20"/>
                <w:color w:val="auto"/>
              </w:rPr>
            </w:pPr>
            <w:r>
              <w:rPr>
                <w:rFonts w:ascii="Arial" w:cs="Arial" w:eastAsia="Arial" w:hAnsi="Arial"/>
                <w:sz w:val="13"/>
                <w:szCs w:val="13"/>
                <w:color w:val="auto"/>
              </w:rPr>
              <w:t>Award vests in full.</w:t>
            </w:r>
          </w:p>
        </w:tc>
        <w:tc>
          <w:tcPr>
            <w:tcW w:w="0" w:type="dxa"/>
            <w:vAlign w:val="bottom"/>
          </w:tcPr>
          <w:p>
            <w:pPr>
              <w:spacing w:after="0"/>
              <w:rPr>
                <w:sz w:val="1"/>
                <w:szCs w:val="1"/>
                <w:color w:val="auto"/>
              </w:rPr>
            </w:pPr>
          </w:p>
        </w:tc>
      </w:tr>
      <w:tr>
        <w:trPr>
          <w:trHeight w:val="142"/>
        </w:trPr>
        <w:tc>
          <w:tcPr>
            <w:tcW w:w="1880" w:type="dxa"/>
            <w:vAlign w:val="bottom"/>
          </w:tcPr>
          <w:p>
            <w:pPr>
              <w:ind w:left="40"/>
              <w:spacing w:after="0" w:line="142" w:lineRule="exact"/>
              <w:rPr>
                <w:sz w:val="20"/>
                <w:szCs w:val="20"/>
                <w:color w:val="auto"/>
              </w:rPr>
            </w:pPr>
            <w:r>
              <w:rPr>
                <w:rFonts w:ascii="Arial" w:cs="Arial" w:eastAsia="Arial" w:hAnsi="Arial"/>
                <w:sz w:val="13"/>
                <w:szCs w:val="13"/>
                <w:b w:val="1"/>
                <w:bCs w:val="1"/>
                <w:color w:val="00519B"/>
              </w:rPr>
              <w:t>CROCE, TSR</w:t>
            </w:r>
          </w:p>
        </w:tc>
        <w:tc>
          <w:tcPr>
            <w:tcW w:w="2860" w:type="dxa"/>
            <w:vAlign w:val="bottom"/>
          </w:tcPr>
          <w:p>
            <w:pPr>
              <w:ind w:left="980"/>
              <w:spacing w:after="0" w:line="142" w:lineRule="exact"/>
              <w:rPr>
                <w:sz w:val="20"/>
                <w:szCs w:val="20"/>
                <w:color w:val="auto"/>
              </w:rPr>
            </w:pPr>
            <w:r>
              <w:rPr>
                <w:rFonts w:ascii="Arial" w:cs="Arial" w:eastAsia="Arial" w:hAnsi="Arial"/>
                <w:sz w:val="13"/>
                <w:szCs w:val="13"/>
                <w:color w:val="auto"/>
                <w:w w:val="99"/>
              </w:rPr>
              <w:t>Award vests on a pro-rata basis,</w:t>
            </w:r>
          </w:p>
        </w:tc>
        <w:tc>
          <w:tcPr>
            <w:tcW w:w="2000" w:type="dxa"/>
            <w:vAlign w:val="bottom"/>
          </w:tcPr>
          <w:p>
            <w:pPr>
              <w:ind w:left="100"/>
              <w:spacing w:after="0" w:line="142" w:lineRule="exact"/>
              <w:rPr>
                <w:sz w:val="20"/>
                <w:szCs w:val="20"/>
                <w:color w:val="auto"/>
              </w:rPr>
            </w:pPr>
            <w:r>
              <w:rPr>
                <w:rFonts w:ascii="Arial" w:cs="Arial" w:eastAsia="Arial" w:hAnsi="Arial"/>
                <w:sz w:val="13"/>
                <w:szCs w:val="13"/>
                <w:color w:val="auto"/>
              </w:rPr>
              <w:t>Award vests on a pro-rata basis,</w:t>
            </w:r>
          </w:p>
        </w:tc>
        <w:tc>
          <w:tcPr>
            <w:tcW w:w="1980" w:type="dxa"/>
            <w:vAlign w:val="bottom"/>
          </w:tcPr>
          <w:p>
            <w:pPr>
              <w:ind w:left="80"/>
              <w:spacing w:after="0" w:line="142" w:lineRule="exact"/>
              <w:rPr>
                <w:sz w:val="20"/>
                <w:szCs w:val="20"/>
                <w:color w:val="auto"/>
              </w:rPr>
            </w:pPr>
            <w:r>
              <w:rPr>
                <w:rFonts w:ascii="Arial" w:cs="Arial" w:eastAsia="Arial" w:hAnsi="Arial"/>
                <w:sz w:val="13"/>
                <w:szCs w:val="13"/>
                <w:color w:val="auto"/>
              </w:rPr>
              <w:t>Award vests on a pro-rata basis,</w:t>
            </w:r>
          </w:p>
        </w:tc>
        <w:tc>
          <w:tcPr>
            <w:tcW w:w="1060" w:type="dxa"/>
            <w:vAlign w:val="bottom"/>
          </w:tcPr>
          <w:p>
            <w:pPr>
              <w:ind w:left="80"/>
              <w:spacing w:after="0" w:line="142" w:lineRule="exact"/>
              <w:rPr>
                <w:sz w:val="20"/>
                <w:szCs w:val="20"/>
                <w:color w:val="auto"/>
              </w:rPr>
            </w:pPr>
            <w:r>
              <w:rPr>
                <w:rFonts w:ascii="Arial" w:cs="Arial" w:eastAsia="Arial" w:hAnsi="Arial"/>
                <w:sz w:val="13"/>
                <w:szCs w:val="13"/>
                <w:color w:val="auto"/>
              </w:rPr>
              <w:t>Award is</w:t>
            </w:r>
          </w:p>
        </w:tc>
        <w:tc>
          <w:tcPr>
            <w:tcW w:w="1200" w:type="dxa"/>
            <w:vAlign w:val="bottom"/>
          </w:tcPr>
          <w:p>
            <w:pPr>
              <w:ind w:left="80"/>
              <w:spacing w:after="0" w:line="142" w:lineRule="exact"/>
              <w:rPr>
                <w:sz w:val="20"/>
                <w:szCs w:val="20"/>
                <w:color w:val="auto"/>
              </w:rPr>
            </w:pPr>
            <w:r>
              <w:rPr>
                <w:rFonts w:ascii="Arial" w:cs="Arial" w:eastAsia="Arial" w:hAnsi="Arial"/>
                <w:sz w:val="13"/>
                <w:szCs w:val="13"/>
                <w:color w:val="auto"/>
              </w:rPr>
              <w:t>Award vests at</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860" w:type="dxa"/>
            <w:vAlign w:val="bottom"/>
          </w:tcPr>
          <w:p>
            <w:pPr>
              <w:ind w:left="980"/>
              <w:spacing w:after="0" w:line="135" w:lineRule="exact"/>
              <w:rPr>
                <w:sz w:val="20"/>
                <w:szCs w:val="20"/>
                <w:color w:val="auto"/>
              </w:rPr>
            </w:pPr>
            <w:r>
              <w:rPr>
                <w:rFonts w:ascii="Arial" w:cs="Arial" w:eastAsia="Arial" w:hAnsi="Arial"/>
                <w:sz w:val="13"/>
                <w:szCs w:val="13"/>
                <w:color w:val="auto"/>
              </w:rPr>
              <w:t>subject to actual performance; if</w:t>
            </w:r>
          </w:p>
        </w:tc>
        <w:tc>
          <w:tcPr>
            <w:tcW w:w="2000" w:type="dxa"/>
            <w:vAlign w:val="bottom"/>
          </w:tcPr>
          <w:p>
            <w:pPr>
              <w:ind w:left="100"/>
              <w:spacing w:after="0" w:line="135" w:lineRule="exact"/>
              <w:rPr>
                <w:sz w:val="20"/>
                <w:szCs w:val="20"/>
                <w:color w:val="auto"/>
              </w:rPr>
            </w:pPr>
            <w:r>
              <w:rPr>
                <w:rFonts w:ascii="Arial" w:cs="Arial" w:eastAsia="Arial" w:hAnsi="Arial"/>
                <w:sz w:val="13"/>
                <w:szCs w:val="13"/>
                <w:color w:val="auto"/>
              </w:rPr>
              <w:t>subject to actual performance.</w:t>
            </w:r>
          </w:p>
        </w:tc>
        <w:tc>
          <w:tcPr>
            <w:tcW w:w="1980" w:type="dxa"/>
            <w:vAlign w:val="bottom"/>
          </w:tcPr>
          <w:p>
            <w:pPr>
              <w:ind w:left="80"/>
              <w:spacing w:after="0" w:line="135" w:lineRule="exact"/>
              <w:rPr>
                <w:sz w:val="20"/>
                <w:szCs w:val="20"/>
                <w:color w:val="auto"/>
              </w:rPr>
            </w:pPr>
            <w:r>
              <w:rPr>
                <w:rFonts w:ascii="Arial" w:cs="Arial" w:eastAsia="Arial" w:hAnsi="Arial"/>
                <w:sz w:val="13"/>
                <w:szCs w:val="13"/>
                <w:color w:val="auto"/>
              </w:rPr>
              <w:t>subject to actual performance.</w:t>
            </w:r>
          </w:p>
        </w:tc>
        <w:tc>
          <w:tcPr>
            <w:tcW w:w="1060" w:type="dxa"/>
            <w:vAlign w:val="bottom"/>
          </w:tcPr>
          <w:p>
            <w:pPr>
              <w:ind w:left="80"/>
              <w:spacing w:after="0" w:line="135" w:lineRule="exact"/>
              <w:rPr>
                <w:sz w:val="20"/>
                <w:szCs w:val="20"/>
                <w:color w:val="auto"/>
              </w:rPr>
            </w:pPr>
            <w:r>
              <w:rPr>
                <w:rFonts w:ascii="Arial" w:cs="Arial" w:eastAsia="Arial" w:hAnsi="Arial"/>
                <w:sz w:val="13"/>
                <w:szCs w:val="13"/>
                <w:color w:val="auto"/>
              </w:rPr>
              <w:t>converted into</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greater of target</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860" w:type="dxa"/>
            <w:vAlign w:val="bottom"/>
          </w:tcPr>
          <w:p>
            <w:pPr>
              <w:ind w:left="980"/>
              <w:spacing w:after="0" w:line="135" w:lineRule="exact"/>
              <w:rPr>
                <w:sz w:val="20"/>
                <w:szCs w:val="20"/>
                <w:color w:val="auto"/>
              </w:rPr>
            </w:pPr>
            <w:r>
              <w:rPr>
                <w:rFonts w:ascii="Arial" w:cs="Arial" w:eastAsia="Arial" w:hAnsi="Arial"/>
                <w:sz w:val="13"/>
                <w:szCs w:val="13"/>
                <w:color w:val="auto"/>
              </w:rPr>
              <w:t>retirement occurs on or after the</w:t>
            </w:r>
          </w:p>
        </w:tc>
        <w:tc>
          <w:tcPr>
            <w:tcW w:w="2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ind w:left="80"/>
              <w:spacing w:after="0" w:line="135" w:lineRule="exact"/>
              <w:rPr>
                <w:sz w:val="20"/>
                <w:szCs w:val="20"/>
                <w:color w:val="auto"/>
              </w:rPr>
            </w:pPr>
            <w:r>
              <w:rPr>
                <w:rFonts w:ascii="Arial" w:cs="Arial" w:eastAsia="Arial" w:hAnsi="Arial"/>
                <w:sz w:val="13"/>
                <w:szCs w:val="13"/>
                <w:color w:val="auto"/>
              </w:rPr>
              <w:t>restricted</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level or actual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860" w:type="dxa"/>
            <w:vAlign w:val="bottom"/>
          </w:tcPr>
          <w:p>
            <w:pPr>
              <w:ind w:left="980"/>
              <w:spacing w:after="0" w:line="135" w:lineRule="exact"/>
              <w:rPr>
                <w:sz w:val="20"/>
                <w:szCs w:val="20"/>
                <w:color w:val="auto"/>
              </w:rPr>
            </w:pPr>
            <w:r>
              <w:rPr>
                <w:rFonts w:ascii="Arial" w:cs="Arial" w:eastAsia="Arial" w:hAnsi="Arial"/>
                <w:sz w:val="13"/>
                <w:szCs w:val="13"/>
                <w:color w:val="auto"/>
              </w:rPr>
              <w:t>12-month anniversary of the</w:t>
            </w:r>
          </w:p>
        </w:tc>
        <w:tc>
          <w:tcPr>
            <w:tcW w:w="2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ind w:left="80"/>
              <w:spacing w:after="0" w:line="135" w:lineRule="exact"/>
              <w:rPr>
                <w:sz w:val="20"/>
                <w:szCs w:val="20"/>
                <w:color w:val="auto"/>
              </w:rPr>
            </w:pPr>
            <w:r>
              <w:rPr>
                <w:rFonts w:ascii="Arial" w:cs="Arial" w:eastAsia="Arial" w:hAnsi="Arial"/>
                <w:sz w:val="13"/>
                <w:szCs w:val="13"/>
                <w:color w:val="auto"/>
              </w:rPr>
              <w:t>shares at target</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performance.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860" w:type="dxa"/>
            <w:vAlign w:val="bottom"/>
          </w:tcPr>
          <w:p>
            <w:pPr>
              <w:ind w:left="980"/>
              <w:spacing w:after="0" w:line="135" w:lineRule="exact"/>
              <w:rPr>
                <w:sz w:val="20"/>
                <w:szCs w:val="20"/>
                <w:color w:val="auto"/>
              </w:rPr>
            </w:pPr>
            <w:r>
              <w:rPr>
                <w:rFonts w:ascii="Arial" w:cs="Arial" w:eastAsia="Arial" w:hAnsi="Arial"/>
                <w:sz w:val="13"/>
                <w:szCs w:val="13"/>
                <w:color w:val="auto"/>
              </w:rPr>
              <w:t>grant date, the award vests in</w:t>
            </w:r>
          </w:p>
        </w:tc>
        <w:tc>
          <w:tcPr>
            <w:tcW w:w="2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ind w:left="80"/>
              <w:spacing w:after="0" w:line="135" w:lineRule="exact"/>
              <w:rPr>
                <w:sz w:val="20"/>
                <w:szCs w:val="20"/>
                <w:color w:val="auto"/>
              </w:rPr>
            </w:pPr>
            <w:r>
              <w:rPr>
                <w:rFonts w:ascii="Arial" w:cs="Arial" w:eastAsia="Arial" w:hAnsi="Arial"/>
                <w:sz w:val="13"/>
                <w:szCs w:val="13"/>
                <w:color w:val="auto"/>
              </w:rPr>
              <w:t>level, subject to</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860" w:type="dxa"/>
            <w:vAlign w:val="bottom"/>
          </w:tcPr>
          <w:p>
            <w:pPr>
              <w:ind w:left="980"/>
              <w:spacing w:after="0" w:line="135" w:lineRule="exact"/>
              <w:rPr>
                <w:sz w:val="20"/>
                <w:szCs w:val="20"/>
                <w:color w:val="auto"/>
              </w:rPr>
            </w:pPr>
            <w:r>
              <w:rPr>
                <w:rFonts w:ascii="Arial" w:cs="Arial" w:eastAsia="Arial" w:hAnsi="Arial"/>
                <w:sz w:val="13"/>
                <w:szCs w:val="13"/>
                <w:color w:val="auto"/>
              </w:rPr>
              <w:t>full, subject to actual</w:t>
            </w:r>
          </w:p>
        </w:tc>
        <w:tc>
          <w:tcPr>
            <w:tcW w:w="2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ind w:left="80"/>
              <w:spacing w:after="0" w:line="135" w:lineRule="exact"/>
              <w:rPr>
                <w:sz w:val="20"/>
                <w:szCs w:val="20"/>
                <w:color w:val="auto"/>
              </w:rPr>
            </w:pPr>
            <w:r>
              <w:rPr>
                <w:rFonts w:ascii="Arial" w:cs="Arial" w:eastAsia="Arial" w:hAnsi="Arial"/>
                <w:sz w:val="13"/>
                <w:szCs w:val="13"/>
                <w:color w:val="auto"/>
              </w:rPr>
              <w:t>continued</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80" w:type="dxa"/>
            <w:vAlign w:val="bottom"/>
            <w:tcBorders>
              <w:bottom w:val="single" w:sz="8" w:color="D1D2D4"/>
            </w:tcBorders>
          </w:tcPr>
          <w:p>
            <w:pPr>
              <w:spacing w:after="0"/>
              <w:rPr>
                <w:sz w:val="15"/>
                <w:szCs w:val="15"/>
                <w:color w:val="auto"/>
              </w:rPr>
            </w:pPr>
          </w:p>
        </w:tc>
        <w:tc>
          <w:tcPr>
            <w:tcW w:w="2860" w:type="dxa"/>
            <w:vAlign w:val="bottom"/>
            <w:tcBorders>
              <w:bottom w:val="single" w:sz="8" w:color="D1D2D4"/>
            </w:tcBorders>
          </w:tcPr>
          <w:p>
            <w:pPr>
              <w:ind w:left="980"/>
              <w:spacing w:after="0"/>
              <w:rPr>
                <w:sz w:val="20"/>
                <w:szCs w:val="20"/>
                <w:color w:val="auto"/>
              </w:rPr>
            </w:pPr>
            <w:r>
              <w:rPr>
                <w:rFonts w:ascii="Arial" w:cs="Arial" w:eastAsia="Arial" w:hAnsi="Arial"/>
                <w:sz w:val="13"/>
                <w:szCs w:val="13"/>
                <w:color w:val="auto"/>
              </w:rPr>
              <w:t>performance.</w:t>
            </w:r>
          </w:p>
        </w:tc>
        <w:tc>
          <w:tcPr>
            <w:tcW w:w="2000" w:type="dxa"/>
            <w:vAlign w:val="bottom"/>
            <w:tcBorders>
              <w:bottom w:val="single" w:sz="8" w:color="D1D2D4"/>
            </w:tcBorders>
          </w:tcPr>
          <w:p>
            <w:pPr>
              <w:spacing w:after="0"/>
              <w:rPr>
                <w:sz w:val="15"/>
                <w:szCs w:val="15"/>
                <w:color w:val="auto"/>
              </w:rPr>
            </w:pPr>
          </w:p>
        </w:tc>
        <w:tc>
          <w:tcPr>
            <w:tcW w:w="1980" w:type="dxa"/>
            <w:vAlign w:val="bottom"/>
            <w:tcBorders>
              <w:bottom w:val="single" w:sz="8" w:color="D1D2D4"/>
            </w:tcBorders>
          </w:tcPr>
          <w:p>
            <w:pPr>
              <w:spacing w:after="0"/>
              <w:rPr>
                <w:sz w:val="15"/>
                <w:szCs w:val="15"/>
                <w:color w:val="auto"/>
              </w:rPr>
            </w:pPr>
          </w:p>
        </w:tc>
        <w:tc>
          <w:tcPr>
            <w:tcW w:w="1060" w:type="dxa"/>
            <w:vAlign w:val="bottom"/>
            <w:tcBorders>
              <w:bottom w:val="single" w:sz="8" w:color="D1D2D4"/>
            </w:tcBorders>
          </w:tcPr>
          <w:p>
            <w:pPr>
              <w:ind w:left="80"/>
              <w:spacing w:after="0"/>
              <w:rPr>
                <w:sz w:val="20"/>
                <w:szCs w:val="20"/>
                <w:color w:val="auto"/>
              </w:rPr>
            </w:pPr>
            <w:r>
              <w:rPr>
                <w:rFonts w:ascii="Arial" w:cs="Arial" w:eastAsia="Arial" w:hAnsi="Arial"/>
                <w:sz w:val="13"/>
                <w:szCs w:val="13"/>
                <w:color w:val="auto"/>
              </w:rPr>
              <w:t>service vesting.</w:t>
            </w:r>
          </w:p>
        </w:tc>
        <w:tc>
          <w:tcPr>
            <w:tcW w:w="120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00519B"/>
            </w:tcBorders>
          </w:tcPr>
          <w:p>
            <w:pPr>
              <w:ind w:left="40"/>
              <w:spacing w:after="0"/>
              <w:rPr>
                <w:sz w:val="20"/>
                <w:szCs w:val="20"/>
                <w:color w:val="auto"/>
              </w:rPr>
            </w:pPr>
            <w:r>
              <w:rPr>
                <w:rFonts w:ascii="Arial" w:cs="Arial" w:eastAsia="Arial" w:hAnsi="Arial"/>
                <w:sz w:val="13"/>
                <w:szCs w:val="13"/>
                <w:b w:val="1"/>
                <w:bCs w:val="1"/>
                <w:color w:val="00519B"/>
              </w:rPr>
              <w:t>NQSO, SAR</w:t>
            </w:r>
          </w:p>
        </w:tc>
        <w:tc>
          <w:tcPr>
            <w:tcW w:w="2860" w:type="dxa"/>
            <w:vAlign w:val="bottom"/>
            <w:tcBorders>
              <w:bottom w:val="single" w:sz="8" w:color="00519B"/>
            </w:tcBorders>
          </w:tcPr>
          <w:p>
            <w:pPr>
              <w:ind w:left="980"/>
              <w:spacing w:after="0"/>
              <w:rPr>
                <w:sz w:val="20"/>
                <w:szCs w:val="20"/>
                <w:color w:val="auto"/>
              </w:rPr>
            </w:pPr>
            <w:r>
              <w:rPr>
                <w:rFonts w:ascii="Arial" w:cs="Arial" w:eastAsia="Arial" w:hAnsi="Arial"/>
                <w:sz w:val="13"/>
                <w:szCs w:val="13"/>
                <w:color w:val="auto"/>
                <w:w w:val="99"/>
              </w:rPr>
              <w:t>Award vests on a pro-rata basis.</w:t>
            </w:r>
          </w:p>
        </w:tc>
        <w:tc>
          <w:tcPr>
            <w:tcW w:w="2000" w:type="dxa"/>
            <w:vAlign w:val="bottom"/>
            <w:tcBorders>
              <w:bottom w:val="single" w:sz="8" w:color="00519B"/>
            </w:tcBorders>
          </w:tcPr>
          <w:p>
            <w:pPr>
              <w:ind w:left="100"/>
              <w:spacing w:after="0"/>
              <w:rPr>
                <w:sz w:val="20"/>
                <w:szCs w:val="20"/>
                <w:color w:val="auto"/>
              </w:rPr>
            </w:pPr>
            <w:r>
              <w:rPr>
                <w:rFonts w:ascii="Arial" w:cs="Arial" w:eastAsia="Arial" w:hAnsi="Arial"/>
                <w:sz w:val="13"/>
                <w:szCs w:val="13"/>
                <w:color w:val="auto"/>
              </w:rPr>
              <w:t>Award vests in full.</w:t>
            </w:r>
          </w:p>
        </w:tc>
        <w:tc>
          <w:tcPr>
            <w:tcW w:w="1980" w:type="dxa"/>
            <w:vAlign w:val="bottom"/>
            <w:tcBorders>
              <w:bottom w:val="single" w:sz="8" w:color="00519B"/>
            </w:tcBorders>
          </w:tcPr>
          <w:p>
            <w:pPr>
              <w:ind w:left="80"/>
              <w:spacing w:after="0"/>
              <w:rPr>
                <w:sz w:val="20"/>
                <w:szCs w:val="20"/>
                <w:color w:val="auto"/>
              </w:rPr>
            </w:pPr>
            <w:r>
              <w:rPr>
                <w:rFonts w:ascii="Arial" w:cs="Arial" w:eastAsia="Arial" w:hAnsi="Arial"/>
                <w:sz w:val="13"/>
                <w:szCs w:val="13"/>
                <w:color w:val="auto"/>
              </w:rPr>
              <w:t>Award vests on a pro-rata basis.</w:t>
            </w:r>
          </w:p>
        </w:tc>
        <w:tc>
          <w:tcPr>
            <w:tcW w:w="1060" w:type="dxa"/>
            <w:vAlign w:val="bottom"/>
            <w:tcBorders>
              <w:bottom w:val="single" w:sz="8" w:color="00519B"/>
            </w:tcBorders>
          </w:tcPr>
          <w:p>
            <w:pPr>
              <w:ind w:left="80"/>
              <w:spacing w:after="0"/>
              <w:rPr>
                <w:sz w:val="20"/>
                <w:szCs w:val="20"/>
                <w:color w:val="auto"/>
              </w:rPr>
            </w:pPr>
            <w:r>
              <w:rPr>
                <w:rFonts w:ascii="Arial" w:cs="Arial" w:eastAsia="Arial" w:hAnsi="Arial"/>
                <w:sz w:val="13"/>
                <w:szCs w:val="13"/>
                <w:color w:val="auto"/>
              </w:rPr>
              <w:t>No effect.</w:t>
            </w:r>
          </w:p>
        </w:tc>
        <w:tc>
          <w:tcPr>
            <w:tcW w:w="1200" w:type="dxa"/>
            <w:vAlign w:val="bottom"/>
            <w:tcBorders>
              <w:bottom w:val="single" w:sz="8" w:color="00519B"/>
            </w:tcBorders>
          </w:tcPr>
          <w:p>
            <w:pPr>
              <w:ind w:left="80"/>
              <w:spacing w:after="0"/>
              <w:rPr>
                <w:sz w:val="20"/>
                <w:szCs w:val="20"/>
                <w:color w:val="auto"/>
              </w:rPr>
            </w:pPr>
            <w:r>
              <w:rPr>
                <w:rFonts w:ascii="Arial" w:cs="Arial" w:eastAsia="Arial" w:hAnsi="Arial"/>
                <w:sz w:val="13"/>
                <w:szCs w:val="13"/>
                <w:color w:val="auto"/>
              </w:rPr>
              <w:t>Award vests in full.</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Applicable to involuntary terminations without cause as defined in the Severance Plan.</w:t>
      </w:r>
    </w:p>
    <w:p>
      <w:pPr>
        <w:spacing w:after="0" w:line="93" w:lineRule="exact"/>
        <w:rPr>
          <w:rFonts w:ascii="Arial" w:cs="Arial" w:eastAsia="Arial" w:hAnsi="Arial"/>
          <w:sz w:val="10"/>
          <w:szCs w:val="10"/>
          <w:color w:val="auto"/>
        </w:rPr>
      </w:pPr>
    </w:p>
    <w:p>
      <w:pPr>
        <w:ind w:left="320" w:right="280" w:hanging="312"/>
        <w:spacing w:after="0" w:line="243"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A qualifying termination means a termination by Occidental other than for “cause” or a termination by the NEO for “good reason” (in each case, as defined in the CIC Severance Plan) within 24 months following the date of the “Change in Control” (as defined in the CIC Severance Plan).</w:t>
      </w:r>
    </w:p>
    <w:p>
      <w:pPr>
        <w:spacing w:after="0" w:line="61" w:lineRule="exact"/>
        <w:rPr>
          <w:rFonts w:ascii="Arial" w:cs="Arial" w:eastAsia="Arial" w:hAnsi="Arial"/>
          <w:sz w:val="10"/>
          <w:szCs w:val="10"/>
          <w:color w:val="auto"/>
        </w:rPr>
      </w:pPr>
    </w:p>
    <w:p>
      <w:pPr>
        <w:ind w:left="320" w:right="500" w:hanging="312"/>
        <w:spacing w:after="0" w:line="243"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The dollar amount shown represents the value realized upon the vesting of the RSU awards upon the occurrence of the applicable potential payment event, which is equal to the product of Occidental’s year-end closing stock price and the number of shares that vest in accordance with the terms of the applicable award.</w:t>
      </w:r>
    </w:p>
    <w:p>
      <w:pPr>
        <w:spacing w:after="0" w:line="61" w:lineRule="exact"/>
        <w:rPr>
          <w:rFonts w:ascii="Arial" w:cs="Arial" w:eastAsia="Arial" w:hAnsi="Arial"/>
          <w:sz w:val="10"/>
          <w:szCs w:val="10"/>
          <w:color w:val="auto"/>
        </w:rPr>
      </w:pPr>
    </w:p>
    <w:p>
      <w:pPr>
        <w:ind w:left="320" w:right="40" w:hanging="312"/>
        <w:spacing w:after="0" w:line="243"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The dollar amount shown represents the payout of the CROCE awards at maximum in connection with the grantee’s retirement, disability, death or termination without cause based on Occidental’s performance through December 31, 2022.</w:t>
      </w:r>
    </w:p>
    <w:p>
      <w:pPr>
        <w:spacing w:after="0" w:line="61" w:lineRule="exact"/>
        <w:rPr>
          <w:rFonts w:ascii="Arial" w:cs="Arial" w:eastAsia="Arial" w:hAnsi="Arial"/>
          <w:sz w:val="10"/>
          <w:szCs w:val="10"/>
          <w:color w:val="auto"/>
        </w:rPr>
      </w:pPr>
    </w:p>
    <w:p>
      <w:pPr>
        <w:ind w:left="320" w:right="20" w:hanging="312"/>
        <w:spacing w:after="0" w:line="251"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2"/>
          <w:szCs w:val="12"/>
          <w:color w:val="auto"/>
        </w:rPr>
        <w:t>In the case of the grantee’s retirement, disability, death or termination without cause, the dollar amount shown represents the value realized upon the vesting of the TSR awards, which is equal to the product of the year-end closing stock price and the number of shares that vest in accordance with the terms of the award. Shares that vest in connection with these termination scenarios remain subject to the attainment of the applicable performance goal, which has been estimated for purposes of this table based on the performance of Occidental as of December 31, 2022. In the case of a change in control and qualifying termination, the dollar amount shown represents payout of the TSR awards at maximum based on Occidental’s performance through December 31, 2022.</w:t>
      </w:r>
    </w:p>
    <w:p>
      <w:pPr>
        <w:spacing w:after="0" w:line="57" w:lineRule="exact"/>
        <w:rPr>
          <w:rFonts w:ascii="Arial" w:cs="Arial" w:eastAsia="Arial" w:hAnsi="Arial"/>
          <w:sz w:val="10"/>
          <w:szCs w:val="10"/>
          <w:color w:val="auto"/>
        </w:rPr>
      </w:pPr>
    </w:p>
    <w:p>
      <w:pPr>
        <w:ind w:left="320" w:right="160" w:hanging="312"/>
        <w:spacing w:after="0" w:line="243"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The dollar amounts shown represents the payout of the 2020, 2021 and 2022 NQSO awards, as applicable, as Occidental’s closing stock price on December 30, 2022 was in excess of the strike price of each of the 2020, 2021 and 2022 NQSO awards.</w:t>
      </w:r>
    </w:p>
    <w:p>
      <w:pPr>
        <w:spacing w:after="0" w:line="61" w:lineRule="exact"/>
        <w:rPr>
          <w:rFonts w:ascii="Arial" w:cs="Arial" w:eastAsia="Arial" w:hAnsi="Arial"/>
          <w:sz w:val="10"/>
          <w:szCs w:val="10"/>
          <w:color w:val="auto"/>
        </w:rPr>
      </w:pPr>
    </w:p>
    <w:p>
      <w:pPr>
        <w:ind w:left="320" w:hanging="312"/>
        <w:spacing w:after="0"/>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Payout of the SAR award is shown in the table as Occidental’s closing stock price on December 30, 2022 was in excess of the grant price of the SAR award.</w:t>
      </w:r>
    </w:p>
    <w:p>
      <w:pPr>
        <w:spacing w:after="0" w:line="93" w:lineRule="exact"/>
        <w:rPr>
          <w:rFonts w:ascii="Arial" w:cs="Arial" w:eastAsia="Arial" w:hAnsi="Arial"/>
          <w:sz w:val="10"/>
          <w:szCs w:val="10"/>
          <w:color w:val="auto"/>
        </w:rPr>
      </w:pPr>
    </w:p>
    <w:p>
      <w:pPr>
        <w:ind w:left="320" w:hanging="312"/>
        <w:spacing w:after="0"/>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 xml:space="preserve">For more information, see </w:t>
      </w:r>
      <w:r>
        <w:rPr>
          <w:rFonts w:ascii="Arial" w:cs="Arial" w:eastAsia="Arial" w:hAnsi="Arial"/>
          <w:sz w:val="13"/>
          <w:szCs w:val="13"/>
          <w:i w:val="1"/>
          <w:iCs w:val="1"/>
          <w:color w:val="auto"/>
        </w:rPr>
        <w:t>“Executive Compensation Tables–Executive Severance and Change in Control”</w:t>
      </w:r>
      <w:r>
        <w:rPr>
          <w:rFonts w:ascii="Arial" w:cs="Arial" w:eastAsia="Arial" w:hAnsi="Arial"/>
          <w:sz w:val="13"/>
          <w:szCs w:val="13"/>
          <w:color w:val="auto"/>
        </w:rPr>
        <w:t xml:space="preserve"> beginning on page 69.</w:t>
      </w:r>
    </w:p>
    <w:p>
      <w:pPr>
        <w:spacing w:after="0" w:line="93" w:lineRule="exact"/>
        <w:rPr>
          <w:rFonts w:ascii="Arial" w:cs="Arial" w:eastAsia="Arial" w:hAnsi="Arial"/>
          <w:sz w:val="10"/>
          <w:szCs w:val="10"/>
          <w:color w:val="auto"/>
        </w:rPr>
      </w:pPr>
    </w:p>
    <w:p>
      <w:pPr>
        <w:ind w:left="320" w:right="460" w:hanging="312"/>
        <w:spacing w:after="0" w:line="243"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 xml:space="preserve">Ms. Backus terminated employment effective as of March 1, 2023 and transitioned to a consulting role to provide transition services. For more information on the payments and benefits she received in connection with her termination, see </w:t>
      </w:r>
      <w:r>
        <w:rPr>
          <w:rFonts w:ascii="Arial" w:cs="Arial" w:eastAsia="Arial" w:hAnsi="Arial"/>
          <w:sz w:val="13"/>
          <w:szCs w:val="13"/>
          <w:i w:val="1"/>
          <w:iCs w:val="1"/>
          <w:color w:val="auto"/>
        </w:rPr>
        <w:t>“Executive Compensation Tables–Payments to Former Officer”</w:t>
      </w:r>
      <w:r>
        <w:rPr>
          <w:rFonts w:ascii="Arial" w:cs="Arial" w:eastAsia="Arial" w:hAnsi="Arial"/>
          <w:sz w:val="13"/>
          <w:szCs w:val="13"/>
          <w:color w:val="auto"/>
        </w:rPr>
        <w:t xml:space="preserve"> below.</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Payments to Former Officer</w:t>
      </w:r>
    </w:p>
    <w:p>
      <w:pPr>
        <w:spacing w:after="0" w:line="241"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As part of her retirement from Occidental, Marcia E. Backus ceased being an executive officer as of October 3, 2022 and stepped down from her role as Senior Vice President, General Counsel and Chief Compliance Officer of Occidental effective as of December 31, 2022. From January 1, 2023 through her retirement on March 1, 2023, Ms. Backus served as Occidental’s Executive Adviser - Legal. Following her retirement, Ms. Backus agreed to provide Occidental with transition services on a consulting basis through June 30, 2024. Having Ms. Backus serve as a consultant to Occidental and provide transition services relating to longstanding litigation matters is vital to Occidental because Ms. Backus has significant background and institutional knowledge regarding such litigation and related strategies. Her continued service will allow for a more seamless transition on these matters.</w:t>
      </w:r>
    </w:p>
    <w:p>
      <w:pPr>
        <w:spacing w:after="0" w:line="179"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 xml:space="preserve">In connection with her transition, Ms. Backus and Occidental entered into a Transition Services and Separation Agreement pursuant to which Ms. Backus is entitled to a monthly payment of $131,250 from January 1, 2023 through June 30, 2024, and, effective as of her termination of employment on March 1, 2023, accelerated vesting of outstanding time-based equity awards and continued vesting of outstanding performance-based equity awards. See </w:t>
      </w:r>
      <w:r>
        <w:rPr>
          <w:rFonts w:ascii="Arial" w:cs="Arial" w:eastAsia="Arial" w:hAnsi="Arial"/>
          <w:sz w:val="15"/>
          <w:szCs w:val="15"/>
          <w:i w:val="1"/>
          <w:iCs w:val="1"/>
          <w:color w:val="auto"/>
        </w:rPr>
        <w:t>“Executive Compensation Tables–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Grants of Plan-Based Awards” </w:t>
      </w:r>
      <w:r>
        <w:rPr>
          <w:rFonts w:ascii="Arial" w:cs="Arial" w:eastAsia="Arial" w:hAnsi="Arial"/>
          <w:sz w:val="15"/>
          <w:szCs w:val="15"/>
          <w:color w:val="auto"/>
        </w:rPr>
        <w:t>beginning on page 63 for more information on the modification to Ms. Backus’ outstanding awards in connection with her retirement</w:t>
      </w:r>
      <w:r>
        <w:rPr>
          <w:rFonts w:ascii="Arial" w:cs="Arial" w:eastAsia="Arial" w:hAnsi="Arial"/>
          <w:sz w:val="15"/>
          <w:szCs w:val="15"/>
          <w:i w:val="1"/>
          <w:iCs w:val="1"/>
          <w:color w:val="auto"/>
        </w:rPr>
        <w:t xml:space="preserve"> </w:t>
      </w:r>
      <w:r>
        <w:rPr>
          <w:rFonts w:ascii="Arial" w:cs="Arial" w:eastAsia="Arial" w:hAnsi="Arial"/>
          <w:sz w:val="15"/>
          <w:szCs w:val="15"/>
          <w:color w:val="auto"/>
        </w:rPr>
        <w:t>from Occidental. All such payments and benefits are in compliance with Occidental’s Golden Parachute Policy and are intended to compensate Ms. Backus for the transition services she has agreed to provide Occidental through June 30, 2024 and her continued compliance with confidential information, non-solicitation and non-competition covenants under the Transition Services and Separation Agreement. Furthermore, the majority of Ms. Backus' outstanding equity awards subject to accelerated vesting were set to vest before June 30, 2024, the date on which she will stop providing transition services to Occidental. Ms. Backus is not expected to receive any annual bonus or equity compensation for Occidental’s 2023 and 2024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743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19B"/>
        </w:rPr>
        <w:t>Pay Ratio</w:t>
      </w:r>
    </w:p>
    <w:p>
      <w:pPr>
        <w:spacing w:after="0" w:line="242"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For 2022, the annual total compensation of the median compensated employee of Occidental was $187,168; the annual total compensation of Ms. Hollub for purposes of this pay ratio disclosure was $14,988,805; and the ratio of these amounts is approximately 80 to 1. This pay ratio is a reasonable estimate calculated in a manner consistent with SEC rules based on Occidental’s payroll records and the methodology described below.</w:t>
      </w:r>
    </w:p>
    <w:p>
      <w:pPr>
        <w:spacing w:after="0" w:line="174" w:lineRule="exact"/>
        <w:rPr>
          <w:sz w:val="20"/>
          <w:szCs w:val="20"/>
          <w:color w:val="auto"/>
        </w:rPr>
      </w:pPr>
    </w:p>
    <w:p>
      <w:pPr>
        <w:ind w:right="180"/>
        <w:spacing w:after="0" w:line="234" w:lineRule="auto"/>
        <w:rPr>
          <w:sz w:val="20"/>
          <w:szCs w:val="20"/>
          <w:color w:val="auto"/>
        </w:rPr>
      </w:pPr>
      <w:r>
        <w:rPr>
          <w:rFonts w:ascii="Arial" w:cs="Arial" w:eastAsia="Arial" w:hAnsi="Arial"/>
          <w:sz w:val="15"/>
          <w:szCs w:val="15"/>
          <w:b w:val="1"/>
          <w:bCs w:val="1"/>
          <w:color w:val="auto"/>
        </w:rPr>
        <w:t xml:space="preserve">Pay Ratio Methodology. </w:t>
      </w:r>
      <w:r>
        <w:rPr>
          <w:rFonts w:ascii="Arial" w:cs="Arial" w:eastAsia="Arial" w:hAnsi="Arial"/>
          <w:sz w:val="15"/>
          <w:szCs w:val="15"/>
          <w:color w:val="auto"/>
        </w:rPr>
        <w:t>To identify the “median employee” (as defined by SEC rules), as well as to determine the annual total compensation of the median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we used certain permitted assumptions, adjustments and estimates, as described further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1"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As permitted by SEC rules, for the 2022 pay ratio reported above, we used the same median employee that we used for our 2020 and 2021 pay ratios, as we believe there have been no changes in our employee population or employee compensation arrangements during the last two fiscal years that would significantly impact our pay ratio disclosure.</w:t>
      </w:r>
    </w:p>
    <w:p>
      <w:pPr>
        <w:spacing w:after="0" w:line="174" w:lineRule="exact"/>
        <w:rPr>
          <w:sz w:val="20"/>
          <w:szCs w:val="20"/>
          <w:color w:val="auto"/>
        </w:rPr>
      </w:pPr>
    </w:p>
    <w:p>
      <w:pPr>
        <w:ind w:right="100"/>
        <w:spacing w:after="0" w:line="236" w:lineRule="auto"/>
        <w:rPr>
          <w:sz w:val="20"/>
          <w:szCs w:val="20"/>
          <w:color w:val="auto"/>
        </w:rPr>
      </w:pPr>
      <w:r>
        <w:rPr>
          <w:rFonts w:ascii="Arial" w:cs="Arial" w:eastAsia="Arial" w:hAnsi="Arial"/>
          <w:sz w:val="15"/>
          <w:szCs w:val="15"/>
          <w:b w:val="1"/>
          <w:bCs w:val="1"/>
          <w:color w:val="auto"/>
        </w:rPr>
        <w:t xml:space="preserve">Employee Population. </w:t>
      </w:r>
      <w:r>
        <w:rPr>
          <w:rFonts w:ascii="Arial" w:cs="Arial" w:eastAsia="Arial" w:hAnsi="Arial"/>
          <w:sz w:val="15"/>
          <w:szCs w:val="15"/>
          <w:color w:val="auto"/>
        </w:rPr>
        <w:t>We identified the median employee used for 2020, 2021 and 2022 from Occidental’s employee population as of October 1, 2020. After</w:t>
      </w:r>
      <w:r>
        <w:rPr>
          <w:rFonts w:ascii="Arial" w:cs="Arial" w:eastAsia="Arial" w:hAnsi="Arial"/>
          <w:sz w:val="15"/>
          <w:szCs w:val="15"/>
          <w:b w:val="1"/>
          <w:bCs w:val="1"/>
          <w:color w:val="auto"/>
        </w:rPr>
        <w:t xml:space="preserve"> </w:t>
      </w:r>
      <w:r>
        <w:rPr>
          <w:rFonts w:ascii="Arial" w:cs="Arial" w:eastAsia="Arial" w:hAnsi="Arial"/>
          <w:sz w:val="15"/>
          <w:szCs w:val="15"/>
          <w:color w:val="auto"/>
        </w:rPr>
        <w:t>excluding 613 employees pursuant to the de minimis exemption (as described below), Occidental’s employee population consisted of 11,664 employees. Under the de minimis exemption, Occidental was permitted to exclude up to 5% of its total employees who are non-U.S. employees. Occidental relied on this exemption to exclude the employee populations of the following jurisdictions, which collectively accounted for less than 5% of Occidental’s total employee population of 12,277 as of October 1, 2020: Chile (105); Colombia (506); Côte d’Ivoire (1); and the Netherlands (1).</w:t>
      </w:r>
    </w:p>
    <w:p>
      <w:pPr>
        <w:spacing w:after="0" w:line="178"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b w:val="1"/>
          <w:bCs w:val="1"/>
          <w:color w:val="auto"/>
        </w:rPr>
        <w:t xml:space="preserve">Compensation Measure to Identify Median Employee. </w:t>
      </w:r>
      <w:r>
        <w:rPr>
          <w:rFonts w:ascii="Arial" w:cs="Arial" w:eastAsia="Arial" w:hAnsi="Arial"/>
          <w:sz w:val="15"/>
          <w:szCs w:val="15"/>
          <w:color w:val="auto"/>
        </w:rPr>
        <w:t>To identify the median employee, we used the annual salary of each employee as of October 1, 2020, plus</w:t>
      </w:r>
      <w:r>
        <w:rPr>
          <w:rFonts w:ascii="Arial" w:cs="Arial" w:eastAsia="Arial" w:hAnsi="Arial"/>
          <w:sz w:val="15"/>
          <w:szCs w:val="15"/>
          <w:b w:val="1"/>
          <w:bCs w:val="1"/>
          <w:color w:val="auto"/>
        </w:rPr>
        <w:t xml:space="preserve"> </w:t>
      </w:r>
      <w:r>
        <w:rPr>
          <w:rFonts w:ascii="Arial" w:cs="Arial" w:eastAsia="Arial" w:hAnsi="Arial"/>
          <w:sz w:val="15"/>
          <w:szCs w:val="15"/>
          <w:color w:val="auto"/>
        </w:rPr>
        <w:t>any annual bonus paid to each employee during 2020, each as reported in Occidental’s payroll systems.</w:t>
      </w:r>
    </w:p>
    <w:p>
      <w:pPr>
        <w:spacing w:after="0" w:line="156"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b w:val="1"/>
          <w:bCs w:val="1"/>
          <w:color w:val="auto"/>
        </w:rPr>
        <w:t xml:space="preserve">Total Compensation in 2022. </w:t>
      </w:r>
      <w:r>
        <w:rPr>
          <w:rFonts w:ascii="Arial" w:cs="Arial" w:eastAsia="Arial" w:hAnsi="Arial"/>
          <w:sz w:val="15"/>
          <w:szCs w:val="15"/>
          <w:color w:val="auto"/>
        </w:rPr>
        <w:t>We calculated the median employee’s compensation for 2022 in accordance with the requirements of Item 402 of Regulation S-K,</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equal to the amount of the median employee’s compensation for 2022 that would have been reported in the Summary Compensation Table on page 62, plus Occidental’s contributions for the median employee’s non-discriminatory health and welfare benefits. With respect to the annual total compensation of Ms. Hollub, we used the amount reported in the “Total” column of the Summary Compensation Table on page 61, plus Occidental’s contributions for Ms. Hollub’s non-discriminatory health and welfare benefits.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27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6000750" cy="12827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19B"/>
        </w:rPr>
        <w:t>Pay vs. Performance</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 xml:space="preserve">As required by Section 953(a) of the Dodd-Frank Wall Street Reform and Consumer Protection Act, and Item 402(v) of Regulation S-K, we are providing the following information about the relationship between executive compensation actually paid (as calculated in accordance with such rule) (CAP) and certain financial performance metrics of Occidental. For further information concerning Occidental’s pay for performance philosophy and how Occidental aligns executive compensation with performance, see </w:t>
      </w:r>
      <w:r>
        <w:rPr>
          <w:rFonts w:ascii="Arial" w:cs="Arial" w:eastAsia="Arial" w:hAnsi="Arial"/>
          <w:sz w:val="15"/>
          <w:szCs w:val="15"/>
          <w:i w:val="1"/>
          <w:iCs w:val="1"/>
          <w:color w:val="auto"/>
        </w:rPr>
        <w:t>“Compensation Discussion and Analysis–Compensation Program Emphasizes Performance”</w:t>
      </w:r>
      <w:r>
        <w:rPr>
          <w:rFonts w:ascii="Arial" w:cs="Arial" w:eastAsia="Arial" w:hAnsi="Arial"/>
          <w:sz w:val="15"/>
          <w:szCs w:val="15"/>
          <w:color w:val="auto"/>
        </w:rPr>
        <w:t xml:space="preserve"> beginning on page 43.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00519B"/>
              </w:rPr>
              <w:t>Value of Initial Fixed $100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5"/>
        </w:trPr>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00519B"/>
              </w:rPr>
              <w:t>Average</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00519B"/>
              </w:rPr>
              <w:t>Average</w:t>
            </w:r>
          </w:p>
        </w:tc>
        <w:tc>
          <w:tcPr>
            <w:tcW w:w="1900" w:type="dxa"/>
            <w:vAlign w:val="bottom"/>
            <w:tcBorders>
              <w:bottom w:val="single" w:sz="8" w:color="00519B"/>
            </w:tcBorders>
            <w:gridSpan w:val="3"/>
          </w:tcPr>
          <w:p>
            <w:pPr>
              <w:jc w:val="right"/>
              <w:ind w:right="48"/>
              <w:spacing w:after="0"/>
              <w:rPr>
                <w:sz w:val="20"/>
                <w:szCs w:val="20"/>
                <w:color w:val="auto"/>
              </w:rPr>
            </w:pPr>
            <w:r>
              <w:rPr>
                <w:rFonts w:ascii="Arial" w:cs="Arial" w:eastAsia="Arial" w:hAnsi="Arial"/>
                <w:sz w:val="14"/>
                <w:szCs w:val="14"/>
                <w:b w:val="1"/>
                <w:bCs w:val="1"/>
                <w:color w:val="00519B"/>
              </w:rPr>
              <w:t>Investment Based On:</w:t>
            </w:r>
          </w:p>
        </w:tc>
        <w:tc>
          <w:tcPr>
            <w:tcW w:w="160" w:type="dxa"/>
            <w:vAlign w:val="bottom"/>
            <w:tcBorders>
              <w:bottom w:val="single" w:sz="8" w:color="00519B"/>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0"/>
        </w:trPr>
        <w:tc>
          <w:tcPr>
            <w:tcW w:w="1320" w:type="dxa"/>
            <w:vAlign w:val="bottom"/>
          </w:tcPr>
          <w:p>
            <w:pPr>
              <w:spacing w:after="0"/>
              <w:rPr>
                <w:sz w:val="15"/>
                <w:szCs w:val="15"/>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b w:val="1"/>
                <w:bCs w:val="1"/>
                <w:color w:val="00519B"/>
              </w:rPr>
              <w:t>Summary</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00519B"/>
              </w:rPr>
              <w:t>Summary</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Compensation</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Occidental</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00519B"/>
              </w:rPr>
              <w:t>Peer Group</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9"/>
        </w:trPr>
        <w:tc>
          <w:tcPr>
            <w:tcW w:w="1320" w:type="dxa"/>
            <w:vAlign w:val="bottom"/>
          </w:tcPr>
          <w:p>
            <w:pPr>
              <w:spacing w:after="0"/>
              <w:rPr>
                <w:sz w:val="13"/>
                <w:szCs w:val="13"/>
                <w:color w:val="auto"/>
              </w:rPr>
            </w:pPr>
          </w:p>
        </w:tc>
        <w:tc>
          <w:tcPr>
            <w:tcW w:w="210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00519B"/>
              </w:rPr>
              <w:t>Compensation</w:t>
            </w:r>
          </w:p>
        </w:tc>
        <w:tc>
          <w:tcPr>
            <w:tcW w:w="1240" w:type="dxa"/>
            <w:vAlign w:val="bottom"/>
            <w:gridSpan w:val="2"/>
          </w:tcPr>
          <w:p>
            <w:pPr>
              <w:jc w:val="right"/>
              <w:ind w:right="28"/>
              <w:spacing w:after="0" w:line="159" w:lineRule="exact"/>
              <w:rPr>
                <w:sz w:val="20"/>
                <w:szCs w:val="20"/>
                <w:color w:val="auto"/>
              </w:rPr>
            </w:pPr>
            <w:r>
              <w:rPr>
                <w:rFonts w:ascii="Arial" w:cs="Arial" w:eastAsia="Arial" w:hAnsi="Arial"/>
                <w:sz w:val="14"/>
                <w:szCs w:val="14"/>
                <w:b w:val="1"/>
                <w:bCs w:val="1"/>
                <w:color w:val="00519B"/>
              </w:rPr>
              <w:t>Compensation</w:t>
            </w:r>
          </w:p>
        </w:tc>
        <w:tc>
          <w:tcPr>
            <w:tcW w:w="1280" w:type="dxa"/>
            <w:vAlign w:val="bottom"/>
          </w:tcPr>
          <w:p>
            <w:pPr>
              <w:jc w:val="right"/>
              <w:ind w:right="88"/>
              <w:spacing w:after="0" w:line="159" w:lineRule="exact"/>
              <w:rPr>
                <w:sz w:val="20"/>
                <w:szCs w:val="20"/>
                <w:color w:val="auto"/>
              </w:rPr>
            </w:pPr>
            <w:r>
              <w:rPr>
                <w:rFonts w:ascii="Arial" w:cs="Arial" w:eastAsia="Arial" w:hAnsi="Arial"/>
                <w:sz w:val="14"/>
                <w:szCs w:val="14"/>
                <w:b w:val="1"/>
                <w:bCs w:val="1"/>
                <w:color w:val="00519B"/>
              </w:rPr>
              <w:t>Compensation</w:t>
            </w:r>
          </w:p>
        </w:tc>
        <w:tc>
          <w:tcPr>
            <w:tcW w:w="400" w:type="dxa"/>
            <w:vAlign w:val="bottom"/>
          </w:tcPr>
          <w:p>
            <w:pPr>
              <w:spacing w:after="0"/>
              <w:rPr>
                <w:sz w:val="13"/>
                <w:szCs w:val="13"/>
                <w:color w:val="auto"/>
              </w:rPr>
            </w:pPr>
          </w:p>
        </w:tc>
        <w:tc>
          <w:tcPr>
            <w:tcW w:w="90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00519B"/>
              </w:rPr>
              <w:t>Actually</w:t>
            </w:r>
          </w:p>
        </w:tc>
        <w:tc>
          <w:tcPr>
            <w:tcW w:w="1060" w:type="dxa"/>
            <w:vAlign w:val="bottom"/>
            <w:gridSpan w:val="2"/>
          </w:tcPr>
          <w:p>
            <w:pPr>
              <w:jc w:val="right"/>
              <w:ind w:right="88"/>
              <w:spacing w:after="0" w:line="159" w:lineRule="exact"/>
              <w:rPr>
                <w:sz w:val="20"/>
                <w:szCs w:val="20"/>
                <w:color w:val="auto"/>
              </w:rPr>
            </w:pPr>
            <w:r>
              <w:rPr>
                <w:rFonts w:ascii="Arial" w:cs="Arial" w:eastAsia="Arial" w:hAnsi="Arial"/>
                <w:sz w:val="14"/>
                <w:szCs w:val="14"/>
                <w:b w:val="1"/>
                <w:bCs w:val="1"/>
                <w:color w:val="00519B"/>
              </w:rPr>
              <w:t>Total</w:t>
            </w:r>
          </w:p>
        </w:tc>
        <w:tc>
          <w:tcPr>
            <w:tcW w:w="1120" w:type="dxa"/>
            <w:vAlign w:val="bottom"/>
            <w:gridSpan w:val="3"/>
          </w:tcPr>
          <w:p>
            <w:pPr>
              <w:jc w:val="right"/>
              <w:ind w:right="120"/>
              <w:spacing w:after="0" w:line="159" w:lineRule="exact"/>
              <w:rPr>
                <w:sz w:val="20"/>
                <w:szCs w:val="20"/>
                <w:color w:val="auto"/>
              </w:rPr>
            </w:pPr>
            <w:r>
              <w:rPr>
                <w:rFonts w:ascii="Arial" w:cs="Arial" w:eastAsia="Arial" w:hAnsi="Arial"/>
                <w:sz w:val="14"/>
                <w:szCs w:val="14"/>
                <w:b w:val="1"/>
                <w:bCs w:val="1"/>
                <w:color w:val="00519B"/>
              </w:rPr>
              <w:t>Total</w:t>
            </w:r>
          </w:p>
        </w:tc>
        <w:tc>
          <w:tcPr>
            <w:tcW w:w="280" w:type="dxa"/>
            <w:vAlign w:val="bottom"/>
          </w:tcPr>
          <w:p>
            <w:pPr>
              <w:spacing w:after="0"/>
              <w:rPr>
                <w:sz w:val="13"/>
                <w:szCs w:val="13"/>
                <w:color w:val="auto"/>
              </w:rPr>
            </w:pPr>
          </w:p>
        </w:tc>
        <w:tc>
          <w:tcPr>
            <w:tcW w:w="60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0519B"/>
              </w:rPr>
              <w:t>Net</w:t>
            </w:r>
          </w:p>
        </w:tc>
        <w:tc>
          <w:tcPr>
            <w:tcW w:w="940" w:type="dxa"/>
            <w:vAlign w:val="bottom"/>
          </w:tcPr>
          <w:p>
            <w:pPr>
              <w:spacing w:after="0"/>
              <w:rPr>
                <w:sz w:val="13"/>
                <w:szCs w:val="13"/>
                <w:color w:val="auto"/>
              </w:rPr>
            </w:pPr>
          </w:p>
        </w:tc>
      </w:tr>
      <w:tr>
        <w:trPr>
          <w:trHeight w:val="174"/>
        </w:trPr>
        <w:tc>
          <w:tcPr>
            <w:tcW w:w="1320" w:type="dxa"/>
            <w:vAlign w:val="bottom"/>
          </w:tcPr>
          <w:p>
            <w:pPr>
              <w:spacing w:after="0"/>
              <w:rPr>
                <w:sz w:val="15"/>
                <w:szCs w:val="15"/>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b w:val="1"/>
                <w:bCs w:val="1"/>
                <w:color w:val="00519B"/>
              </w:rPr>
              <w:t>Table Total for</w:t>
            </w:r>
          </w:p>
        </w:tc>
        <w:tc>
          <w:tcPr>
            <w:tcW w:w="12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00519B"/>
              </w:rPr>
              <w:t>Actually Paid</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00519B"/>
              </w:rPr>
              <w:t>Table Total for</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Paid to Other</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Shareholder</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00519B"/>
              </w:rPr>
              <w:t>Shareholder</w:t>
            </w:r>
          </w:p>
        </w:tc>
        <w:tc>
          <w:tcPr>
            <w:tcW w:w="880" w:type="dxa"/>
            <w:vAlign w:val="bottom"/>
            <w:gridSpan w:val="2"/>
          </w:tcPr>
          <w:p>
            <w:pPr>
              <w:jc w:val="right"/>
              <w:ind w:right="28"/>
              <w:spacing w:after="0" w:line="175" w:lineRule="exact"/>
              <w:rPr>
                <w:sz w:val="20"/>
                <w:szCs w:val="20"/>
                <w:color w:val="auto"/>
              </w:rPr>
            </w:pPr>
            <w:r>
              <w:rPr>
                <w:rFonts w:ascii="Arial" w:cs="Arial" w:eastAsia="Arial" w:hAnsi="Arial"/>
                <w:sz w:val="13"/>
                <w:szCs w:val="13"/>
                <w:b w:val="1"/>
                <w:bCs w:val="1"/>
                <w:color w:val="00519B"/>
              </w:rPr>
              <w:t>Income</w:t>
            </w:r>
            <w:r>
              <w:rPr>
                <w:rFonts w:ascii="Arial" w:cs="Arial" w:eastAsia="Arial" w:hAnsi="Arial"/>
                <w:sz w:val="20"/>
                <w:szCs w:val="20"/>
                <w:b w:val="1"/>
                <w:bCs w:val="1"/>
                <w:color w:val="00519B"/>
                <w:vertAlign w:val="superscript"/>
              </w:rPr>
              <w:t>(7)</w:t>
            </w:r>
          </w:p>
        </w:tc>
        <w:tc>
          <w:tcPr>
            <w:tcW w:w="940" w:type="dxa"/>
            <w:vAlign w:val="bottom"/>
          </w:tcPr>
          <w:p>
            <w:pPr>
              <w:jc w:val="right"/>
              <w:spacing w:after="0" w:line="175" w:lineRule="exact"/>
              <w:rPr>
                <w:sz w:val="20"/>
                <w:szCs w:val="20"/>
                <w:color w:val="auto"/>
              </w:rPr>
            </w:pPr>
            <w:r>
              <w:rPr>
                <w:rFonts w:ascii="Arial" w:cs="Arial" w:eastAsia="Arial" w:hAnsi="Arial"/>
                <w:sz w:val="13"/>
                <w:szCs w:val="13"/>
                <w:b w:val="1"/>
                <w:bCs w:val="1"/>
                <w:color w:val="00519B"/>
              </w:rPr>
              <w:t>CROCE</w:t>
            </w:r>
            <w:r>
              <w:rPr>
                <w:rFonts w:ascii="Arial" w:cs="Arial" w:eastAsia="Arial" w:hAnsi="Arial"/>
                <w:sz w:val="20"/>
                <w:szCs w:val="20"/>
                <w:b w:val="1"/>
                <w:bCs w:val="1"/>
                <w:color w:val="00519B"/>
                <w:vertAlign w:val="superscript"/>
              </w:rPr>
              <w:t>(8)</w:t>
            </w:r>
          </w:p>
        </w:tc>
      </w:tr>
      <w:tr>
        <w:trPr>
          <w:trHeight w:val="223"/>
        </w:trPr>
        <w:tc>
          <w:tcPr>
            <w:tcW w:w="1320" w:type="dxa"/>
            <w:vAlign w:val="bottom"/>
            <w:tcBorders>
              <w:bottom w:val="single" w:sz="8" w:color="00519B"/>
            </w:tcBorders>
          </w:tcPr>
          <w:p>
            <w:pPr>
              <w:ind w:left="60"/>
              <w:spacing w:after="0"/>
              <w:rPr>
                <w:sz w:val="20"/>
                <w:szCs w:val="20"/>
                <w:color w:val="auto"/>
              </w:rPr>
            </w:pPr>
            <w:r>
              <w:rPr>
                <w:rFonts w:ascii="Arial" w:cs="Arial" w:eastAsia="Arial" w:hAnsi="Arial"/>
                <w:sz w:val="14"/>
                <w:szCs w:val="14"/>
                <w:b w:val="1"/>
                <w:bCs w:val="1"/>
                <w:color w:val="00519B"/>
              </w:rPr>
              <w:t>Year</w:t>
            </w:r>
          </w:p>
        </w:tc>
        <w:tc>
          <w:tcPr>
            <w:tcW w:w="2100" w:type="dxa"/>
            <w:vAlign w:val="bottom"/>
            <w:tcBorders>
              <w:bottom w:val="single" w:sz="8" w:color="00519B"/>
            </w:tcBorders>
          </w:tcPr>
          <w:p>
            <w:pPr>
              <w:jc w:val="right"/>
              <w:ind w:right="68"/>
              <w:spacing w:after="0" w:line="216" w:lineRule="exact"/>
              <w:rPr>
                <w:sz w:val="20"/>
                <w:szCs w:val="20"/>
                <w:color w:val="auto"/>
              </w:rPr>
            </w:pPr>
            <w:r>
              <w:rPr>
                <w:rFonts w:ascii="Arial" w:cs="Arial" w:eastAsia="Arial" w:hAnsi="Arial"/>
                <w:sz w:val="14"/>
                <w:szCs w:val="14"/>
                <w:b w:val="1"/>
                <w:bCs w:val="1"/>
                <w:color w:val="00519B"/>
              </w:rPr>
              <w:t>CEO</w:t>
            </w:r>
            <w:r>
              <w:rPr>
                <w:rFonts w:ascii="Arial" w:cs="Arial" w:eastAsia="Arial" w:hAnsi="Arial"/>
                <w:sz w:val="23"/>
                <w:szCs w:val="23"/>
                <w:b w:val="1"/>
                <w:bCs w:val="1"/>
                <w:color w:val="00519B"/>
                <w:vertAlign w:val="superscript"/>
              </w:rPr>
              <w:t>(1)</w:t>
            </w:r>
          </w:p>
        </w:tc>
        <w:tc>
          <w:tcPr>
            <w:tcW w:w="420" w:type="dxa"/>
            <w:vAlign w:val="bottom"/>
            <w:tcBorders>
              <w:bottom w:val="single" w:sz="8" w:color="00519B"/>
            </w:tcBorders>
          </w:tcPr>
          <w:p>
            <w:pPr>
              <w:spacing w:after="0"/>
              <w:rPr>
                <w:sz w:val="19"/>
                <w:szCs w:val="19"/>
                <w:color w:val="auto"/>
              </w:rPr>
            </w:pPr>
          </w:p>
        </w:tc>
        <w:tc>
          <w:tcPr>
            <w:tcW w:w="820" w:type="dxa"/>
            <w:vAlign w:val="bottom"/>
            <w:tcBorders>
              <w:bottom w:val="single" w:sz="8" w:color="00519B"/>
            </w:tcBorders>
          </w:tcPr>
          <w:p>
            <w:pPr>
              <w:jc w:val="right"/>
              <w:ind w:right="28"/>
              <w:spacing w:after="0" w:line="216" w:lineRule="exact"/>
              <w:rPr>
                <w:sz w:val="20"/>
                <w:szCs w:val="20"/>
                <w:color w:val="auto"/>
              </w:rPr>
            </w:pPr>
            <w:r>
              <w:rPr>
                <w:rFonts w:ascii="Arial" w:cs="Arial" w:eastAsia="Arial" w:hAnsi="Arial"/>
                <w:sz w:val="14"/>
                <w:szCs w:val="14"/>
                <w:b w:val="1"/>
                <w:bCs w:val="1"/>
                <w:color w:val="00519B"/>
              </w:rPr>
              <w:t>to CEO</w:t>
            </w:r>
            <w:r>
              <w:rPr>
                <w:rFonts w:ascii="Arial" w:cs="Arial" w:eastAsia="Arial" w:hAnsi="Arial"/>
                <w:sz w:val="23"/>
                <w:szCs w:val="23"/>
                <w:b w:val="1"/>
                <w:bCs w:val="1"/>
                <w:color w:val="00519B"/>
                <w:vertAlign w:val="superscript"/>
              </w:rPr>
              <w:t>(2)</w:t>
            </w:r>
          </w:p>
        </w:tc>
        <w:tc>
          <w:tcPr>
            <w:tcW w:w="1280" w:type="dxa"/>
            <w:vAlign w:val="bottom"/>
            <w:tcBorders>
              <w:bottom w:val="single" w:sz="8" w:color="00519B"/>
            </w:tcBorders>
          </w:tcPr>
          <w:p>
            <w:pPr>
              <w:jc w:val="right"/>
              <w:ind w:right="48"/>
              <w:spacing w:after="0" w:line="216" w:lineRule="exact"/>
              <w:rPr>
                <w:sz w:val="20"/>
                <w:szCs w:val="20"/>
                <w:color w:val="auto"/>
              </w:rPr>
            </w:pPr>
            <w:r>
              <w:rPr>
                <w:rFonts w:ascii="Arial" w:cs="Arial" w:eastAsia="Arial" w:hAnsi="Arial"/>
                <w:sz w:val="14"/>
                <w:szCs w:val="14"/>
                <w:b w:val="1"/>
                <w:bCs w:val="1"/>
                <w:color w:val="00519B"/>
              </w:rPr>
              <w:t>Other NEOs</w:t>
            </w:r>
            <w:r>
              <w:rPr>
                <w:rFonts w:ascii="Arial" w:cs="Arial" w:eastAsia="Arial" w:hAnsi="Arial"/>
                <w:sz w:val="23"/>
                <w:szCs w:val="23"/>
                <w:b w:val="1"/>
                <w:bCs w:val="1"/>
                <w:color w:val="00519B"/>
                <w:vertAlign w:val="superscript"/>
              </w:rPr>
              <w:t>(3)</w:t>
            </w:r>
          </w:p>
        </w:tc>
        <w:tc>
          <w:tcPr>
            <w:tcW w:w="400" w:type="dxa"/>
            <w:vAlign w:val="bottom"/>
            <w:tcBorders>
              <w:bottom w:val="single" w:sz="8" w:color="00519B"/>
            </w:tcBorders>
          </w:tcPr>
          <w:p>
            <w:pPr>
              <w:spacing w:after="0"/>
              <w:rPr>
                <w:sz w:val="19"/>
                <w:szCs w:val="19"/>
                <w:color w:val="auto"/>
              </w:rPr>
            </w:pPr>
          </w:p>
        </w:tc>
        <w:tc>
          <w:tcPr>
            <w:tcW w:w="900" w:type="dxa"/>
            <w:vAlign w:val="bottom"/>
            <w:tcBorders>
              <w:bottom w:val="single" w:sz="8" w:color="00519B"/>
            </w:tcBorders>
          </w:tcPr>
          <w:p>
            <w:pPr>
              <w:jc w:val="right"/>
              <w:ind w:right="108"/>
              <w:spacing w:after="0" w:line="216" w:lineRule="exact"/>
              <w:rPr>
                <w:sz w:val="20"/>
                <w:szCs w:val="20"/>
                <w:color w:val="auto"/>
              </w:rPr>
            </w:pPr>
            <w:r>
              <w:rPr>
                <w:rFonts w:ascii="Arial" w:cs="Arial" w:eastAsia="Arial" w:hAnsi="Arial"/>
                <w:sz w:val="14"/>
                <w:szCs w:val="14"/>
                <w:b w:val="1"/>
                <w:bCs w:val="1"/>
                <w:color w:val="00519B"/>
              </w:rPr>
              <w:t>NEOs</w:t>
            </w:r>
            <w:r>
              <w:rPr>
                <w:rFonts w:ascii="Arial" w:cs="Arial" w:eastAsia="Arial" w:hAnsi="Arial"/>
                <w:sz w:val="23"/>
                <w:szCs w:val="23"/>
                <w:b w:val="1"/>
                <w:bCs w:val="1"/>
                <w:color w:val="00519B"/>
                <w:vertAlign w:val="superscript"/>
              </w:rPr>
              <w:t>(4)</w:t>
            </w:r>
          </w:p>
        </w:tc>
        <w:tc>
          <w:tcPr>
            <w:tcW w:w="1060" w:type="dxa"/>
            <w:vAlign w:val="bottom"/>
            <w:tcBorders>
              <w:bottom w:val="single" w:sz="8" w:color="00519B"/>
            </w:tcBorders>
            <w:gridSpan w:val="2"/>
          </w:tcPr>
          <w:p>
            <w:pPr>
              <w:jc w:val="right"/>
              <w:ind w:right="88"/>
              <w:spacing w:after="0" w:line="216" w:lineRule="exact"/>
              <w:rPr>
                <w:sz w:val="20"/>
                <w:szCs w:val="20"/>
                <w:color w:val="auto"/>
              </w:rPr>
            </w:pPr>
            <w:r>
              <w:rPr>
                <w:rFonts w:ascii="Arial" w:cs="Arial" w:eastAsia="Arial" w:hAnsi="Arial"/>
                <w:sz w:val="14"/>
                <w:szCs w:val="14"/>
                <w:b w:val="1"/>
                <w:bCs w:val="1"/>
                <w:color w:val="00519B"/>
              </w:rPr>
              <w:t>Return</w:t>
            </w:r>
            <w:r>
              <w:rPr>
                <w:rFonts w:ascii="Arial" w:cs="Arial" w:eastAsia="Arial" w:hAnsi="Arial"/>
                <w:sz w:val="23"/>
                <w:szCs w:val="23"/>
                <w:b w:val="1"/>
                <w:bCs w:val="1"/>
                <w:color w:val="00519B"/>
                <w:vertAlign w:val="superscript"/>
              </w:rPr>
              <w:t>(5)</w:t>
            </w:r>
          </w:p>
        </w:tc>
        <w:tc>
          <w:tcPr>
            <w:tcW w:w="1120" w:type="dxa"/>
            <w:vAlign w:val="bottom"/>
            <w:tcBorders>
              <w:bottom w:val="single" w:sz="8" w:color="00519B"/>
            </w:tcBorders>
            <w:gridSpan w:val="3"/>
          </w:tcPr>
          <w:p>
            <w:pPr>
              <w:jc w:val="right"/>
              <w:ind w:right="120"/>
              <w:spacing w:after="0" w:line="216" w:lineRule="exact"/>
              <w:rPr>
                <w:sz w:val="20"/>
                <w:szCs w:val="20"/>
                <w:color w:val="auto"/>
              </w:rPr>
            </w:pPr>
            <w:r>
              <w:rPr>
                <w:rFonts w:ascii="Arial" w:cs="Arial" w:eastAsia="Arial" w:hAnsi="Arial"/>
                <w:sz w:val="14"/>
                <w:szCs w:val="14"/>
                <w:b w:val="1"/>
                <w:bCs w:val="1"/>
                <w:color w:val="00519B"/>
              </w:rPr>
              <w:t>Return</w:t>
            </w:r>
            <w:r>
              <w:rPr>
                <w:rFonts w:ascii="Arial" w:cs="Arial" w:eastAsia="Arial" w:hAnsi="Arial"/>
                <w:sz w:val="23"/>
                <w:szCs w:val="23"/>
                <w:b w:val="1"/>
                <w:bCs w:val="1"/>
                <w:color w:val="00519B"/>
                <w:vertAlign w:val="superscript"/>
              </w:rPr>
              <w:t>(6)</w:t>
            </w:r>
          </w:p>
        </w:tc>
        <w:tc>
          <w:tcPr>
            <w:tcW w:w="880" w:type="dxa"/>
            <w:vAlign w:val="bottom"/>
            <w:tcBorders>
              <w:bottom w:val="single" w:sz="8" w:color="00519B"/>
            </w:tcBorders>
            <w:gridSpan w:val="2"/>
          </w:tcPr>
          <w:p>
            <w:pPr>
              <w:jc w:val="right"/>
              <w:ind w:right="28"/>
              <w:spacing w:after="0"/>
              <w:rPr>
                <w:sz w:val="20"/>
                <w:szCs w:val="20"/>
                <w:color w:val="auto"/>
              </w:rPr>
            </w:pPr>
            <w:r>
              <w:rPr>
                <w:rFonts w:ascii="Arial" w:cs="Arial" w:eastAsia="Arial" w:hAnsi="Arial"/>
                <w:sz w:val="14"/>
                <w:szCs w:val="14"/>
                <w:b w:val="1"/>
                <w:bCs w:val="1"/>
                <w:color w:val="00519B"/>
              </w:rPr>
              <w:t>(millions)</w:t>
            </w:r>
          </w:p>
        </w:tc>
        <w:tc>
          <w:tcPr>
            <w:tcW w:w="940" w:type="dxa"/>
            <w:vAlign w:val="bottom"/>
            <w:tcBorders>
              <w:bottom w:val="single" w:sz="8" w:color="00519B"/>
            </w:tcBorders>
          </w:tcPr>
          <w:p>
            <w:pPr>
              <w:jc w:val="right"/>
              <w:spacing w:after="0"/>
              <w:rPr>
                <w:sz w:val="20"/>
                <w:szCs w:val="20"/>
                <w:color w:val="auto"/>
              </w:rPr>
            </w:pPr>
            <w:r>
              <w:rPr>
                <w:rFonts w:ascii="Arial" w:cs="Arial" w:eastAsia="Arial" w:hAnsi="Arial"/>
                <w:sz w:val="14"/>
                <w:szCs w:val="14"/>
                <w:b w:val="1"/>
                <w:bCs w:val="1"/>
                <w:color w:val="00519B"/>
              </w:rPr>
              <w:t>(non-GAAP)</w:t>
            </w:r>
          </w:p>
        </w:tc>
      </w:tr>
      <w:tr>
        <w:trPr>
          <w:trHeight w:val="212"/>
        </w:trPr>
        <w:tc>
          <w:tcPr>
            <w:tcW w:w="13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2022</w:t>
            </w:r>
          </w:p>
        </w:tc>
        <w:tc>
          <w:tcPr>
            <w:tcW w:w="210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$14,969,510</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w w:val="99"/>
              </w:rPr>
              <w:t>59,216,041</w:t>
            </w:r>
          </w:p>
        </w:tc>
        <w:tc>
          <w:tcPr>
            <w:tcW w:w="128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rPr>
              <w:t>$5,953,206</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9"/>
              </w:rPr>
              <w:t>15,703,810</w:t>
            </w:r>
          </w:p>
        </w:tc>
        <w:tc>
          <w:tcPr>
            <w:tcW w:w="6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w w:val="94"/>
              </w:rPr>
              <w:t>171</w:t>
            </w:r>
          </w:p>
        </w:tc>
        <w:tc>
          <w:tcPr>
            <w:tcW w:w="1120" w:type="dxa"/>
            <w:vAlign w:val="bottom"/>
            <w:tcBorders>
              <w:bottom w:val="single" w:sz="8" w:color="D1D2D4"/>
            </w:tcBorders>
            <w:gridSpan w:val="3"/>
          </w:tcPr>
          <w:p>
            <w:pPr>
              <w:jc w:val="right"/>
              <w:ind w:right="120"/>
              <w:spacing w:after="0"/>
              <w:rPr>
                <w:sz w:val="20"/>
                <w:szCs w:val="20"/>
                <w:color w:val="auto"/>
              </w:rPr>
            </w:pPr>
            <w:r>
              <w:rPr>
                <w:rFonts w:ascii="Arial" w:cs="Arial" w:eastAsia="Arial" w:hAnsi="Arial"/>
                <w:sz w:val="14"/>
                <w:szCs w:val="14"/>
                <w:color w:val="auto"/>
              </w:rPr>
              <w:t>$ 151</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13,304</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36%</w:t>
            </w:r>
          </w:p>
        </w:tc>
      </w:tr>
      <w:tr>
        <w:trPr>
          <w:trHeight w:val="209"/>
        </w:trPr>
        <w:tc>
          <w:tcPr>
            <w:tcW w:w="13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2021</w:t>
            </w:r>
          </w:p>
        </w:tc>
        <w:tc>
          <w:tcPr>
            <w:tcW w:w="210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$ 11,068,539</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w w:val="99"/>
              </w:rPr>
              <w:t>25,210,335</w:t>
            </w:r>
          </w:p>
        </w:tc>
        <w:tc>
          <w:tcPr>
            <w:tcW w:w="128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rPr>
              <w:t>$4,898,834</w:t>
            </w: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7,786,898</w:t>
            </w:r>
          </w:p>
        </w:tc>
        <w:tc>
          <w:tcPr>
            <w:tcW w:w="6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78</w:t>
            </w:r>
          </w:p>
        </w:tc>
        <w:tc>
          <w:tcPr>
            <w:tcW w:w="840" w:type="dxa"/>
            <w:vAlign w:val="bottom"/>
            <w:tcBorders>
              <w:bottom w:val="single" w:sz="8" w:color="D1D2D4"/>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1D2D4"/>
            </w:tcBorders>
            <w:gridSpan w:val="2"/>
          </w:tcPr>
          <w:p>
            <w:pPr>
              <w:jc w:val="right"/>
              <w:ind w:right="120"/>
              <w:spacing w:after="0"/>
              <w:rPr>
                <w:sz w:val="20"/>
                <w:szCs w:val="20"/>
                <w:color w:val="auto"/>
              </w:rPr>
            </w:pPr>
            <w:r>
              <w:rPr>
                <w:rFonts w:ascii="Arial" w:cs="Arial" w:eastAsia="Arial" w:hAnsi="Arial"/>
                <w:sz w:val="14"/>
                <w:szCs w:val="14"/>
                <w:color w:val="auto"/>
                <w:w w:val="89"/>
              </w:rPr>
              <w:t>97</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1D2D4"/>
            </w:tcBorders>
          </w:tcPr>
          <w:p>
            <w:pPr>
              <w:jc w:val="right"/>
              <w:ind w:right="28"/>
              <w:spacing w:after="0"/>
              <w:rPr>
                <w:sz w:val="20"/>
                <w:szCs w:val="20"/>
                <w:color w:val="auto"/>
              </w:rPr>
            </w:pPr>
            <w:r>
              <w:rPr>
                <w:rFonts w:ascii="Arial" w:cs="Arial" w:eastAsia="Arial" w:hAnsi="Arial"/>
                <w:sz w:val="14"/>
                <w:szCs w:val="14"/>
                <w:color w:val="auto"/>
              </w:rPr>
              <w:t>2,790</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22%</w:t>
            </w:r>
          </w:p>
        </w:tc>
      </w:tr>
      <w:tr>
        <w:trPr>
          <w:trHeight w:val="221"/>
        </w:trPr>
        <w:tc>
          <w:tcPr>
            <w:tcW w:w="1320" w:type="dxa"/>
            <w:vAlign w:val="bottom"/>
            <w:tcBorders>
              <w:bottom w:val="single" w:sz="8" w:color="00519B"/>
            </w:tcBorders>
          </w:tcPr>
          <w:p>
            <w:pPr>
              <w:ind w:left="60"/>
              <w:spacing w:after="0"/>
              <w:rPr>
                <w:sz w:val="20"/>
                <w:szCs w:val="20"/>
                <w:color w:val="auto"/>
              </w:rPr>
            </w:pPr>
            <w:r>
              <w:rPr>
                <w:rFonts w:ascii="Arial" w:cs="Arial" w:eastAsia="Arial" w:hAnsi="Arial"/>
                <w:sz w:val="14"/>
                <w:szCs w:val="14"/>
                <w:color w:val="auto"/>
              </w:rPr>
              <w:t>2020</w:t>
            </w:r>
          </w:p>
        </w:tc>
        <w:tc>
          <w:tcPr>
            <w:tcW w:w="2100" w:type="dxa"/>
            <w:vAlign w:val="bottom"/>
            <w:tcBorders>
              <w:bottom w:val="single" w:sz="8" w:color="00519B"/>
            </w:tcBorders>
          </w:tcPr>
          <w:p>
            <w:pPr>
              <w:jc w:val="right"/>
              <w:ind w:right="68"/>
              <w:spacing w:after="0"/>
              <w:rPr>
                <w:sz w:val="20"/>
                <w:szCs w:val="20"/>
                <w:color w:val="auto"/>
              </w:rPr>
            </w:pPr>
            <w:r>
              <w:rPr>
                <w:rFonts w:ascii="Arial" w:cs="Arial" w:eastAsia="Arial" w:hAnsi="Arial"/>
                <w:sz w:val="14"/>
                <w:szCs w:val="14"/>
                <w:color w:val="auto"/>
              </w:rPr>
              <w:t>$14,165,451</w:t>
            </w:r>
          </w:p>
        </w:tc>
        <w:tc>
          <w:tcPr>
            <w:tcW w:w="42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519B"/>
            </w:tcBorders>
          </w:tcPr>
          <w:p>
            <w:pPr>
              <w:jc w:val="right"/>
              <w:ind w:right="28"/>
              <w:spacing w:after="0"/>
              <w:rPr>
                <w:sz w:val="20"/>
                <w:szCs w:val="20"/>
                <w:color w:val="auto"/>
              </w:rPr>
            </w:pPr>
            <w:r>
              <w:rPr>
                <w:rFonts w:ascii="Arial" w:cs="Arial" w:eastAsia="Arial" w:hAnsi="Arial"/>
                <w:sz w:val="14"/>
                <w:szCs w:val="14"/>
                <w:color w:val="auto"/>
              </w:rPr>
              <w:t>7,782,684</w:t>
            </w:r>
          </w:p>
        </w:tc>
        <w:tc>
          <w:tcPr>
            <w:tcW w:w="1280" w:type="dxa"/>
            <w:vAlign w:val="bottom"/>
            <w:tcBorders>
              <w:bottom w:val="single" w:sz="8" w:color="00519B"/>
            </w:tcBorders>
          </w:tcPr>
          <w:p>
            <w:pPr>
              <w:jc w:val="right"/>
              <w:ind w:right="48"/>
              <w:spacing w:after="0"/>
              <w:rPr>
                <w:sz w:val="20"/>
                <w:szCs w:val="20"/>
                <w:color w:val="auto"/>
              </w:rPr>
            </w:pPr>
            <w:r>
              <w:rPr>
                <w:rFonts w:ascii="Arial" w:cs="Arial" w:eastAsia="Arial" w:hAnsi="Arial"/>
                <w:sz w:val="14"/>
                <w:szCs w:val="14"/>
                <w:color w:val="auto"/>
              </w:rPr>
              <w:t>$4,697,945</w:t>
            </w:r>
          </w:p>
        </w:tc>
        <w:tc>
          <w:tcPr>
            <w:tcW w:w="40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519B"/>
            </w:tcBorders>
          </w:tcPr>
          <w:p>
            <w:pPr>
              <w:jc w:val="right"/>
              <w:ind w:right="108"/>
              <w:spacing w:after="0"/>
              <w:rPr>
                <w:sz w:val="20"/>
                <w:szCs w:val="20"/>
                <w:color w:val="auto"/>
              </w:rPr>
            </w:pPr>
            <w:r>
              <w:rPr>
                <w:rFonts w:ascii="Arial" w:cs="Arial" w:eastAsia="Arial" w:hAnsi="Arial"/>
                <w:sz w:val="14"/>
                <w:szCs w:val="14"/>
                <w:color w:val="auto"/>
              </w:rPr>
              <w:t>1,381,898</w:t>
            </w:r>
          </w:p>
        </w:tc>
        <w:tc>
          <w:tcPr>
            <w:tcW w:w="66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519B"/>
            </w:tcBorders>
          </w:tcPr>
          <w:p>
            <w:pPr>
              <w:jc w:val="right"/>
              <w:ind w:right="88"/>
              <w:spacing w:after="0"/>
              <w:rPr>
                <w:sz w:val="20"/>
                <w:szCs w:val="20"/>
                <w:color w:val="auto"/>
              </w:rPr>
            </w:pPr>
            <w:r>
              <w:rPr>
                <w:rFonts w:ascii="Arial" w:cs="Arial" w:eastAsia="Arial" w:hAnsi="Arial"/>
                <w:sz w:val="14"/>
                <w:szCs w:val="14"/>
                <w:color w:val="auto"/>
              </w:rPr>
              <w:t>46</w:t>
            </w:r>
          </w:p>
        </w:tc>
        <w:tc>
          <w:tcPr>
            <w:tcW w:w="840" w:type="dxa"/>
            <w:vAlign w:val="bottom"/>
            <w:tcBorders>
              <w:bottom w:val="single" w:sz="8" w:color="00519B"/>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519B"/>
            </w:tcBorders>
            <w:gridSpan w:val="2"/>
          </w:tcPr>
          <w:p>
            <w:pPr>
              <w:jc w:val="right"/>
              <w:ind w:right="120"/>
              <w:spacing w:after="0"/>
              <w:rPr>
                <w:sz w:val="20"/>
                <w:szCs w:val="20"/>
                <w:color w:val="auto"/>
              </w:rPr>
            </w:pPr>
            <w:r>
              <w:rPr>
                <w:rFonts w:ascii="Arial" w:cs="Arial" w:eastAsia="Arial" w:hAnsi="Arial"/>
                <w:sz w:val="14"/>
                <w:szCs w:val="14"/>
                <w:color w:val="auto"/>
                <w:w w:val="89"/>
              </w:rPr>
              <w:t>66</w:t>
            </w:r>
          </w:p>
        </w:tc>
        <w:tc>
          <w:tcPr>
            <w:tcW w:w="28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w w:val="99"/>
              </w:rPr>
              <w:t>(13,533)</w:t>
            </w:r>
          </w:p>
        </w:tc>
        <w:tc>
          <w:tcPr>
            <w:tcW w:w="94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9%</w:t>
            </w:r>
          </w:p>
        </w:tc>
      </w:tr>
    </w:tbl>
    <w:p>
      <w:pPr>
        <w:spacing w:after="0" w:line="306"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10"/>
          <w:szCs w:val="10"/>
          <w:color w:val="auto"/>
        </w:rPr>
      </w:pPr>
      <w:r>
        <w:rPr>
          <w:rFonts w:ascii="Arial" w:cs="Arial" w:eastAsia="Arial" w:hAnsi="Arial"/>
          <w:sz w:val="13"/>
          <w:szCs w:val="13"/>
          <w:color w:val="auto"/>
        </w:rPr>
        <w:t>The dollar amounts reported are the amounts of “Total” compensation reported in our Summary Compensation Table for our CEO, Vicki Hollub, during each year.</w:t>
      </w:r>
    </w:p>
    <w:p>
      <w:pPr>
        <w:spacing w:after="0" w:line="93" w:lineRule="exact"/>
        <w:rPr>
          <w:rFonts w:ascii="Arial" w:cs="Arial" w:eastAsia="Arial" w:hAnsi="Arial"/>
          <w:sz w:val="10"/>
          <w:szCs w:val="10"/>
          <w:color w:val="auto"/>
        </w:rPr>
      </w:pPr>
    </w:p>
    <w:p>
      <w:pPr>
        <w:ind w:left="300" w:right="160" w:hanging="292"/>
        <w:spacing w:after="0" w:line="233" w:lineRule="auto"/>
        <w:tabs>
          <w:tab w:leader="none" w:pos="300" w:val="left"/>
        </w:tabs>
        <w:numPr>
          <w:ilvl w:val="0"/>
          <w:numId w:val="75"/>
        </w:numPr>
        <w:rPr>
          <w:rFonts w:ascii="Arial" w:cs="Arial" w:eastAsia="Arial" w:hAnsi="Arial"/>
          <w:sz w:val="10"/>
          <w:szCs w:val="10"/>
          <w:color w:val="auto"/>
        </w:rPr>
      </w:pPr>
      <w:r>
        <w:rPr>
          <w:rFonts w:ascii="Arial" w:cs="Arial" w:eastAsia="Arial" w:hAnsi="Arial"/>
          <w:sz w:val="13"/>
          <w:szCs w:val="13"/>
          <w:color w:val="auto"/>
        </w:rPr>
        <w:t>The dollar amounts reported represent the amount of CAP, as computed in accordance with SEC rules for the CEO for each year. The dollar amounts do not reflect the actual amount of compensation earned by or paid to the CEO during the applicable year. In accordance with SEC rules, the following adjustments were made to total compensation to determine the compensation actually paid:</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3920" w:type="dxa"/>
            <w:vAlign w:val="bottom"/>
          </w:tcPr>
          <w:p>
            <w:pPr>
              <w:jc w:val="right"/>
              <w:ind w:right="168"/>
              <w:spacing w:after="0"/>
              <w:rPr>
                <w:sz w:val="20"/>
                <w:szCs w:val="20"/>
                <w:color w:val="auto"/>
              </w:rPr>
            </w:pPr>
            <w:r>
              <w:rPr>
                <w:rFonts w:ascii="Arial" w:cs="Arial" w:eastAsia="Arial" w:hAnsi="Arial"/>
                <w:sz w:val="14"/>
                <w:szCs w:val="14"/>
                <w:b w:val="1"/>
                <w:bCs w:val="1"/>
                <w:color w:val="00519B"/>
              </w:rPr>
              <w:t>Reported Summary</w:t>
            </w:r>
          </w:p>
        </w:tc>
        <w:tc>
          <w:tcPr>
            <w:tcW w:w="174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00519B"/>
              </w:rPr>
              <w:t>Reported Value of</w:t>
            </w:r>
          </w:p>
        </w:tc>
        <w:tc>
          <w:tcPr>
            <w:tcW w:w="15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00519B"/>
              </w:rPr>
              <w:t>Equity Award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3920" w:type="dxa"/>
            <w:vAlign w:val="bottom"/>
          </w:tcPr>
          <w:p>
            <w:pPr>
              <w:jc w:val="right"/>
              <w:ind w:right="168"/>
              <w:spacing w:after="0" w:line="145" w:lineRule="exact"/>
              <w:rPr>
                <w:sz w:val="20"/>
                <w:szCs w:val="20"/>
                <w:color w:val="auto"/>
              </w:rPr>
            </w:pPr>
            <w:r>
              <w:rPr>
                <w:rFonts w:ascii="Arial" w:cs="Arial" w:eastAsia="Arial" w:hAnsi="Arial"/>
                <w:sz w:val="14"/>
                <w:szCs w:val="14"/>
                <w:b w:val="1"/>
                <w:bCs w:val="1"/>
                <w:color w:val="00519B"/>
              </w:rPr>
              <w:t>Compensation Table</w:t>
            </w:r>
          </w:p>
        </w:tc>
        <w:tc>
          <w:tcPr>
            <w:tcW w:w="174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00519B"/>
            </w:tcBorders>
          </w:tcPr>
          <w:p>
            <w:pPr>
              <w:ind w:left="60"/>
              <w:spacing w:after="0"/>
              <w:rPr>
                <w:sz w:val="20"/>
                <w:szCs w:val="20"/>
                <w:color w:val="auto"/>
              </w:rPr>
            </w:pPr>
            <w:r>
              <w:rPr>
                <w:rFonts w:ascii="Arial" w:cs="Arial" w:eastAsia="Arial" w:hAnsi="Arial"/>
                <w:sz w:val="14"/>
                <w:szCs w:val="14"/>
                <w:b w:val="1"/>
                <w:bCs w:val="1"/>
                <w:color w:val="00519B"/>
              </w:rPr>
              <w:t>Year</w:t>
            </w:r>
          </w:p>
        </w:tc>
        <w:tc>
          <w:tcPr>
            <w:tcW w:w="3920" w:type="dxa"/>
            <w:vAlign w:val="bottom"/>
            <w:tcBorders>
              <w:bottom w:val="single" w:sz="8" w:color="00519B"/>
            </w:tcBorders>
          </w:tcPr>
          <w:p>
            <w:pPr>
              <w:jc w:val="right"/>
              <w:ind w:right="168"/>
              <w:spacing w:after="0"/>
              <w:rPr>
                <w:sz w:val="20"/>
                <w:szCs w:val="20"/>
                <w:color w:val="auto"/>
              </w:rPr>
            </w:pPr>
            <w:r>
              <w:rPr>
                <w:rFonts w:ascii="Arial" w:cs="Arial" w:eastAsia="Arial" w:hAnsi="Arial"/>
                <w:sz w:val="14"/>
                <w:szCs w:val="14"/>
                <w:b w:val="1"/>
                <w:bCs w:val="1"/>
                <w:color w:val="00519B"/>
              </w:rPr>
              <w:t>Total for CEO</w:t>
            </w:r>
          </w:p>
        </w:tc>
        <w:tc>
          <w:tcPr>
            <w:tcW w:w="1740" w:type="dxa"/>
            <w:vAlign w:val="bottom"/>
            <w:tcBorders>
              <w:bottom w:val="single" w:sz="8" w:color="00519B"/>
            </w:tcBorders>
            <w:gridSpan w:val="2"/>
          </w:tcPr>
          <w:p>
            <w:pPr>
              <w:jc w:val="right"/>
              <w:ind w:right="168"/>
              <w:spacing w:after="0" w:line="216" w:lineRule="exact"/>
              <w:rPr>
                <w:sz w:val="20"/>
                <w:szCs w:val="20"/>
                <w:color w:val="auto"/>
              </w:rPr>
            </w:pPr>
            <w:r>
              <w:rPr>
                <w:rFonts w:ascii="Arial" w:cs="Arial" w:eastAsia="Arial" w:hAnsi="Arial"/>
                <w:sz w:val="14"/>
                <w:szCs w:val="14"/>
                <w:b w:val="1"/>
                <w:bCs w:val="1"/>
                <w:color w:val="00519B"/>
              </w:rPr>
              <w:t>Equity Awards</w:t>
            </w:r>
            <w:r>
              <w:rPr>
                <w:rFonts w:ascii="Arial" w:cs="Arial" w:eastAsia="Arial" w:hAnsi="Arial"/>
                <w:sz w:val="23"/>
                <w:szCs w:val="23"/>
                <w:b w:val="1"/>
                <w:bCs w:val="1"/>
                <w:color w:val="00519B"/>
                <w:vertAlign w:val="superscript"/>
              </w:rPr>
              <w:t>(a)</w:t>
            </w:r>
          </w:p>
        </w:tc>
        <w:tc>
          <w:tcPr>
            <w:tcW w:w="1500" w:type="dxa"/>
            <w:vAlign w:val="bottom"/>
            <w:tcBorders>
              <w:bottom w:val="single" w:sz="8" w:color="00519B"/>
            </w:tcBorders>
            <w:gridSpan w:val="2"/>
          </w:tcPr>
          <w:p>
            <w:pPr>
              <w:jc w:val="right"/>
              <w:ind w:right="168"/>
              <w:spacing w:after="0" w:line="216" w:lineRule="exact"/>
              <w:rPr>
                <w:sz w:val="20"/>
                <w:szCs w:val="20"/>
                <w:color w:val="auto"/>
              </w:rPr>
            </w:pPr>
            <w:r>
              <w:rPr>
                <w:rFonts w:ascii="Arial" w:cs="Arial" w:eastAsia="Arial" w:hAnsi="Arial"/>
                <w:sz w:val="14"/>
                <w:szCs w:val="14"/>
                <w:b w:val="1"/>
                <w:bCs w:val="1"/>
                <w:color w:val="00519B"/>
              </w:rPr>
              <w:t>Adjustments</w:t>
            </w:r>
            <w:r>
              <w:rPr>
                <w:rFonts w:ascii="Arial" w:cs="Arial" w:eastAsia="Arial" w:hAnsi="Arial"/>
                <w:sz w:val="23"/>
                <w:szCs w:val="23"/>
                <w:b w:val="1"/>
                <w:bCs w:val="1"/>
                <w:color w:val="00519B"/>
                <w:vertAlign w:val="superscript"/>
              </w:rPr>
              <w:t>(b)</w:t>
            </w:r>
          </w:p>
        </w:tc>
        <w:tc>
          <w:tcPr>
            <w:tcW w:w="1160" w:type="dxa"/>
            <w:vAlign w:val="bottom"/>
            <w:tcBorders>
              <w:bottom w:val="single" w:sz="8" w:color="00519B"/>
            </w:tcBorders>
            <w:gridSpan w:val="2"/>
          </w:tcPr>
          <w:p>
            <w:pPr>
              <w:jc w:val="right"/>
              <w:ind w:right="8"/>
              <w:spacing w:after="0"/>
              <w:rPr>
                <w:sz w:val="20"/>
                <w:szCs w:val="20"/>
                <w:color w:val="auto"/>
              </w:rPr>
            </w:pPr>
            <w:r>
              <w:rPr>
                <w:rFonts w:ascii="Arial" w:cs="Arial" w:eastAsia="Arial" w:hAnsi="Arial"/>
                <w:sz w:val="14"/>
                <w:szCs w:val="14"/>
                <w:b w:val="1"/>
                <w:bCs w:val="1"/>
                <w:color w:val="00519B"/>
              </w:rPr>
              <w:t>CAP to CEO</w:t>
            </w:r>
          </w:p>
        </w:tc>
        <w:tc>
          <w:tcPr>
            <w:tcW w:w="0" w:type="dxa"/>
            <w:vAlign w:val="bottom"/>
          </w:tcPr>
          <w:p>
            <w:pPr>
              <w:spacing w:after="0"/>
              <w:rPr>
                <w:sz w:val="1"/>
                <w:szCs w:val="1"/>
                <w:color w:val="auto"/>
              </w:rPr>
            </w:pPr>
          </w:p>
        </w:tc>
      </w:tr>
      <w:tr>
        <w:trPr>
          <w:trHeight w:val="212"/>
        </w:trPr>
        <w:tc>
          <w:tcPr>
            <w:tcW w:w="266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2022</w:t>
            </w:r>
          </w:p>
        </w:tc>
        <w:tc>
          <w:tcPr>
            <w:tcW w:w="392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$14,969,510</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9,750,372</w:t>
            </w: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w w:val="99"/>
              </w:rPr>
              <w:t>53,996,903</w:t>
            </w:r>
          </w:p>
        </w:tc>
        <w:tc>
          <w:tcPr>
            <w:tcW w:w="3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ind w:right="8"/>
              <w:spacing w:after="0"/>
              <w:rPr>
                <w:sz w:val="20"/>
                <w:szCs w:val="20"/>
                <w:color w:val="auto"/>
              </w:rPr>
            </w:pPr>
            <w:r>
              <w:rPr>
                <w:rFonts w:ascii="Arial" w:cs="Arial" w:eastAsia="Arial" w:hAnsi="Arial"/>
                <w:sz w:val="14"/>
                <w:szCs w:val="14"/>
                <w:color w:val="auto"/>
                <w:w w:val="99"/>
              </w:rPr>
              <w:t>59,216,041</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2021</w:t>
            </w:r>
          </w:p>
        </w:tc>
        <w:tc>
          <w:tcPr>
            <w:tcW w:w="392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$ 11,068,539</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7,350,340</w:t>
            </w: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w w:val="99"/>
              </w:rPr>
              <w:t>21,492,136</w:t>
            </w:r>
          </w:p>
        </w:tc>
        <w:tc>
          <w:tcPr>
            <w:tcW w:w="3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ind w:right="8"/>
              <w:spacing w:after="0"/>
              <w:rPr>
                <w:sz w:val="20"/>
                <w:szCs w:val="20"/>
                <w:color w:val="auto"/>
              </w:rPr>
            </w:pPr>
            <w:r>
              <w:rPr>
                <w:rFonts w:ascii="Arial" w:cs="Arial" w:eastAsia="Arial" w:hAnsi="Arial"/>
                <w:sz w:val="14"/>
                <w:szCs w:val="14"/>
                <w:color w:val="auto"/>
                <w:w w:val="99"/>
              </w:rPr>
              <w:t>25,210,335</w:t>
            </w:r>
          </w:p>
        </w:tc>
        <w:tc>
          <w:tcPr>
            <w:tcW w:w="0" w:type="dxa"/>
            <w:vAlign w:val="bottom"/>
          </w:tcPr>
          <w:p>
            <w:pPr>
              <w:spacing w:after="0"/>
              <w:rPr>
                <w:sz w:val="1"/>
                <w:szCs w:val="1"/>
                <w:color w:val="auto"/>
              </w:rPr>
            </w:pPr>
          </w:p>
        </w:tc>
      </w:tr>
      <w:tr>
        <w:trPr>
          <w:trHeight w:val="221"/>
        </w:trPr>
        <w:tc>
          <w:tcPr>
            <w:tcW w:w="2660" w:type="dxa"/>
            <w:vAlign w:val="bottom"/>
            <w:tcBorders>
              <w:bottom w:val="single" w:sz="8" w:color="00519B"/>
            </w:tcBorders>
          </w:tcPr>
          <w:p>
            <w:pPr>
              <w:ind w:left="60"/>
              <w:spacing w:after="0"/>
              <w:rPr>
                <w:sz w:val="20"/>
                <w:szCs w:val="20"/>
                <w:color w:val="auto"/>
              </w:rPr>
            </w:pPr>
            <w:r>
              <w:rPr>
                <w:rFonts w:ascii="Arial" w:cs="Arial" w:eastAsia="Arial" w:hAnsi="Arial"/>
                <w:sz w:val="14"/>
                <w:szCs w:val="14"/>
                <w:color w:val="auto"/>
              </w:rPr>
              <w:t>2020</w:t>
            </w:r>
          </w:p>
        </w:tc>
        <w:tc>
          <w:tcPr>
            <w:tcW w:w="3920" w:type="dxa"/>
            <w:vAlign w:val="bottom"/>
            <w:tcBorders>
              <w:bottom w:val="single" w:sz="8" w:color="00519B"/>
            </w:tcBorders>
          </w:tcPr>
          <w:p>
            <w:pPr>
              <w:jc w:val="right"/>
              <w:ind w:right="168"/>
              <w:spacing w:after="0"/>
              <w:rPr>
                <w:sz w:val="20"/>
                <w:szCs w:val="20"/>
                <w:color w:val="auto"/>
              </w:rPr>
            </w:pPr>
            <w:r>
              <w:rPr>
                <w:rFonts w:ascii="Arial" w:cs="Arial" w:eastAsia="Arial" w:hAnsi="Arial"/>
                <w:sz w:val="14"/>
                <w:szCs w:val="14"/>
                <w:color w:val="auto"/>
              </w:rPr>
              <w:t>$14,165,451</w:t>
            </w:r>
          </w:p>
        </w:tc>
        <w:tc>
          <w:tcPr>
            <w:tcW w:w="78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19B"/>
            </w:tcBorders>
          </w:tcPr>
          <w:p>
            <w:pPr>
              <w:jc w:val="right"/>
              <w:ind w:right="168"/>
              <w:spacing w:after="0"/>
              <w:rPr>
                <w:sz w:val="20"/>
                <w:szCs w:val="20"/>
                <w:color w:val="auto"/>
              </w:rPr>
            </w:pPr>
            <w:r>
              <w:rPr>
                <w:rFonts w:ascii="Arial" w:cs="Arial" w:eastAsia="Arial" w:hAnsi="Arial"/>
                <w:sz w:val="14"/>
                <w:szCs w:val="14"/>
                <w:color w:val="auto"/>
                <w:w w:val="99"/>
              </w:rPr>
              <w:t>12,275,071</w:t>
            </w:r>
          </w:p>
        </w:tc>
        <w:tc>
          <w:tcPr>
            <w:tcW w:w="54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19B"/>
            </w:tcBorders>
          </w:tcPr>
          <w:p>
            <w:pPr>
              <w:jc w:val="right"/>
              <w:ind w:right="168"/>
              <w:spacing w:after="0"/>
              <w:rPr>
                <w:sz w:val="20"/>
                <w:szCs w:val="20"/>
                <w:color w:val="auto"/>
              </w:rPr>
            </w:pPr>
            <w:r>
              <w:rPr>
                <w:rFonts w:ascii="Arial" w:cs="Arial" w:eastAsia="Arial" w:hAnsi="Arial"/>
                <w:sz w:val="14"/>
                <w:szCs w:val="14"/>
                <w:color w:val="auto"/>
              </w:rPr>
              <w:t>5,892,304</w:t>
            </w:r>
          </w:p>
        </w:tc>
        <w:tc>
          <w:tcPr>
            <w:tcW w:w="36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519B"/>
            </w:tcBorders>
          </w:tcPr>
          <w:p>
            <w:pPr>
              <w:jc w:val="right"/>
              <w:ind w:right="8"/>
              <w:spacing w:after="0"/>
              <w:rPr>
                <w:sz w:val="20"/>
                <w:szCs w:val="20"/>
                <w:color w:val="auto"/>
              </w:rPr>
            </w:pPr>
            <w:r>
              <w:rPr>
                <w:rFonts w:ascii="Arial" w:cs="Arial" w:eastAsia="Arial" w:hAnsi="Arial"/>
                <w:sz w:val="14"/>
                <w:szCs w:val="14"/>
                <w:color w:val="auto"/>
              </w:rPr>
              <w:t>7,782,684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40" w:right="480" w:hanging="276"/>
        <w:spacing w:after="0" w:line="243" w:lineRule="auto"/>
        <w:tabs>
          <w:tab w:leader="none" w:pos="540" w:val="left"/>
        </w:tabs>
        <w:numPr>
          <w:ilvl w:val="0"/>
          <w:numId w:val="76"/>
        </w:numPr>
        <w:rPr>
          <w:rFonts w:ascii="Arial" w:cs="Arial" w:eastAsia="Arial" w:hAnsi="Arial"/>
          <w:sz w:val="10"/>
          <w:szCs w:val="10"/>
          <w:color w:val="auto"/>
        </w:rPr>
      </w:pPr>
      <w:r>
        <w:rPr>
          <w:rFonts w:ascii="Arial" w:cs="Arial" w:eastAsia="Arial" w:hAnsi="Arial"/>
          <w:sz w:val="13"/>
          <w:szCs w:val="13"/>
          <w:color w:val="auto"/>
        </w:rPr>
        <w:t>The grant date fair value of equity awards represents the total of the amounts reported in the “Stock Awards” and “Option Awards” columns in the Summary Compensation Table for the applicable year.</w:t>
      </w:r>
    </w:p>
    <w:p>
      <w:pPr>
        <w:spacing w:after="0" w:line="21" w:lineRule="exact"/>
        <w:rPr>
          <w:rFonts w:ascii="Arial" w:cs="Arial" w:eastAsia="Arial" w:hAnsi="Arial"/>
          <w:sz w:val="10"/>
          <w:szCs w:val="10"/>
          <w:color w:val="auto"/>
        </w:rPr>
      </w:pPr>
    </w:p>
    <w:p>
      <w:pPr>
        <w:ind w:left="540" w:right="100" w:hanging="276"/>
        <w:spacing w:after="0" w:line="243" w:lineRule="auto"/>
        <w:tabs>
          <w:tab w:leader="none" w:pos="540" w:val="left"/>
        </w:tabs>
        <w:numPr>
          <w:ilvl w:val="0"/>
          <w:numId w:val="76"/>
        </w:numPr>
        <w:rPr>
          <w:rFonts w:ascii="Arial" w:cs="Arial" w:eastAsia="Arial" w:hAnsi="Arial"/>
          <w:sz w:val="10"/>
          <w:szCs w:val="10"/>
          <w:color w:val="auto"/>
        </w:rPr>
      </w:pPr>
      <w:r>
        <w:rPr>
          <w:rFonts w:ascii="Arial" w:cs="Arial" w:eastAsia="Arial" w:hAnsi="Arial"/>
          <w:sz w:val="13"/>
          <w:szCs w:val="13"/>
          <w:color w:val="auto"/>
        </w:rPr>
        <w:t>The equity award adjustments for each applicable year were calculated in accordance with FASB ASC 718, and the valuation assumptions used to calculate fair values did not materially differ from those disclosed at the time of grant. These adjustments include the addition (or subtraction, as applicable) of the following:</w:t>
      </w:r>
    </w:p>
    <w:p>
      <w:pPr>
        <w:spacing w:after="0" w:line="2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Year over Year</w:t>
            </w:r>
          </w:p>
        </w:tc>
        <w:tc>
          <w:tcPr>
            <w:tcW w:w="15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Fair Value at</w:t>
            </w:r>
          </w:p>
        </w:tc>
        <w:tc>
          <w:tcPr>
            <w:tcW w:w="58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00519B"/>
              </w:rPr>
              <w:t>Value of</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Year over Year</w:t>
            </w:r>
          </w:p>
        </w:tc>
        <w:tc>
          <w:tcPr>
            <w:tcW w:w="5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00519B"/>
              </w:rPr>
              <w:t>Change in</w:t>
            </w:r>
          </w:p>
        </w:tc>
        <w:tc>
          <w:tcPr>
            <w:tcW w:w="15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the End of the</w:t>
            </w:r>
          </w:p>
        </w:tc>
        <w:tc>
          <w:tcPr>
            <w:tcW w:w="14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00519B"/>
              </w:rPr>
              <w:t>Dividends or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00519B"/>
              </w:rPr>
              <w:t>Change in</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Fair Value of</w:t>
            </w:r>
          </w:p>
        </w:tc>
        <w:tc>
          <w:tcPr>
            <w:tcW w:w="1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Prior Year of</w:t>
            </w:r>
          </w:p>
        </w:tc>
        <w:tc>
          <w:tcPr>
            <w:tcW w:w="14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00519B"/>
              </w:rPr>
              <w:t>other Earnings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Fair Value of</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Equity Awards</w:t>
            </w:r>
          </w:p>
        </w:tc>
        <w:tc>
          <w:tcPr>
            <w:tcW w:w="15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Equity Awards</w:t>
            </w:r>
          </w:p>
        </w:tc>
        <w:tc>
          <w:tcPr>
            <w:tcW w:w="14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Paid on Stock or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3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Year End Fair</w:t>
            </w:r>
          </w:p>
        </w:tc>
        <w:tc>
          <w:tcPr>
            <w:tcW w:w="1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Outstanding and</w:t>
            </w:r>
          </w:p>
        </w:tc>
        <w:tc>
          <w:tcPr>
            <w:tcW w:w="5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00519B"/>
                <w:w w:val="99"/>
              </w:rPr>
              <w:t>Granted in</w:t>
            </w:r>
          </w:p>
        </w:tc>
        <w:tc>
          <w:tcPr>
            <w:tcW w:w="1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that Failed to</w:t>
            </w:r>
          </w:p>
        </w:tc>
        <w:tc>
          <w:tcPr>
            <w:tcW w:w="14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Option Awards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3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Value of Equity</w:t>
            </w:r>
          </w:p>
        </w:tc>
        <w:tc>
          <w:tcPr>
            <w:tcW w:w="1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Unvested Equity</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Prior Years that</w:t>
            </w:r>
          </w:p>
        </w:tc>
        <w:tc>
          <w:tcPr>
            <w:tcW w:w="1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Meet Vesting</w:t>
            </w:r>
          </w:p>
        </w:tc>
        <w:tc>
          <w:tcPr>
            <w:tcW w:w="14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not Otherwise</w:t>
            </w:r>
          </w:p>
        </w:tc>
        <w:tc>
          <w:tcPr>
            <w:tcW w:w="11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00519B"/>
              </w:rPr>
              <w:t>Total Equity</w:t>
            </w:r>
          </w:p>
        </w:tc>
      </w:tr>
      <w:tr>
        <w:trPr>
          <w:trHeight w:val="162"/>
        </w:trPr>
        <w:tc>
          <w:tcPr>
            <w:tcW w:w="1360" w:type="dxa"/>
            <w:vAlign w:val="bottom"/>
          </w:tcPr>
          <w:p>
            <w:pPr>
              <w:spacing w:after="0"/>
              <w:rPr>
                <w:sz w:val="14"/>
                <w:szCs w:val="14"/>
                <w:color w:val="auto"/>
              </w:rPr>
            </w:pPr>
          </w:p>
        </w:tc>
        <w:tc>
          <w:tcPr>
            <w:tcW w:w="23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Awards Granted</w:t>
            </w:r>
          </w:p>
        </w:tc>
        <w:tc>
          <w:tcPr>
            <w:tcW w:w="1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Awards Granted</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Vested in the</w:t>
            </w:r>
          </w:p>
        </w:tc>
        <w:tc>
          <w:tcPr>
            <w:tcW w:w="15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Conditions in the</w:t>
            </w:r>
          </w:p>
        </w:tc>
        <w:tc>
          <w:tcPr>
            <w:tcW w:w="14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00519B"/>
              </w:rPr>
              <w:t>Reflected in Fair</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0519B"/>
              </w:rPr>
              <w:t>Award</w:t>
            </w:r>
          </w:p>
        </w:tc>
      </w:tr>
      <w:tr>
        <w:trPr>
          <w:trHeight w:val="205"/>
        </w:trPr>
        <w:tc>
          <w:tcPr>
            <w:tcW w:w="1360" w:type="dxa"/>
            <w:vAlign w:val="bottom"/>
            <w:tcBorders>
              <w:bottom w:val="single" w:sz="8" w:color="00519B"/>
            </w:tcBorders>
          </w:tcPr>
          <w:p>
            <w:pPr>
              <w:ind w:left="40"/>
              <w:spacing w:after="0"/>
              <w:rPr>
                <w:sz w:val="20"/>
                <w:szCs w:val="20"/>
                <w:color w:val="auto"/>
              </w:rPr>
            </w:pPr>
            <w:r>
              <w:rPr>
                <w:rFonts w:ascii="Arial" w:cs="Arial" w:eastAsia="Arial" w:hAnsi="Arial"/>
                <w:sz w:val="14"/>
                <w:szCs w:val="14"/>
                <w:b w:val="1"/>
                <w:bCs w:val="1"/>
                <w:color w:val="00519B"/>
              </w:rPr>
              <w:t>Year</w:t>
            </w:r>
          </w:p>
        </w:tc>
        <w:tc>
          <w:tcPr>
            <w:tcW w:w="2340" w:type="dxa"/>
            <w:vAlign w:val="bottom"/>
            <w:tcBorders>
              <w:bottom w:val="single" w:sz="8" w:color="00519B"/>
            </w:tcBorders>
            <w:gridSpan w:val="2"/>
          </w:tcPr>
          <w:p>
            <w:pPr>
              <w:jc w:val="right"/>
              <w:ind w:right="148"/>
              <w:spacing w:after="0"/>
              <w:rPr>
                <w:sz w:val="20"/>
                <w:szCs w:val="20"/>
                <w:color w:val="auto"/>
              </w:rPr>
            </w:pPr>
            <w:r>
              <w:rPr>
                <w:rFonts w:ascii="Arial" w:cs="Arial" w:eastAsia="Arial" w:hAnsi="Arial"/>
                <w:sz w:val="14"/>
                <w:szCs w:val="14"/>
                <w:b w:val="1"/>
                <w:bCs w:val="1"/>
                <w:color w:val="00519B"/>
              </w:rPr>
              <w:t>During the Year</w:t>
            </w:r>
          </w:p>
        </w:tc>
        <w:tc>
          <w:tcPr>
            <w:tcW w:w="1600" w:type="dxa"/>
            <w:vAlign w:val="bottom"/>
            <w:tcBorders>
              <w:bottom w:val="single" w:sz="8" w:color="00519B"/>
            </w:tcBorders>
            <w:gridSpan w:val="2"/>
          </w:tcPr>
          <w:p>
            <w:pPr>
              <w:jc w:val="right"/>
              <w:ind w:right="168"/>
              <w:spacing w:after="0"/>
              <w:rPr>
                <w:sz w:val="20"/>
                <w:szCs w:val="20"/>
                <w:color w:val="auto"/>
              </w:rPr>
            </w:pPr>
            <w:r>
              <w:rPr>
                <w:rFonts w:ascii="Arial" w:cs="Arial" w:eastAsia="Arial" w:hAnsi="Arial"/>
                <w:sz w:val="14"/>
                <w:szCs w:val="14"/>
                <w:b w:val="1"/>
                <w:bCs w:val="1"/>
                <w:color w:val="00519B"/>
              </w:rPr>
              <w:t>in Prior Years</w:t>
            </w:r>
          </w:p>
        </w:tc>
        <w:tc>
          <w:tcPr>
            <w:tcW w:w="560" w:type="dxa"/>
            <w:vAlign w:val="bottom"/>
            <w:tcBorders>
              <w:bottom w:val="single" w:sz="8" w:color="00519B"/>
            </w:tcBorders>
          </w:tcPr>
          <w:p>
            <w:pPr>
              <w:spacing w:after="0"/>
              <w:rPr>
                <w:sz w:val="17"/>
                <w:szCs w:val="17"/>
                <w:color w:val="auto"/>
              </w:rPr>
            </w:pPr>
          </w:p>
        </w:tc>
        <w:tc>
          <w:tcPr>
            <w:tcW w:w="900" w:type="dxa"/>
            <w:vAlign w:val="bottom"/>
            <w:tcBorders>
              <w:bottom w:val="single" w:sz="8" w:color="00519B"/>
            </w:tcBorders>
          </w:tcPr>
          <w:p>
            <w:pPr>
              <w:jc w:val="right"/>
              <w:ind w:right="108"/>
              <w:spacing w:after="0"/>
              <w:rPr>
                <w:sz w:val="20"/>
                <w:szCs w:val="20"/>
                <w:color w:val="auto"/>
              </w:rPr>
            </w:pPr>
            <w:r>
              <w:rPr>
                <w:rFonts w:ascii="Arial" w:cs="Arial" w:eastAsia="Arial" w:hAnsi="Arial"/>
                <w:sz w:val="14"/>
                <w:szCs w:val="14"/>
                <w:b w:val="1"/>
                <w:bCs w:val="1"/>
                <w:color w:val="00519B"/>
              </w:rPr>
              <w:t>Year</w:t>
            </w:r>
          </w:p>
        </w:tc>
        <w:tc>
          <w:tcPr>
            <w:tcW w:w="820" w:type="dxa"/>
            <w:vAlign w:val="bottom"/>
            <w:tcBorders>
              <w:bottom w:val="single" w:sz="8" w:color="00519B"/>
            </w:tcBorders>
          </w:tcPr>
          <w:p>
            <w:pPr>
              <w:spacing w:after="0"/>
              <w:rPr>
                <w:sz w:val="17"/>
                <w:szCs w:val="17"/>
                <w:color w:val="auto"/>
              </w:rPr>
            </w:pPr>
          </w:p>
        </w:tc>
        <w:tc>
          <w:tcPr>
            <w:tcW w:w="760" w:type="dxa"/>
            <w:vAlign w:val="bottom"/>
            <w:tcBorders>
              <w:bottom w:val="single" w:sz="8" w:color="00519B"/>
            </w:tcBorders>
          </w:tcPr>
          <w:p>
            <w:pPr>
              <w:jc w:val="right"/>
              <w:ind w:right="108"/>
              <w:spacing w:after="0"/>
              <w:rPr>
                <w:sz w:val="20"/>
                <w:szCs w:val="20"/>
                <w:color w:val="auto"/>
              </w:rPr>
            </w:pPr>
            <w:r>
              <w:rPr>
                <w:rFonts w:ascii="Arial" w:cs="Arial" w:eastAsia="Arial" w:hAnsi="Arial"/>
                <w:sz w:val="14"/>
                <w:szCs w:val="14"/>
                <w:b w:val="1"/>
                <w:bCs w:val="1"/>
                <w:color w:val="00519B"/>
              </w:rPr>
              <w:t>Year</w:t>
            </w:r>
          </w:p>
        </w:tc>
        <w:tc>
          <w:tcPr>
            <w:tcW w:w="580" w:type="dxa"/>
            <w:vAlign w:val="bottom"/>
            <w:tcBorders>
              <w:bottom w:val="single" w:sz="8" w:color="00519B"/>
            </w:tcBorders>
          </w:tcPr>
          <w:p>
            <w:pPr>
              <w:spacing w:after="0"/>
              <w:rPr>
                <w:sz w:val="17"/>
                <w:szCs w:val="17"/>
                <w:color w:val="auto"/>
              </w:rPr>
            </w:pPr>
          </w:p>
        </w:tc>
        <w:tc>
          <w:tcPr>
            <w:tcW w:w="900" w:type="dxa"/>
            <w:vAlign w:val="bottom"/>
            <w:tcBorders>
              <w:bottom w:val="single" w:sz="8" w:color="00519B"/>
            </w:tcBorders>
          </w:tcPr>
          <w:p>
            <w:pPr>
              <w:jc w:val="right"/>
              <w:ind w:right="168"/>
              <w:spacing w:after="0"/>
              <w:rPr>
                <w:sz w:val="20"/>
                <w:szCs w:val="20"/>
                <w:color w:val="auto"/>
              </w:rPr>
            </w:pPr>
            <w:r>
              <w:rPr>
                <w:rFonts w:ascii="Arial" w:cs="Arial" w:eastAsia="Arial" w:hAnsi="Arial"/>
                <w:sz w:val="14"/>
                <w:szCs w:val="14"/>
                <w:b w:val="1"/>
                <w:bCs w:val="1"/>
                <w:color w:val="00519B"/>
              </w:rPr>
              <w:t>Value</w:t>
            </w:r>
          </w:p>
        </w:tc>
        <w:tc>
          <w:tcPr>
            <w:tcW w:w="1160" w:type="dxa"/>
            <w:vAlign w:val="bottom"/>
            <w:tcBorders>
              <w:bottom w:val="single" w:sz="8" w:color="00519B"/>
            </w:tcBorders>
            <w:gridSpan w:val="2"/>
          </w:tcPr>
          <w:p>
            <w:pPr>
              <w:jc w:val="right"/>
              <w:spacing w:after="0"/>
              <w:rPr>
                <w:sz w:val="20"/>
                <w:szCs w:val="20"/>
                <w:color w:val="auto"/>
              </w:rPr>
            </w:pPr>
            <w:r>
              <w:rPr>
                <w:rFonts w:ascii="Arial" w:cs="Arial" w:eastAsia="Arial" w:hAnsi="Arial"/>
                <w:sz w:val="14"/>
                <w:szCs w:val="14"/>
                <w:b w:val="1"/>
                <w:bCs w:val="1"/>
                <w:color w:val="00519B"/>
              </w:rPr>
              <w:t>Adjustments</w:t>
            </w:r>
          </w:p>
        </w:tc>
      </w:tr>
      <w:tr>
        <w:trPr>
          <w:trHeight w:val="212"/>
        </w:trPr>
        <w:tc>
          <w:tcPr>
            <w:tcW w:w="1360" w:type="dxa"/>
            <w:vAlign w:val="bottom"/>
            <w:tcBorders>
              <w:bottom w:val="single" w:sz="8" w:color="D1D2D4"/>
            </w:tcBorders>
          </w:tcPr>
          <w:p>
            <w:pPr>
              <w:ind w:left="40"/>
              <w:spacing w:after="0"/>
              <w:rPr>
                <w:sz w:val="20"/>
                <w:szCs w:val="20"/>
                <w:color w:val="auto"/>
              </w:rPr>
            </w:pPr>
            <w:r>
              <w:rPr>
                <w:rFonts w:ascii="Arial" w:cs="Arial" w:eastAsia="Arial" w:hAnsi="Arial"/>
                <w:sz w:val="14"/>
                <w:szCs w:val="14"/>
                <w:color w:val="auto"/>
              </w:rPr>
              <w:t>2022</w:t>
            </w:r>
          </w:p>
        </w:tc>
        <w:tc>
          <w:tcPr>
            <w:tcW w:w="14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9"/>
              </w:rPr>
              <w:t>18,773,421</w:t>
            </w: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21,967,897</w:t>
            </w: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9"/>
              </w:rPr>
              <w:t>12,615,629</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1D2D4"/>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639,957</w:t>
            </w:r>
          </w:p>
        </w:tc>
        <w:tc>
          <w:tcPr>
            <w:tcW w:w="3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53,996,903</w:t>
            </w:r>
          </w:p>
        </w:tc>
      </w:tr>
      <w:tr>
        <w:trPr>
          <w:trHeight w:val="210"/>
        </w:trPr>
        <w:tc>
          <w:tcPr>
            <w:tcW w:w="1360" w:type="dxa"/>
            <w:vAlign w:val="bottom"/>
            <w:tcBorders>
              <w:bottom w:val="single" w:sz="8" w:color="D1D2D4"/>
            </w:tcBorders>
          </w:tcPr>
          <w:p>
            <w:pPr>
              <w:ind w:left="40"/>
              <w:spacing w:after="0"/>
              <w:rPr>
                <w:sz w:val="20"/>
                <w:szCs w:val="20"/>
                <w:color w:val="auto"/>
              </w:rPr>
            </w:pPr>
            <w:r>
              <w:rPr>
                <w:rFonts w:ascii="Arial" w:cs="Arial" w:eastAsia="Arial" w:hAnsi="Arial"/>
                <w:sz w:val="14"/>
                <w:szCs w:val="14"/>
                <w:color w:val="auto"/>
              </w:rPr>
              <w:t>2021</w:t>
            </w:r>
          </w:p>
        </w:tc>
        <w:tc>
          <w:tcPr>
            <w:tcW w:w="14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w w:val="99"/>
              </w:rPr>
              <w:t>10,479,996</w:t>
            </w: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9,102,171</w:t>
            </w: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rPr>
              <w:t>2,205,677</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(434,543)</w:t>
            </w:r>
          </w:p>
        </w:tc>
        <w:tc>
          <w:tcPr>
            <w:tcW w:w="580" w:type="dxa"/>
            <w:vAlign w:val="bottom"/>
            <w:tcBorders>
              <w:bottom w:val="single" w:sz="8" w:color="D1D2D4"/>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D2D4"/>
            </w:tcBorders>
          </w:tcPr>
          <w:p>
            <w:pPr>
              <w:jc w:val="right"/>
              <w:ind w:right="168"/>
              <w:spacing w:after="0"/>
              <w:rPr>
                <w:sz w:val="20"/>
                <w:szCs w:val="20"/>
                <w:color w:val="auto"/>
              </w:rPr>
            </w:pPr>
            <w:r>
              <w:rPr>
                <w:rFonts w:ascii="Arial" w:cs="Arial" w:eastAsia="Arial" w:hAnsi="Arial"/>
                <w:sz w:val="14"/>
                <w:szCs w:val="14"/>
                <w:color w:val="auto"/>
              </w:rPr>
              <w:t>138,835</w:t>
            </w:r>
          </w:p>
        </w:tc>
        <w:tc>
          <w:tcPr>
            <w:tcW w:w="3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21,492,136</w:t>
            </w:r>
          </w:p>
        </w:tc>
      </w:tr>
      <w:tr>
        <w:trPr>
          <w:trHeight w:val="220"/>
        </w:trPr>
        <w:tc>
          <w:tcPr>
            <w:tcW w:w="1360" w:type="dxa"/>
            <w:vAlign w:val="bottom"/>
            <w:tcBorders>
              <w:bottom w:val="single" w:sz="8" w:color="00519B"/>
            </w:tcBorders>
          </w:tcPr>
          <w:p>
            <w:pPr>
              <w:ind w:left="40"/>
              <w:spacing w:after="0"/>
              <w:rPr>
                <w:sz w:val="20"/>
                <w:szCs w:val="20"/>
                <w:color w:val="auto"/>
              </w:rPr>
            </w:pPr>
            <w:r>
              <w:rPr>
                <w:rFonts w:ascii="Arial" w:cs="Arial" w:eastAsia="Arial" w:hAnsi="Arial"/>
                <w:sz w:val="14"/>
                <w:szCs w:val="14"/>
                <w:color w:val="auto"/>
              </w:rPr>
              <w:t>2020</w:t>
            </w:r>
          </w:p>
        </w:tc>
        <w:tc>
          <w:tcPr>
            <w:tcW w:w="140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519B"/>
            </w:tcBorders>
          </w:tcPr>
          <w:p>
            <w:pPr>
              <w:jc w:val="right"/>
              <w:ind w:right="148"/>
              <w:spacing w:after="0"/>
              <w:rPr>
                <w:sz w:val="20"/>
                <w:szCs w:val="20"/>
                <w:color w:val="auto"/>
              </w:rPr>
            </w:pPr>
            <w:r>
              <w:rPr>
                <w:rFonts w:ascii="Arial" w:cs="Arial" w:eastAsia="Arial" w:hAnsi="Arial"/>
                <w:sz w:val="14"/>
                <w:szCs w:val="14"/>
                <w:color w:val="auto"/>
              </w:rPr>
              <w:t>6,596,252</w:t>
            </w:r>
          </w:p>
        </w:tc>
        <w:tc>
          <w:tcPr>
            <w:tcW w:w="62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519B"/>
            </w:tcBorders>
          </w:tcPr>
          <w:p>
            <w:pPr>
              <w:jc w:val="right"/>
              <w:ind w:right="128"/>
              <w:spacing w:after="0"/>
              <w:rPr>
                <w:sz w:val="20"/>
                <w:szCs w:val="20"/>
                <w:color w:val="auto"/>
              </w:rPr>
            </w:pPr>
            <w:r>
              <w:rPr>
                <w:rFonts w:ascii="Arial" w:cs="Arial" w:eastAsia="Arial" w:hAnsi="Arial"/>
                <w:sz w:val="14"/>
                <w:szCs w:val="14"/>
                <w:color w:val="auto"/>
              </w:rPr>
              <w:t>(1,315,766)</w:t>
            </w:r>
          </w:p>
        </w:tc>
        <w:tc>
          <w:tcPr>
            <w:tcW w:w="56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519B"/>
            </w:tcBorders>
          </w:tcPr>
          <w:p>
            <w:pPr>
              <w:jc w:val="right"/>
              <w:ind w:right="108"/>
              <w:spacing w:after="0"/>
              <w:rPr>
                <w:sz w:val="20"/>
                <w:szCs w:val="20"/>
                <w:color w:val="auto"/>
              </w:rPr>
            </w:pPr>
            <w:r>
              <w:rPr>
                <w:rFonts w:ascii="Arial" w:cs="Arial" w:eastAsia="Arial" w:hAnsi="Arial"/>
                <w:sz w:val="14"/>
                <w:szCs w:val="14"/>
                <w:color w:val="auto"/>
              </w:rPr>
              <w:t>787,250</w:t>
            </w:r>
          </w:p>
        </w:tc>
        <w:tc>
          <w:tcPr>
            <w:tcW w:w="82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519B"/>
            </w:tcBorders>
          </w:tcPr>
          <w:p>
            <w:pPr>
              <w:jc w:val="right"/>
              <w:ind w:right="68"/>
              <w:spacing w:after="0"/>
              <w:rPr>
                <w:sz w:val="20"/>
                <w:szCs w:val="20"/>
                <w:color w:val="auto"/>
              </w:rPr>
            </w:pPr>
            <w:r>
              <w:rPr>
                <w:rFonts w:ascii="Arial" w:cs="Arial" w:eastAsia="Arial" w:hAnsi="Arial"/>
                <w:sz w:val="14"/>
                <w:szCs w:val="14"/>
                <w:color w:val="auto"/>
              </w:rPr>
              <w:t>(515,538)</w:t>
            </w:r>
          </w:p>
        </w:tc>
        <w:tc>
          <w:tcPr>
            <w:tcW w:w="580" w:type="dxa"/>
            <w:vAlign w:val="bottom"/>
            <w:tcBorders>
              <w:bottom w:val="single" w:sz="8" w:color="00519B"/>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519B"/>
            </w:tcBorders>
          </w:tcPr>
          <w:p>
            <w:pPr>
              <w:jc w:val="right"/>
              <w:ind w:right="168"/>
              <w:spacing w:after="0"/>
              <w:rPr>
                <w:sz w:val="20"/>
                <w:szCs w:val="20"/>
                <w:color w:val="auto"/>
              </w:rPr>
            </w:pPr>
            <w:r>
              <w:rPr>
                <w:rFonts w:ascii="Arial" w:cs="Arial" w:eastAsia="Arial" w:hAnsi="Arial"/>
                <w:sz w:val="14"/>
                <w:szCs w:val="14"/>
                <w:color w:val="auto"/>
              </w:rPr>
              <w:t>340,106</w:t>
            </w:r>
          </w:p>
        </w:tc>
        <w:tc>
          <w:tcPr>
            <w:tcW w:w="36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5,892,304</w:t>
            </w:r>
          </w:p>
        </w:tc>
      </w:tr>
    </w:tbl>
    <w:p>
      <w:pPr>
        <w:spacing w:after="0" w:line="63" w:lineRule="exact"/>
        <w:rPr>
          <w:sz w:val="20"/>
          <w:szCs w:val="20"/>
          <w:color w:val="auto"/>
        </w:rPr>
      </w:pPr>
    </w:p>
    <w:p>
      <w:pPr>
        <w:ind w:left="300" w:right="20" w:hanging="292"/>
        <w:spacing w:after="0" w:line="229" w:lineRule="auto"/>
        <w:tabs>
          <w:tab w:leader="none" w:pos="300" w:val="left"/>
        </w:tabs>
        <w:numPr>
          <w:ilvl w:val="0"/>
          <w:numId w:val="77"/>
        </w:numPr>
        <w:rPr>
          <w:rFonts w:ascii="Arial" w:cs="Arial" w:eastAsia="Arial" w:hAnsi="Arial"/>
          <w:sz w:val="10"/>
          <w:szCs w:val="10"/>
          <w:color w:val="auto"/>
        </w:rPr>
      </w:pPr>
      <w:r>
        <w:rPr>
          <w:rFonts w:ascii="Arial" w:cs="Arial" w:eastAsia="Arial" w:hAnsi="Arial"/>
          <w:sz w:val="13"/>
          <w:szCs w:val="13"/>
          <w:color w:val="auto"/>
        </w:rPr>
        <w:t>The dollar amounts reported represent the average of the amounts reported for Occidental’s NEOs as a group (excluding our CEO) in the “Total” column of the Summary Compensation Table in each applicable year. The NEOs included for purposes of calculating the average amounts in each applicable year are as follows: (i) for 2022, Mr. Peterson, Mr. Bennett, Mr. Dillon, Mr. Jackson and Ms. Backus; (ii) for 2021, Mr. Peterson, Ms. Backus, Mr. Dillon and Mr. Jackson; and (iii) for 2020, Mr. Peterson, Ms. Backus, Mr. Dillon, Christopher O. Champion, Edward A. Lowe, Cedric W. Burgher and Oscar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743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Pay vs. Performance</w:t>
      </w:r>
    </w:p>
    <w:p>
      <w:pPr>
        <w:spacing w:after="0" w:line="232" w:lineRule="exact"/>
        <w:rPr>
          <w:sz w:val="20"/>
          <w:szCs w:val="20"/>
          <w:color w:val="auto"/>
        </w:rPr>
      </w:pPr>
    </w:p>
    <w:p>
      <w:pPr>
        <w:ind w:left="300" w:right="160" w:hanging="292"/>
        <w:spacing w:after="0" w:line="233" w:lineRule="auto"/>
        <w:tabs>
          <w:tab w:leader="none" w:pos="300" w:val="left"/>
        </w:tabs>
        <w:numPr>
          <w:ilvl w:val="0"/>
          <w:numId w:val="78"/>
        </w:numPr>
        <w:rPr>
          <w:rFonts w:ascii="Arial" w:cs="Arial" w:eastAsia="Arial" w:hAnsi="Arial"/>
          <w:sz w:val="10"/>
          <w:szCs w:val="10"/>
          <w:color w:val="auto"/>
        </w:rPr>
      </w:pPr>
      <w:r>
        <w:rPr>
          <w:rFonts w:ascii="Arial" w:cs="Arial" w:eastAsia="Arial" w:hAnsi="Arial"/>
          <w:sz w:val="13"/>
          <w:szCs w:val="13"/>
          <w:color w:val="auto"/>
        </w:rPr>
        <w:t>The dollar amounts reported represent the average amount of “compensation actually paid” to the applicable NEOs, as computed in accordance with SEC rules. The dollar amounts do not reflect the actual average amount of compensation earned by or paid to such NEOs during the applicable year. In accordance with the SEC rules, the following adjustments were made to average total compensation for the NEOs for each year to determine the compensation actually paid:</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4"/>
                <w:szCs w:val="14"/>
                <w:b w:val="1"/>
                <w:bCs w:val="1"/>
                <w:color w:val="00519B"/>
              </w:rPr>
              <w:t>Average</w:t>
            </w:r>
          </w:p>
        </w:tc>
        <w:tc>
          <w:tcPr>
            <w:tcW w:w="1580" w:type="dxa"/>
            <w:vAlign w:val="bottom"/>
          </w:tcPr>
          <w:p>
            <w:pPr>
              <w:jc w:val="right"/>
              <w:ind w:right="189"/>
              <w:spacing w:after="0"/>
              <w:rPr>
                <w:sz w:val="20"/>
                <w:szCs w:val="20"/>
                <w:color w:val="auto"/>
              </w:rPr>
            </w:pPr>
            <w:r>
              <w:rPr>
                <w:rFonts w:ascii="Arial" w:cs="Arial" w:eastAsia="Arial" w:hAnsi="Arial"/>
                <w:sz w:val="14"/>
                <w:szCs w:val="14"/>
                <w:b w:val="1"/>
                <w:bCs w:val="1"/>
                <w:color w:val="00519B"/>
              </w:rPr>
              <w:t>Average</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0519B"/>
              </w:rPr>
              <w:t>Average</w:t>
            </w:r>
          </w:p>
        </w:tc>
      </w:tr>
      <w:tr>
        <w:trPr>
          <w:trHeight w:val="162"/>
        </w:trPr>
        <w:tc>
          <w:tcPr>
            <w:tcW w:w="1800" w:type="dxa"/>
            <w:vAlign w:val="bottom"/>
          </w:tcPr>
          <w:p>
            <w:pPr>
              <w:spacing w:after="0"/>
              <w:rPr>
                <w:sz w:val="14"/>
                <w:szCs w:val="14"/>
                <w:color w:val="auto"/>
              </w:rPr>
            </w:pPr>
          </w:p>
        </w:tc>
        <w:tc>
          <w:tcPr>
            <w:tcW w:w="3020" w:type="dxa"/>
            <w:vAlign w:val="bottom"/>
          </w:tcPr>
          <w:p>
            <w:pPr>
              <w:jc w:val="right"/>
              <w:ind w:right="168"/>
              <w:spacing w:after="0"/>
              <w:rPr>
                <w:sz w:val="20"/>
                <w:szCs w:val="20"/>
                <w:color w:val="auto"/>
              </w:rPr>
            </w:pPr>
            <w:r>
              <w:rPr>
                <w:rFonts w:ascii="Arial" w:cs="Arial" w:eastAsia="Arial" w:hAnsi="Arial"/>
                <w:sz w:val="14"/>
                <w:szCs w:val="14"/>
                <w:b w:val="1"/>
                <w:bCs w:val="1"/>
                <w:color w:val="00519B"/>
              </w:rPr>
              <w:t>Reported Summary</w:t>
            </w:r>
          </w:p>
        </w:tc>
        <w:tc>
          <w:tcPr>
            <w:tcW w:w="1580" w:type="dxa"/>
            <w:vAlign w:val="bottom"/>
          </w:tcPr>
          <w:p>
            <w:pPr>
              <w:jc w:val="right"/>
              <w:ind w:right="189"/>
              <w:spacing w:after="0"/>
              <w:rPr>
                <w:sz w:val="20"/>
                <w:szCs w:val="20"/>
                <w:color w:val="auto"/>
              </w:rPr>
            </w:pPr>
            <w:r>
              <w:rPr>
                <w:rFonts w:ascii="Arial" w:cs="Arial" w:eastAsia="Arial" w:hAnsi="Arial"/>
                <w:sz w:val="14"/>
                <w:szCs w:val="14"/>
                <w:b w:val="1"/>
                <w:bCs w:val="1"/>
                <w:color w:val="00519B"/>
              </w:rPr>
              <w:t>Reported</w:t>
            </w:r>
          </w:p>
        </w:tc>
        <w:tc>
          <w:tcPr>
            <w:tcW w:w="5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00519B"/>
              </w:rPr>
              <w:t>Average</w:t>
            </w:r>
          </w:p>
        </w:tc>
        <w:tc>
          <w:tcPr>
            <w:tcW w:w="17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Average Reported</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00519B"/>
              </w:rPr>
              <w:t>Compensation</w:t>
            </w:r>
          </w:p>
        </w:tc>
      </w:tr>
      <w:tr>
        <w:trPr>
          <w:trHeight w:val="162"/>
        </w:trPr>
        <w:tc>
          <w:tcPr>
            <w:tcW w:w="180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4"/>
                <w:szCs w:val="14"/>
                <w:b w:val="1"/>
                <w:bCs w:val="1"/>
                <w:color w:val="00519B"/>
              </w:rPr>
              <w:t>Compensation Table</w:t>
            </w:r>
          </w:p>
        </w:tc>
        <w:tc>
          <w:tcPr>
            <w:tcW w:w="1580" w:type="dxa"/>
            <w:vAlign w:val="bottom"/>
          </w:tcPr>
          <w:p>
            <w:pPr>
              <w:jc w:val="right"/>
              <w:ind w:right="189"/>
              <w:spacing w:after="0"/>
              <w:rPr>
                <w:sz w:val="20"/>
                <w:szCs w:val="20"/>
                <w:color w:val="auto"/>
              </w:rPr>
            </w:pPr>
            <w:r>
              <w:rPr>
                <w:rFonts w:ascii="Arial" w:cs="Arial" w:eastAsia="Arial" w:hAnsi="Arial"/>
                <w:sz w:val="14"/>
                <w:szCs w:val="14"/>
                <w:b w:val="1"/>
                <w:bCs w:val="1"/>
                <w:color w:val="00519B"/>
              </w:rPr>
              <w:t>Value of</w:t>
            </w:r>
          </w:p>
        </w:tc>
        <w:tc>
          <w:tcPr>
            <w:tcW w:w="15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00519B"/>
              </w:rPr>
              <w:t>Equity Award</w:t>
            </w:r>
          </w:p>
        </w:tc>
        <w:tc>
          <w:tcPr>
            <w:tcW w:w="17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Change in Pension</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00519B"/>
              </w:rPr>
              <w:t>Actually Paid</w:t>
            </w:r>
          </w:p>
        </w:tc>
      </w:tr>
      <w:tr>
        <w:trPr>
          <w:trHeight w:val="196"/>
        </w:trPr>
        <w:tc>
          <w:tcPr>
            <w:tcW w:w="1800" w:type="dxa"/>
            <w:vAlign w:val="bottom"/>
            <w:tcBorders>
              <w:bottom w:val="single" w:sz="8" w:color="00519B"/>
            </w:tcBorders>
          </w:tcPr>
          <w:p>
            <w:pPr>
              <w:ind w:left="60"/>
              <w:spacing w:after="0"/>
              <w:rPr>
                <w:sz w:val="20"/>
                <w:szCs w:val="20"/>
                <w:color w:val="auto"/>
              </w:rPr>
            </w:pPr>
            <w:r>
              <w:rPr>
                <w:rFonts w:ascii="Arial" w:cs="Arial" w:eastAsia="Arial" w:hAnsi="Arial"/>
                <w:sz w:val="14"/>
                <w:szCs w:val="14"/>
                <w:b w:val="1"/>
                <w:bCs w:val="1"/>
                <w:color w:val="00519B"/>
              </w:rPr>
              <w:t>Year</w:t>
            </w:r>
          </w:p>
        </w:tc>
        <w:tc>
          <w:tcPr>
            <w:tcW w:w="3020" w:type="dxa"/>
            <w:vAlign w:val="bottom"/>
            <w:tcBorders>
              <w:bottom w:val="single" w:sz="8" w:color="00519B"/>
            </w:tcBorders>
          </w:tcPr>
          <w:p>
            <w:pPr>
              <w:jc w:val="right"/>
              <w:ind w:right="128"/>
              <w:spacing w:after="0"/>
              <w:rPr>
                <w:sz w:val="20"/>
                <w:szCs w:val="20"/>
                <w:color w:val="auto"/>
              </w:rPr>
            </w:pPr>
            <w:r>
              <w:rPr>
                <w:rFonts w:ascii="Arial" w:cs="Arial" w:eastAsia="Arial" w:hAnsi="Arial"/>
                <w:sz w:val="14"/>
                <w:szCs w:val="14"/>
                <w:b w:val="1"/>
                <w:bCs w:val="1"/>
                <w:color w:val="00519B"/>
              </w:rPr>
              <w:t>Total for Other NEOs</w:t>
            </w:r>
          </w:p>
        </w:tc>
        <w:tc>
          <w:tcPr>
            <w:tcW w:w="1580" w:type="dxa"/>
            <w:vAlign w:val="bottom"/>
            <w:tcBorders>
              <w:bottom w:val="single" w:sz="8" w:color="00519B"/>
            </w:tcBorders>
          </w:tcPr>
          <w:p>
            <w:pPr>
              <w:jc w:val="right"/>
              <w:ind w:right="189"/>
              <w:spacing w:after="0" w:line="189" w:lineRule="exact"/>
              <w:rPr>
                <w:sz w:val="20"/>
                <w:szCs w:val="20"/>
                <w:color w:val="auto"/>
              </w:rPr>
            </w:pPr>
            <w:r>
              <w:rPr>
                <w:rFonts w:ascii="Arial" w:cs="Arial" w:eastAsia="Arial" w:hAnsi="Arial"/>
                <w:sz w:val="13"/>
                <w:szCs w:val="13"/>
                <w:b w:val="1"/>
                <w:bCs w:val="1"/>
                <w:color w:val="00519B"/>
              </w:rPr>
              <w:t>Equity Awards</w:t>
            </w:r>
            <w:r>
              <w:rPr>
                <w:rFonts w:ascii="Arial" w:cs="Arial" w:eastAsia="Arial" w:hAnsi="Arial"/>
                <w:sz w:val="21"/>
                <w:szCs w:val="21"/>
                <w:b w:val="1"/>
                <w:bCs w:val="1"/>
                <w:color w:val="00519B"/>
                <w:vertAlign w:val="superscript"/>
              </w:rPr>
              <w:t>(a)</w:t>
            </w:r>
          </w:p>
        </w:tc>
        <w:tc>
          <w:tcPr>
            <w:tcW w:w="1540" w:type="dxa"/>
            <w:vAlign w:val="bottom"/>
            <w:tcBorders>
              <w:bottom w:val="single" w:sz="8" w:color="00519B"/>
            </w:tcBorders>
            <w:gridSpan w:val="2"/>
          </w:tcPr>
          <w:p>
            <w:pPr>
              <w:jc w:val="right"/>
              <w:ind w:right="188"/>
              <w:spacing w:after="0" w:line="189" w:lineRule="exact"/>
              <w:rPr>
                <w:sz w:val="20"/>
                <w:szCs w:val="20"/>
                <w:color w:val="auto"/>
              </w:rPr>
            </w:pPr>
            <w:r>
              <w:rPr>
                <w:rFonts w:ascii="Arial" w:cs="Arial" w:eastAsia="Arial" w:hAnsi="Arial"/>
                <w:sz w:val="13"/>
                <w:szCs w:val="13"/>
                <w:b w:val="1"/>
                <w:bCs w:val="1"/>
                <w:color w:val="00519B"/>
              </w:rPr>
              <w:t>Adjustments</w:t>
            </w:r>
            <w:r>
              <w:rPr>
                <w:rFonts w:ascii="Arial" w:cs="Arial" w:eastAsia="Arial" w:hAnsi="Arial"/>
                <w:sz w:val="21"/>
                <w:szCs w:val="21"/>
                <w:b w:val="1"/>
                <w:bCs w:val="1"/>
                <w:color w:val="00519B"/>
                <w:vertAlign w:val="superscript"/>
              </w:rPr>
              <w:t>(b)</w:t>
            </w:r>
          </w:p>
        </w:tc>
        <w:tc>
          <w:tcPr>
            <w:tcW w:w="1780" w:type="dxa"/>
            <w:vAlign w:val="bottom"/>
            <w:tcBorders>
              <w:bottom w:val="single" w:sz="8" w:color="00519B"/>
            </w:tcBorders>
            <w:gridSpan w:val="2"/>
          </w:tcPr>
          <w:p>
            <w:pPr>
              <w:jc w:val="right"/>
              <w:ind w:right="148"/>
              <w:spacing w:after="0" w:line="189" w:lineRule="exact"/>
              <w:rPr>
                <w:sz w:val="20"/>
                <w:szCs w:val="20"/>
                <w:color w:val="auto"/>
              </w:rPr>
            </w:pPr>
            <w:r>
              <w:rPr>
                <w:rFonts w:ascii="Arial" w:cs="Arial" w:eastAsia="Arial" w:hAnsi="Arial"/>
                <w:sz w:val="13"/>
                <w:szCs w:val="13"/>
                <w:b w:val="1"/>
                <w:bCs w:val="1"/>
                <w:color w:val="00519B"/>
              </w:rPr>
              <w:t>Value</w:t>
            </w:r>
            <w:r>
              <w:rPr>
                <w:rFonts w:ascii="Arial" w:cs="Arial" w:eastAsia="Arial" w:hAnsi="Arial"/>
                <w:sz w:val="21"/>
                <w:szCs w:val="21"/>
                <w:b w:val="1"/>
                <w:bCs w:val="1"/>
                <w:color w:val="00519B"/>
                <w:vertAlign w:val="superscript"/>
              </w:rPr>
              <w:t>(c)</w:t>
            </w:r>
          </w:p>
        </w:tc>
        <w:tc>
          <w:tcPr>
            <w:tcW w:w="1260" w:type="dxa"/>
            <w:vAlign w:val="bottom"/>
            <w:tcBorders>
              <w:bottom w:val="single" w:sz="8" w:color="00519B"/>
            </w:tcBorders>
            <w:gridSpan w:val="2"/>
          </w:tcPr>
          <w:p>
            <w:pPr>
              <w:jc w:val="right"/>
              <w:spacing w:after="0"/>
              <w:rPr>
                <w:sz w:val="20"/>
                <w:szCs w:val="20"/>
                <w:color w:val="auto"/>
              </w:rPr>
            </w:pPr>
            <w:r>
              <w:rPr>
                <w:rFonts w:ascii="Arial" w:cs="Arial" w:eastAsia="Arial" w:hAnsi="Arial"/>
                <w:sz w:val="14"/>
                <w:szCs w:val="14"/>
                <w:b w:val="1"/>
                <w:bCs w:val="1"/>
                <w:color w:val="00519B"/>
              </w:rPr>
              <w:t>to Other NEOs</w:t>
            </w:r>
          </w:p>
        </w:tc>
      </w:tr>
      <w:tr>
        <w:trPr>
          <w:trHeight w:val="162"/>
        </w:trPr>
        <w:tc>
          <w:tcPr>
            <w:tcW w:w="180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2022</w:t>
            </w:r>
          </w:p>
        </w:tc>
        <w:tc>
          <w:tcPr>
            <w:tcW w:w="30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$5,953,206</w:t>
            </w:r>
          </w:p>
        </w:tc>
        <w:tc>
          <w:tcPr>
            <w:tcW w:w="1580" w:type="dxa"/>
            <w:vAlign w:val="bottom"/>
            <w:tcBorders>
              <w:bottom w:val="single" w:sz="8" w:color="D1D2D4"/>
            </w:tcBorders>
          </w:tcPr>
          <w:p>
            <w:pPr>
              <w:jc w:val="right"/>
              <w:ind w:right="189"/>
              <w:spacing w:after="0"/>
              <w:rPr>
                <w:sz w:val="20"/>
                <w:szCs w:val="20"/>
                <w:color w:val="auto"/>
              </w:rPr>
            </w:pPr>
            <w:r>
              <w:rPr>
                <w:rFonts w:ascii="Arial" w:cs="Arial" w:eastAsia="Arial" w:hAnsi="Arial"/>
                <w:sz w:val="14"/>
                <w:szCs w:val="14"/>
                <w:color w:val="auto"/>
              </w:rPr>
              <w:t>$3,703,935</w:t>
            </w: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1D2D4"/>
            </w:tcBorders>
          </w:tcPr>
          <w:p>
            <w:pPr>
              <w:jc w:val="right"/>
              <w:ind w:right="188"/>
              <w:spacing w:after="0"/>
              <w:rPr>
                <w:sz w:val="20"/>
                <w:szCs w:val="20"/>
                <w:color w:val="auto"/>
              </w:rPr>
            </w:pPr>
            <w:r>
              <w:rPr>
                <w:rFonts w:ascii="Arial" w:cs="Arial" w:eastAsia="Arial" w:hAnsi="Arial"/>
                <w:sz w:val="14"/>
                <w:szCs w:val="14"/>
                <w:color w:val="auto"/>
              </w:rPr>
              <w:t>13,454,539</w:t>
            </w:r>
          </w:p>
        </w:tc>
        <w:tc>
          <w:tcPr>
            <w:tcW w:w="10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15,703,810</w:t>
            </w:r>
          </w:p>
        </w:tc>
      </w:tr>
      <w:tr>
        <w:trPr>
          <w:trHeight w:val="155"/>
        </w:trPr>
        <w:tc>
          <w:tcPr>
            <w:tcW w:w="1800" w:type="dxa"/>
            <w:vAlign w:val="bottom"/>
            <w:tcBorders>
              <w:bottom w:val="single" w:sz="8" w:color="D1D2D4"/>
            </w:tcBorders>
          </w:tcPr>
          <w:p>
            <w:pPr>
              <w:ind w:left="60"/>
              <w:spacing w:after="0" w:line="155" w:lineRule="exact"/>
              <w:rPr>
                <w:sz w:val="20"/>
                <w:szCs w:val="20"/>
                <w:color w:val="auto"/>
              </w:rPr>
            </w:pPr>
            <w:r>
              <w:rPr>
                <w:rFonts w:ascii="Arial" w:cs="Arial" w:eastAsia="Arial" w:hAnsi="Arial"/>
                <w:sz w:val="14"/>
                <w:szCs w:val="14"/>
                <w:color w:val="auto"/>
              </w:rPr>
              <w:t>2021</w:t>
            </w:r>
          </w:p>
        </w:tc>
        <w:tc>
          <w:tcPr>
            <w:tcW w:w="3020" w:type="dxa"/>
            <w:vAlign w:val="bottom"/>
            <w:tcBorders>
              <w:bottom w:val="single" w:sz="8" w:color="D1D2D4"/>
            </w:tcBorders>
          </w:tcPr>
          <w:p>
            <w:pPr>
              <w:jc w:val="right"/>
              <w:ind w:right="128"/>
              <w:spacing w:after="0" w:line="155" w:lineRule="exact"/>
              <w:rPr>
                <w:sz w:val="20"/>
                <w:szCs w:val="20"/>
                <w:color w:val="auto"/>
              </w:rPr>
            </w:pPr>
            <w:r>
              <w:rPr>
                <w:rFonts w:ascii="Arial" w:cs="Arial" w:eastAsia="Arial" w:hAnsi="Arial"/>
                <w:sz w:val="14"/>
                <w:szCs w:val="14"/>
                <w:color w:val="auto"/>
              </w:rPr>
              <w:t>$4,898,834</w:t>
            </w:r>
          </w:p>
        </w:tc>
        <w:tc>
          <w:tcPr>
            <w:tcW w:w="1580" w:type="dxa"/>
            <w:vAlign w:val="bottom"/>
            <w:tcBorders>
              <w:bottom w:val="single" w:sz="8" w:color="D1D2D4"/>
            </w:tcBorders>
          </w:tcPr>
          <w:p>
            <w:pPr>
              <w:jc w:val="right"/>
              <w:ind w:right="189"/>
              <w:spacing w:after="0" w:line="155" w:lineRule="exact"/>
              <w:rPr>
                <w:sz w:val="20"/>
                <w:szCs w:val="20"/>
                <w:color w:val="auto"/>
              </w:rPr>
            </w:pPr>
            <w:r>
              <w:rPr>
                <w:rFonts w:ascii="Arial" w:cs="Arial" w:eastAsia="Arial" w:hAnsi="Arial"/>
                <w:sz w:val="14"/>
                <w:szCs w:val="14"/>
                <w:color w:val="auto"/>
              </w:rPr>
              <w:t>$2,887,646</w:t>
            </w:r>
          </w:p>
        </w:tc>
        <w:tc>
          <w:tcPr>
            <w:tcW w:w="540" w:type="dxa"/>
            <w:vAlign w:val="bottom"/>
            <w:tcBorders>
              <w:bottom w:val="single" w:sz="8" w:color="D1D2D4"/>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D1D2D4"/>
            </w:tcBorders>
          </w:tcPr>
          <w:p>
            <w:pPr>
              <w:jc w:val="right"/>
              <w:ind w:right="188"/>
              <w:spacing w:after="0" w:line="155" w:lineRule="exact"/>
              <w:rPr>
                <w:sz w:val="20"/>
                <w:szCs w:val="20"/>
                <w:color w:val="auto"/>
              </w:rPr>
            </w:pPr>
            <w:r>
              <w:rPr>
                <w:rFonts w:ascii="Arial" w:cs="Arial" w:eastAsia="Arial" w:hAnsi="Arial"/>
                <w:sz w:val="14"/>
                <w:szCs w:val="14"/>
                <w:color w:val="auto"/>
              </w:rPr>
              <w:t>5,775,710</w:t>
            </w:r>
          </w:p>
        </w:tc>
        <w:tc>
          <w:tcPr>
            <w:tcW w:w="1060" w:type="dxa"/>
            <w:vAlign w:val="bottom"/>
            <w:tcBorders>
              <w:bottom w:val="single" w:sz="8" w:color="D1D2D4"/>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D1D2D4"/>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D1D2D4"/>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spacing w:after="0" w:line="155" w:lineRule="exact"/>
              <w:rPr>
                <w:sz w:val="20"/>
                <w:szCs w:val="20"/>
                <w:color w:val="auto"/>
              </w:rPr>
            </w:pPr>
            <w:r>
              <w:rPr>
                <w:rFonts w:ascii="Arial" w:cs="Arial" w:eastAsia="Arial" w:hAnsi="Arial"/>
                <w:sz w:val="14"/>
                <w:szCs w:val="14"/>
                <w:color w:val="auto"/>
              </w:rPr>
              <w:t>7,786,898</w:t>
            </w:r>
          </w:p>
        </w:tc>
      </w:tr>
      <w:tr>
        <w:trPr>
          <w:trHeight w:val="163"/>
        </w:trPr>
        <w:tc>
          <w:tcPr>
            <w:tcW w:w="1800" w:type="dxa"/>
            <w:vAlign w:val="bottom"/>
            <w:tcBorders>
              <w:bottom w:val="single" w:sz="8" w:color="00519B"/>
            </w:tcBorders>
          </w:tcPr>
          <w:p>
            <w:pPr>
              <w:ind w:left="60"/>
              <w:spacing w:after="0" w:line="155" w:lineRule="exact"/>
              <w:rPr>
                <w:sz w:val="20"/>
                <w:szCs w:val="20"/>
                <w:color w:val="auto"/>
              </w:rPr>
            </w:pPr>
            <w:r>
              <w:rPr>
                <w:rFonts w:ascii="Arial" w:cs="Arial" w:eastAsia="Arial" w:hAnsi="Arial"/>
                <w:sz w:val="14"/>
                <w:szCs w:val="14"/>
                <w:color w:val="auto"/>
              </w:rPr>
              <w:t>2020</w:t>
            </w:r>
          </w:p>
        </w:tc>
        <w:tc>
          <w:tcPr>
            <w:tcW w:w="3020" w:type="dxa"/>
            <w:vAlign w:val="bottom"/>
            <w:tcBorders>
              <w:bottom w:val="single" w:sz="8" w:color="00519B"/>
            </w:tcBorders>
          </w:tcPr>
          <w:p>
            <w:pPr>
              <w:jc w:val="right"/>
              <w:ind w:right="128"/>
              <w:spacing w:after="0" w:line="155" w:lineRule="exact"/>
              <w:rPr>
                <w:sz w:val="20"/>
                <w:szCs w:val="20"/>
                <w:color w:val="auto"/>
              </w:rPr>
            </w:pPr>
            <w:r>
              <w:rPr>
                <w:rFonts w:ascii="Arial" w:cs="Arial" w:eastAsia="Arial" w:hAnsi="Arial"/>
                <w:sz w:val="14"/>
                <w:szCs w:val="14"/>
                <w:color w:val="auto"/>
              </w:rPr>
              <w:t>$4,697,945</w:t>
            </w:r>
          </w:p>
        </w:tc>
        <w:tc>
          <w:tcPr>
            <w:tcW w:w="1580" w:type="dxa"/>
            <w:vAlign w:val="bottom"/>
            <w:tcBorders>
              <w:bottom w:val="single" w:sz="8" w:color="00519B"/>
            </w:tcBorders>
          </w:tcPr>
          <w:p>
            <w:pPr>
              <w:jc w:val="right"/>
              <w:ind w:right="189"/>
              <w:spacing w:after="0" w:line="155" w:lineRule="exact"/>
              <w:rPr>
                <w:sz w:val="20"/>
                <w:szCs w:val="20"/>
                <w:color w:val="auto"/>
              </w:rPr>
            </w:pPr>
            <w:r>
              <w:rPr>
                <w:rFonts w:ascii="Arial" w:cs="Arial" w:eastAsia="Arial" w:hAnsi="Arial"/>
                <w:sz w:val="14"/>
                <w:szCs w:val="14"/>
                <w:color w:val="auto"/>
              </w:rPr>
              <w:t>$3,469,797</w:t>
            </w:r>
          </w:p>
        </w:tc>
        <w:tc>
          <w:tcPr>
            <w:tcW w:w="540" w:type="dxa"/>
            <w:vAlign w:val="bottom"/>
            <w:tcBorders>
              <w:bottom w:val="single" w:sz="8" w:color="00519B"/>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00519B"/>
            </w:tcBorders>
          </w:tcPr>
          <w:p>
            <w:pPr>
              <w:jc w:val="right"/>
              <w:ind w:right="188"/>
              <w:spacing w:after="0" w:line="155" w:lineRule="exact"/>
              <w:rPr>
                <w:sz w:val="20"/>
                <w:szCs w:val="20"/>
                <w:color w:val="auto"/>
              </w:rPr>
            </w:pPr>
            <w:r>
              <w:rPr>
                <w:rFonts w:ascii="Arial" w:cs="Arial" w:eastAsia="Arial" w:hAnsi="Arial"/>
                <w:sz w:val="14"/>
                <w:szCs w:val="14"/>
                <w:color w:val="auto"/>
              </w:rPr>
              <w:t>163,959</w:t>
            </w:r>
          </w:p>
        </w:tc>
        <w:tc>
          <w:tcPr>
            <w:tcW w:w="1060" w:type="dxa"/>
            <w:vAlign w:val="bottom"/>
            <w:tcBorders>
              <w:bottom w:val="single" w:sz="8" w:color="00519B"/>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519B"/>
            </w:tcBorders>
          </w:tcPr>
          <w:p>
            <w:pPr>
              <w:jc w:val="right"/>
              <w:ind w:right="108"/>
              <w:spacing w:after="0" w:line="155" w:lineRule="exact"/>
              <w:rPr>
                <w:sz w:val="20"/>
                <w:szCs w:val="20"/>
                <w:color w:val="auto"/>
              </w:rPr>
            </w:pPr>
            <w:r>
              <w:rPr>
                <w:rFonts w:ascii="Arial" w:cs="Arial" w:eastAsia="Arial" w:hAnsi="Arial"/>
                <w:sz w:val="14"/>
                <w:szCs w:val="14"/>
                <w:color w:val="auto"/>
                <w:w w:val="99"/>
              </w:rPr>
              <w:t>(10,209)</w:t>
            </w:r>
          </w:p>
        </w:tc>
        <w:tc>
          <w:tcPr>
            <w:tcW w:w="460" w:type="dxa"/>
            <w:vAlign w:val="bottom"/>
            <w:tcBorders>
              <w:bottom w:val="single" w:sz="8" w:color="00519B"/>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00519B"/>
            </w:tcBorders>
          </w:tcPr>
          <w:p>
            <w:pPr>
              <w:jc w:val="right"/>
              <w:spacing w:after="0" w:line="155" w:lineRule="exact"/>
              <w:rPr>
                <w:sz w:val="20"/>
                <w:szCs w:val="20"/>
                <w:color w:val="auto"/>
              </w:rPr>
            </w:pPr>
            <w:r>
              <w:rPr>
                <w:rFonts w:ascii="Arial" w:cs="Arial" w:eastAsia="Arial" w:hAnsi="Arial"/>
                <w:sz w:val="14"/>
                <w:szCs w:val="14"/>
                <w:color w:val="auto"/>
              </w:rPr>
              <w:t>1,381,898</w:t>
            </w:r>
          </w:p>
        </w:tc>
      </w:tr>
    </w:tbl>
    <w:p>
      <w:pPr>
        <w:spacing w:after="0" w:line="225" w:lineRule="exact"/>
        <w:rPr>
          <w:sz w:val="20"/>
          <w:szCs w:val="20"/>
          <w:color w:val="auto"/>
        </w:rPr>
      </w:pPr>
    </w:p>
    <w:p>
      <w:pPr>
        <w:ind w:left="560" w:right="20" w:hanging="282"/>
        <w:spacing w:after="0" w:line="243" w:lineRule="auto"/>
        <w:tabs>
          <w:tab w:leader="none" w:pos="560" w:val="left"/>
        </w:tabs>
        <w:numPr>
          <w:ilvl w:val="0"/>
          <w:numId w:val="79"/>
        </w:numPr>
        <w:rPr>
          <w:rFonts w:ascii="Arial" w:cs="Arial" w:eastAsia="Arial" w:hAnsi="Arial"/>
          <w:sz w:val="10"/>
          <w:szCs w:val="10"/>
          <w:color w:val="auto"/>
        </w:rPr>
      </w:pPr>
      <w:r>
        <w:rPr>
          <w:rFonts w:ascii="Arial" w:cs="Arial" w:eastAsia="Arial" w:hAnsi="Arial"/>
          <w:sz w:val="13"/>
          <w:szCs w:val="13"/>
          <w:color w:val="auto"/>
        </w:rPr>
        <w:t>The grant date fair value of equity awards represents the average of the total of the amounts reported in the “Stock Awards” and “Option Awards” columns in the Summary Compensation Table for the applicable year.</w:t>
      </w:r>
    </w:p>
    <w:p>
      <w:pPr>
        <w:spacing w:after="0" w:line="34" w:lineRule="exact"/>
        <w:rPr>
          <w:rFonts w:ascii="Arial" w:cs="Arial" w:eastAsia="Arial" w:hAnsi="Arial"/>
          <w:sz w:val="10"/>
          <w:szCs w:val="10"/>
          <w:color w:val="auto"/>
        </w:rPr>
      </w:pPr>
    </w:p>
    <w:p>
      <w:pPr>
        <w:ind w:left="560" w:right="40" w:hanging="282"/>
        <w:spacing w:after="0" w:line="243" w:lineRule="auto"/>
        <w:tabs>
          <w:tab w:leader="none" w:pos="560" w:val="left"/>
        </w:tabs>
        <w:numPr>
          <w:ilvl w:val="0"/>
          <w:numId w:val="79"/>
        </w:numPr>
        <w:rPr>
          <w:rFonts w:ascii="Arial" w:cs="Arial" w:eastAsia="Arial" w:hAnsi="Arial"/>
          <w:sz w:val="10"/>
          <w:szCs w:val="10"/>
          <w:color w:val="auto"/>
        </w:rPr>
      </w:pPr>
      <w:r>
        <w:rPr>
          <w:rFonts w:ascii="Arial" w:cs="Arial" w:eastAsia="Arial" w:hAnsi="Arial"/>
          <w:sz w:val="13"/>
          <w:szCs w:val="13"/>
          <w:color w:val="auto"/>
        </w:rPr>
        <w:t>The equity award adjustments for each applicable year were calculated using valuation methodologies (x) to compute fair values that did not materially differ from those disclosed at the time of grant and (y) are accordance with FASB ASC 718. These adjustments include the addition (or subtraction, as applicable) of the following:</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00519B"/>
              </w:rPr>
              <w:t>Average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00519B"/>
              </w:rPr>
              <w:t>Year over</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Average Fair</w:t>
            </w:r>
          </w:p>
        </w:tc>
        <w:tc>
          <w:tcPr>
            <w:tcW w:w="46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00519B"/>
              </w:rPr>
              <w:t>Value of</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00519B"/>
                <w:w w:val="97"/>
              </w:rPr>
              <w:t>Year over</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Year Average</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Value at the</w:t>
            </w: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Dividends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Year Average</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Change in</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End of the</w:t>
            </w:r>
          </w:p>
        </w:tc>
        <w:tc>
          <w:tcPr>
            <w:tcW w:w="46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00519B"/>
              </w:rPr>
              <w:t>or other</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Change in</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Fair Value as</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Fair Value</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Prior Year</w:t>
            </w:r>
          </w:p>
        </w:tc>
        <w:tc>
          <w:tcPr>
            <w:tcW w:w="46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00519B"/>
              </w:rPr>
              <w:t>Earnings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519B"/>
              </w:rPr>
              <w:t>Fair Value of</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of Vesting</w:t>
            </w:r>
          </w:p>
        </w:tc>
        <w:tc>
          <w:tcPr>
            <w:tcW w:w="4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00519B"/>
              </w:rPr>
              <w:t>of Equity</w:t>
            </w:r>
          </w:p>
        </w:tc>
        <w:tc>
          <w:tcPr>
            <w:tcW w:w="4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00519B"/>
              </w:rPr>
              <w:t>of Equity</w:t>
            </w: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Paid on Stock</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00519B"/>
              </w:rPr>
              <w:t>Average</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Outstanding</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Date of Equity</w:t>
            </w:r>
          </w:p>
        </w:tc>
        <w:tc>
          <w:tcPr>
            <w:tcW w:w="4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00519B"/>
              </w:rPr>
              <w:t>Awards</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Awards that</w:t>
            </w: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or Option</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0519B"/>
              </w:rPr>
              <w:t>Total</w:t>
            </w: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00519B"/>
              </w:rPr>
              <w:t>Year End</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and Unvested</w:t>
            </w:r>
          </w:p>
        </w:tc>
        <w:tc>
          <w:tcPr>
            <w:tcW w:w="50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00519B"/>
              </w:rPr>
              <w:t>Awards</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Granted in</w:t>
            </w:r>
          </w:p>
        </w:tc>
        <w:tc>
          <w:tcPr>
            <w:tcW w:w="4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00519B"/>
              </w:rPr>
              <w:t>Failed to</w:t>
            </w: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Awards not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0519B"/>
              </w:rPr>
              <w:t>Average</w:t>
            </w:r>
          </w:p>
        </w:tc>
      </w:tr>
      <w:tr>
        <w:trPr>
          <w:trHeight w:val="162"/>
        </w:trPr>
        <w:tc>
          <w:tcPr>
            <w:tcW w:w="1340" w:type="dxa"/>
            <w:vAlign w:val="bottom"/>
          </w:tcPr>
          <w:p>
            <w:pPr>
              <w:spacing w:after="0"/>
              <w:rPr>
                <w:sz w:val="14"/>
                <w:szCs w:val="14"/>
                <w:color w:val="auto"/>
              </w:rPr>
            </w:pPr>
          </w:p>
        </w:tc>
        <w:tc>
          <w:tcPr>
            <w:tcW w:w="20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00519B"/>
              </w:rPr>
              <w:t>Fair Value</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Equity Awards</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Granted and</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Prior Years</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Meet Vesting</w:t>
            </w: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Otherwise</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0519B"/>
              </w:rPr>
              <w:t>Equity</w:t>
            </w:r>
          </w:p>
        </w:tc>
      </w:tr>
      <w:tr>
        <w:trPr>
          <w:trHeight w:val="162"/>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00519B"/>
              </w:rPr>
              <w:t>of Equity</w:t>
            </w:r>
          </w:p>
        </w:tc>
        <w:tc>
          <w:tcPr>
            <w:tcW w:w="14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00519B"/>
              </w:rPr>
              <w:t>Granted in</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Vested in the</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519B"/>
              </w:rPr>
              <w:t>that Vested in</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Conditions in</w:t>
            </w: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00519B"/>
              </w:rPr>
              <w:t>Reflected in</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0519B"/>
              </w:rPr>
              <w:t>Award</w:t>
            </w:r>
          </w:p>
        </w:tc>
      </w:tr>
      <w:tr>
        <w:trPr>
          <w:trHeight w:val="205"/>
        </w:trPr>
        <w:tc>
          <w:tcPr>
            <w:tcW w:w="1340" w:type="dxa"/>
            <w:vAlign w:val="bottom"/>
            <w:tcBorders>
              <w:bottom w:val="single" w:sz="8" w:color="00519B"/>
            </w:tcBorders>
          </w:tcPr>
          <w:p>
            <w:pPr>
              <w:ind w:left="40"/>
              <w:spacing w:after="0"/>
              <w:rPr>
                <w:sz w:val="20"/>
                <w:szCs w:val="20"/>
                <w:color w:val="auto"/>
              </w:rPr>
            </w:pPr>
            <w:r>
              <w:rPr>
                <w:rFonts w:ascii="Arial" w:cs="Arial" w:eastAsia="Arial" w:hAnsi="Arial"/>
                <w:sz w:val="14"/>
                <w:szCs w:val="14"/>
                <w:b w:val="1"/>
                <w:bCs w:val="1"/>
                <w:color w:val="00519B"/>
              </w:rPr>
              <w:t>Year</w:t>
            </w:r>
          </w:p>
        </w:tc>
        <w:tc>
          <w:tcPr>
            <w:tcW w:w="1080" w:type="dxa"/>
            <w:vAlign w:val="bottom"/>
            <w:tcBorders>
              <w:bottom w:val="single" w:sz="8" w:color="00519B"/>
            </w:tcBorders>
          </w:tcPr>
          <w:p>
            <w:pPr>
              <w:spacing w:after="0"/>
              <w:rPr>
                <w:sz w:val="17"/>
                <w:szCs w:val="17"/>
                <w:color w:val="auto"/>
              </w:rPr>
            </w:pPr>
          </w:p>
        </w:tc>
        <w:tc>
          <w:tcPr>
            <w:tcW w:w="940" w:type="dxa"/>
            <w:vAlign w:val="bottom"/>
            <w:tcBorders>
              <w:bottom w:val="single" w:sz="8" w:color="00519B"/>
            </w:tcBorders>
          </w:tcPr>
          <w:p>
            <w:pPr>
              <w:jc w:val="right"/>
              <w:ind w:right="228"/>
              <w:spacing w:after="0"/>
              <w:rPr>
                <w:sz w:val="20"/>
                <w:szCs w:val="20"/>
                <w:color w:val="auto"/>
              </w:rPr>
            </w:pPr>
            <w:r>
              <w:rPr>
                <w:rFonts w:ascii="Arial" w:cs="Arial" w:eastAsia="Arial" w:hAnsi="Arial"/>
                <w:sz w:val="14"/>
                <w:szCs w:val="14"/>
                <w:b w:val="1"/>
                <w:bCs w:val="1"/>
                <w:color w:val="00519B"/>
              </w:rPr>
              <w:t>Awards</w:t>
            </w:r>
          </w:p>
        </w:tc>
        <w:tc>
          <w:tcPr>
            <w:tcW w:w="1460" w:type="dxa"/>
            <w:vAlign w:val="bottom"/>
            <w:tcBorders>
              <w:bottom w:val="single" w:sz="8" w:color="00519B"/>
            </w:tcBorders>
            <w:gridSpan w:val="2"/>
          </w:tcPr>
          <w:p>
            <w:pPr>
              <w:jc w:val="right"/>
              <w:ind w:right="108"/>
              <w:spacing w:after="0"/>
              <w:rPr>
                <w:sz w:val="20"/>
                <w:szCs w:val="20"/>
                <w:color w:val="auto"/>
              </w:rPr>
            </w:pPr>
            <w:r>
              <w:rPr>
                <w:rFonts w:ascii="Arial" w:cs="Arial" w:eastAsia="Arial" w:hAnsi="Arial"/>
                <w:sz w:val="14"/>
                <w:szCs w:val="14"/>
                <w:b w:val="1"/>
                <w:bCs w:val="1"/>
                <w:color w:val="00519B"/>
              </w:rPr>
              <w:t>Prior Years</w:t>
            </w:r>
          </w:p>
        </w:tc>
        <w:tc>
          <w:tcPr>
            <w:tcW w:w="500" w:type="dxa"/>
            <w:vAlign w:val="bottom"/>
            <w:tcBorders>
              <w:bottom w:val="single" w:sz="8" w:color="00519B"/>
            </w:tcBorders>
          </w:tcPr>
          <w:p>
            <w:pPr>
              <w:spacing w:after="0"/>
              <w:rPr>
                <w:sz w:val="17"/>
                <w:szCs w:val="17"/>
                <w:color w:val="auto"/>
              </w:rPr>
            </w:pPr>
          </w:p>
        </w:tc>
        <w:tc>
          <w:tcPr>
            <w:tcW w:w="740" w:type="dxa"/>
            <w:vAlign w:val="bottom"/>
            <w:tcBorders>
              <w:bottom w:val="single" w:sz="8" w:color="00519B"/>
            </w:tcBorders>
          </w:tcPr>
          <w:p>
            <w:pPr>
              <w:jc w:val="right"/>
              <w:ind w:right="88"/>
              <w:spacing w:after="0"/>
              <w:rPr>
                <w:sz w:val="20"/>
                <w:szCs w:val="20"/>
                <w:color w:val="auto"/>
              </w:rPr>
            </w:pPr>
            <w:r>
              <w:rPr>
                <w:rFonts w:ascii="Arial" w:cs="Arial" w:eastAsia="Arial" w:hAnsi="Arial"/>
                <w:sz w:val="14"/>
                <w:szCs w:val="14"/>
                <w:b w:val="1"/>
                <w:bCs w:val="1"/>
                <w:color w:val="00519B"/>
              </w:rPr>
              <w:t>Year</w:t>
            </w:r>
          </w:p>
        </w:tc>
        <w:tc>
          <w:tcPr>
            <w:tcW w:w="420" w:type="dxa"/>
            <w:vAlign w:val="bottom"/>
            <w:tcBorders>
              <w:bottom w:val="single" w:sz="8" w:color="00519B"/>
            </w:tcBorders>
          </w:tcPr>
          <w:p>
            <w:pPr>
              <w:spacing w:after="0"/>
              <w:rPr>
                <w:sz w:val="17"/>
                <w:szCs w:val="17"/>
                <w:color w:val="auto"/>
              </w:rPr>
            </w:pPr>
          </w:p>
        </w:tc>
        <w:tc>
          <w:tcPr>
            <w:tcW w:w="820" w:type="dxa"/>
            <w:vAlign w:val="bottom"/>
            <w:tcBorders>
              <w:bottom w:val="single" w:sz="8" w:color="00519B"/>
            </w:tcBorders>
          </w:tcPr>
          <w:p>
            <w:pPr>
              <w:jc w:val="right"/>
              <w:ind w:right="88"/>
              <w:spacing w:after="0"/>
              <w:rPr>
                <w:sz w:val="20"/>
                <w:szCs w:val="20"/>
                <w:color w:val="auto"/>
              </w:rPr>
            </w:pPr>
            <w:r>
              <w:rPr>
                <w:rFonts w:ascii="Arial" w:cs="Arial" w:eastAsia="Arial" w:hAnsi="Arial"/>
                <w:sz w:val="14"/>
                <w:szCs w:val="14"/>
                <w:b w:val="1"/>
                <w:bCs w:val="1"/>
                <w:color w:val="00519B"/>
              </w:rPr>
              <w:t>the Year</w:t>
            </w:r>
          </w:p>
        </w:tc>
        <w:tc>
          <w:tcPr>
            <w:tcW w:w="420" w:type="dxa"/>
            <w:vAlign w:val="bottom"/>
            <w:tcBorders>
              <w:bottom w:val="single" w:sz="8" w:color="00519B"/>
            </w:tcBorders>
          </w:tcPr>
          <w:p>
            <w:pPr>
              <w:spacing w:after="0"/>
              <w:rPr>
                <w:sz w:val="17"/>
                <w:szCs w:val="17"/>
                <w:color w:val="auto"/>
              </w:rPr>
            </w:pPr>
          </w:p>
        </w:tc>
        <w:tc>
          <w:tcPr>
            <w:tcW w:w="820" w:type="dxa"/>
            <w:vAlign w:val="bottom"/>
            <w:tcBorders>
              <w:bottom w:val="single" w:sz="8" w:color="00519B"/>
            </w:tcBorders>
          </w:tcPr>
          <w:p>
            <w:pPr>
              <w:jc w:val="right"/>
              <w:ind w:right="128"/>
              <w:spacing w:after="0"/>
              <w:rPr>
                <w:sz w:val="20"/>
                <w:szCs w:val="20"/>
                <w:color w:val="auto"/>
              </w:rPr>
            </w:pPr>
            <w:r>
              <w:rPr>
                <w:rFonts w:ascii="Arial" w:cs="Arial" w:eastAsia="Arial" w:hAnsi="Arial"/>
                <w:sz w:val="14"/>
                <w:szCs w:val="14"/>
                <w:b w:val="1"/>
                <w:bCs w:val="1"/>
                <w:color w:val="00519B"/>
              </w:rPr>
              <w:t>the Year</w:t>
            </w:r>
          </w:p>
        </w:tc>
        <w:tc>
          <w:tcPr>
            <w:tcW w:w="1300" w:type="dxa"/>
            <w:vAlign w:val="bottom"/>
            <w:tcBorders>
              <w:bottom w:val="single" w:sz="8" w:color="00519B"/>
            </w:tcBorders>
            <w:gridSpan w:val="2"/>
          </w:tcPr>
          <w:p>
            <w:pPr>
              <w:jc w:val="right"/>
              <w:ind w:right="128"/>
              <w:spacing w:after="0"/>
              <w:rPr>
                <w:sz w:val="20"/>
                <w:szCs w:val="20"/>
                <w:color w:val="auto"/>
              </w:rPr>
            </w:pPr>
            <w:r>
              <w:rPr>
                <w:rFonts w:ascii="Arial" w:cs="Arial" w:eastAsia="Arial" w:hAnsi="Arial"/>
                <w:sz w:val="14"/>
                <w:szCs w:val="14"/>
                <w:b w:val="1"/>
                <w:bCs w:val="1"/>
                <w:color w:val="00519B"/>
              </w:rPr>
              <w:t>Fair Value</w:t>
            </w:r>
          </w:p>
        </w:tc>
        <w:tc>
          <w:tcPr>
            <w:tcW w:w="1140" w:type="dxa"/>
            <w:vAlign w:val="bottom"/>
            <w:tcBorders>
              <w:bottom w:val="single" w:sz="8" w:color="00519B"/>
            </w:tcBorders>
            <w:gridSpan w:val="2"/>
          </w:tcPr>
          <w:p>
            <w:pPr>
              <w:jc w:val="right"/>
              <w:spacing w:after="0"/>
              <w:rPr>
                <w:sz w:val="20"/>
                <w:szCs w:val="20"/>
                <w:color w:val="auto"/>
              </w:rPr>
            </w:pPr>
            <w:r>
              <w:rPr>
                <w:rFonts w:ascii="Arial" w:cs="Arial" w:eastAsia="Arial" w:hAnsi="Arial"/>
                <w:sz w:val="14"/>
                <w:szCs w:val="14"/>
                <w:b w:val="1"/>
                <w:bCs w:val="1"/>
                <w:color w:val="00519B"/>
              </w:rPr>
              <w:t>Adjustments</w:t>
            </w:r>
          </w:p>
        </w:tc>
      </w:tr>
      <w:tr>
        <w:trPr>
          <w:trHeight w:val="212"/>
        </w:trPr>
        <w:tc>
          <w:tcPr>
            <w:tcW w:w="1340" w:type="dxa"/>
            <w:vAlign w:val="bottom"/>
            <w:tcBorders>
              <w:bottom w:val="single" w:sz="8" w:color="D1D2D4"/>
            </w:tcBorders>
          </w:tcPr>
          <w:p>
            <w:pPr>
              <w:ind w:left="40"/>
              <w:spacing w:after="0"/>
              <w:rPr>
                <w:sz w:val="20"/>
                <w:szCs w:val="20"/>
                <w:color w:val="auto"/>
              </w:rPr>
            </w:pPr>
            <w:r>
              <w:rPr>
                <w:rFonts w:ascii="Arial" w:cs="Arial" w:eastAsia="Arial" w:hAnsi="Arial"/>
                <w:sz w:val="14"/>
                <w:szCs w:val="14"/>
                <w:color w:val="auto"/>
              </w:rPr>
              <w:t>2022</w:t>
            </w:r>
          </w:p>
        </w:tc>
        <w:tc>
          <w:tcPr>
            <w:tcW w:w="10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ind w:right="228"/>
              <w:spacing w:after="0"/>
              <w:rPr>
                <w:sz w:val="20"/>
                <w:szCs w:val="20"/>
                <w:color w:val="auto"/>
              </w:rPr>
            </w:pPr>
            <w:r>
              <w:rPr>
                <w:rFonts w:ascii="Arial" w:cs="Arial" w:eastAsia="Arial" w:hAnsi="Arial"/>
                <w:sz w:val="14"/>
                <w:szCs w:val="14"/>
                <w:color w:val="auto"/>
                <w:w w:val="99"/>
              </w:rPr>
              <w:t>5,892,074</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9"/>
              </w:rPr>
              <w:t>5,260,035</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2,157,005</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145,425</w:t>
            </w:r>
          </w:p>
        </w:tc>
        <w:tc>
          <w:tcPr>
            <w:tcW w:w="3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13,454,539</w:t>
            </w:r>
          </w:p>
        </w:tc>
      </w:tr>
      <w:tr>
        <w:trPr>
          <w:trHeight w:val="210"/>
        </w:trPr>
        <w:tc>
          <w:tcPr>
            <w:tcW w:w="1340" w:type="dxa"/>
            <w:vAlign w:val="bottom"/>
            <w:tcBorders>
              <w:bottom w:val="single" w:sz="8" w:color="D1D2D4"/>
            </w:tcBorders>
          </w:tcPr>
          <w:p>
            <w:pPr>
              <w:ind w:left="4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D2D4"/>
            </w:tcBorders>
          </w:tcPr>
          <w:p>
            <w:pPr>
              <w:jc w:val="right"/>
              <w:ind w:right="228"/>
              <w:spacing w:after="0"/>
              <w:rPr>
                <w:sz w:val="20"/>
                <w:szCs w:val="20"/>
                <w:color w:val="auto"/>
              </w:rPr>
            </w:pPr>
            <w:r>
              <w:rPr>
                <w:rFonts w:ascii="Arial" w:cs="Arial" w:eastAsia="Arial" w:hAnsi="Arial"/>
                <w:sz w:val="14"/>
                <w:szCs w:val="14"/>
                <w:color w:val="auto"/>
                <w:w w:val="99"/>
              </w:rPr>
              <w:t>4,117,151</w:t>
            </w: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108"/>
              <w:spacing w:after="0"/>
              <w:rPr>
                <w:sz w:val="20"/>
                <w:szCs w:val="20"/>
                <w:color w:val="auto"/>
              </w:rPr>
            </w:pPr>
            <w:r>
              <w:rPr>
                <w:rFonts w:ascii="Arial" w:cs="Arial" w:eastAsia="Arial" w:hAnsi="Arial"/>
                <w:sz w:val="14"/>
                <w:szCs w:val="14"/>
                <w:color w:val="auto"/>
                <w:w w:val="99"/>
              </w:rPr>
              <w:t>1,475,558</w:t>
            </w: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278,367</w:t>
            </w: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(107,488)</w:t>
            </w:r>
          </w:p>
        </w:tc>
        <w:tc>
          <w:tcPr>
            <w:tcW w:w="46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1D2D4"/>
            </w:tcBorders>
          </w:tcPr>
          <w:p>
            <w:pPr>
              <w:jc w:val="right"/>
              <w:ind w:right="128"/>
              <w:spacing w:after="0"/>
              <w:rPr>
                <w:sz w:val="20"/>
                <w:szCs w:val="20"/>
                <w:color w:val="auto"/>
              </w:rPr>
            </w:pPr>
            <w:r>
              <w:rPr>
                <w:rFonts w:ascii="Arial" w:cs="Arial" w:eastAsia="Arial" w:hAnsi="Arial"/>
                <w:sz w:val="14"/>
                <w:szCs w:val="14"/>
                <w:color w:val="auto"/>
              </w:rPr>
              <w:t>12,122</w:t>
            </w:r>
          </w:p>
        </w:tc>
        <w:tc>
          <w:tcPr>
            <w:tcW w:w="3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5,775,710</w:t>
            </w:r>
          </w:p>
        </w:tc>
      </w:tr>
      <w:tr>
        <w:trPr>
          <w:trHeight w:val="220"/>
        </w:trPr>
        <w:tc>
          <w:tcPr>
            <w:tcW w:w="1340" w:type="dxa"/>
            <w:vAlign w:val="bottom"/>
            <w:tcBorders>
              <w:bottom w:val="single" w:sz="8" w:color="00519B"/>
            </w:tcBorders>
          </w:tcPr>
          <w:p>
            <w:pPr>
              <w:ind w:left="40"/>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519B"/>
            </w:tcBorders>
          </w:tcPr>
          <w:p>
            <w:pPr>
              <w:jc w:val="right"/>
              <w:ind w:right="228"/>
              <w:spacing w:after="0"/>
              <w:rPr>
                <w:sz w:val="20"/>
                <w:szCs w:val="20"/>
                <w:color w:val="auto"/>
              </w:rPr>
            </w:pPr>
            <w:r>
              <w:rPr>
                <w:rFonts w:ascii="Arial" w:cs="Arial" w:eastAsia="Arial" w:hAnsi="Arial"/>
                <w:sz w:val="14"/>
                <w:szCs w:val="14"/>
                <w:color w:val="auto"/>
              </w:rPr>
              <w:t>802,458</w:t>
            </w:r>
          </w:p>
        </w:tc>
        <w:tc>
          <w:tcPr>
            <w:tcW w:w="64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519B"/>
            </w:tcBorders>
          </w:tcPr>
          <w:p>
            <w:pPr>
              <w:jc w:val="right"/>
              <w:ind w:right="48"/>
              <w:spacing w:after="0"/>
              <w:rPr>
                <w:sz w:val="20"/>
                <w:szCs w:val="20"/>
                <w:color w:val="auto"/>
              </w:rPr>
            </w:pPr>
            <w:r>
              <w:rPr>
                <w:rFonts w:ascii="Arial" w:cs="Arial" w:eastAsia="Arial" w:hAnsi="Arial"/>
                <w:sz w:val="14"/>
                <w:szCs w:val="14"/>
                <w:color w:val="auto"/>
              </w:rPr>
              <w:t>(762,128)</w:t>
            </w:r>
          </w:p>
        </w:tc>
        <w:tc>
          <w:tcPr>
            <w:tcW w:w="50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519B"/>
            </w:tcBorders>
          </w:tcPr>
          <w:p>
            <w:pPr>
              <w:jc w:val="right"/>
              <w:ind w:right="88"/>
              <w:spacing w:after="0"/>
              <w:rPr>
                <w:sz w:val="20"/>
                <w:szCs w:val="20"/>
                <w:color w:val="auto"/>
              </w:rPr>
            </w:pPr>
            <w:r>
              <w:rPr>
                <w:rFonts w:ascii="Arial" w:cs="Arial" w:eastAsia="Arial" w:hAnsi="Arial"/>
                <w:sz w:val="14"/>
                <w:szCs w:val="14"/>
                <w:color w:val="auto"/>
              </w:rPr>
              <w:t>193,764</w:t>
            </w:r>
          </w:p>
        </w:tc>
        <w:tc>
          <w:tcPr>
            <w:tcW w:w="42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519B"/>
            </w:tcBorders>
          </w:tcPr>
          <w:p>
            <w:pPr>
              <w:jc w:val="right"/>
              <w:ind w:right="48"/>
              <w:spacing w:after="0"/>
              <w:rPr>
                <w:sz w:val="20"/>
                <w:szCs w:val="20"/>
                <w:color w:val="auto"/>
              </w:rPr>
            </w:pPr>
            <w:r>
              <w:rPr>
                <w:rFonts w:ascii="Arial" w:cs="Arial" w:eastAsia="Arial" w:hAnsi="Arial"/>
                <w:sz w:val="14"/>
                <w:szCs w:val="14"/>
                <w:color w:val="auto"/>
              </w:rPr>
              <w:t>(69,720)</w:t>
            </w:r>
          </w:p>
        </w:tc>
        <w:tc>
          <w:tcPr>
            <w:tcW w:w="42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519B"/>
            </w:tcBorders>
          </w:tcPr>
          <w:p>
            <w:pPr>
              <w:jc w:val="right"/>
              <w:ind w:right="68"/>
              <w:spacing w:after="0"/>
              <w:rPr>
                <w:sz w:val="20"/>
                <w:szCs w:val="20"/>
                <w:color w:val="auto"/>
              </w:rPr>
            </w:pPr>
            <w:r>
              <w:rPr>
                <w:rFonts w:ascii="Arial" w:cs="Arial" w:eastAsia="Arial" w:hAnsi="Arial"/>
                <w:sz w:val="14"/>
                <w:szCs w:val="14"/>
                <w:color w:val="auto"/>
              </w:rPr>
              <w:t>(111,552)</w:t>
            </w:r>
          </w:p>
        </w:tc>
        <w:tc>
          <w:tcPr>
            <w:tcW w:w="46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519B"/>
            </w:tcBorders>
          </w:tcPr>
          <w:p>
            <w:pPr>
              <w:jc w:val="right"/>
              <w:ind w:right="128"/>
              <w:spacing w:after="0"/>
              <w:rPr>
                <w:sz w:val="20"/>
                <w:szCs w:val="20"/>
                <w:color w:val="auto"/>
              </w:rPr>
            </w:pPr>
            <w:r>
              <w:rPr>
                <w:rFonts w:ascii="Arial" w:cs="Arial" w:eastAsia="Arial" w:hAnsi="Arial"/>
                <w:sz w:val="14"/>
                <w:szCs w:val="14"/>
                <w:color w:val="auto"/>
              </w:rPr>
              <w:t>111,137</w:t>
            </w:r>
          </w:p>
        </w:tc>
        <w:tc>
          <w:tcPr>
            <w:tcW w:w="34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519B"/>
            </w:tcBorders>
          </w:tcPr>
          <w:p>
            <w:pPr>
              <w:jc w:val="right"/>
              <w:spacing w:after="0"/>
              <w:rPr>
                <w:sz w:val="20"/>
                <w:szCs w:val="20"/>
                <w:color w:val="auto"/>
              </w:rPr>
            </w:pPr>
            <w:r>
              <w:rPr>
                <w:rFonts w:ascii="Arial" w:cs="Arial" w:eastAsia="Arial" w:hAnsi="Arial"/>
                <w:sz w:val="14"/>
                <w:szCs w:val="14"/>
                <w:color w:val="auto"/>
              </w:rPr>
              <w:t>163,959</w:t>
            </w:r>
          </w:p>
        </w:tc>
      </w:tr>
    </w:tbl>
    <w:p>
      <w:pPr>
        <w:spacing w:after="0" w:line="252" w:lineRule="exact"/>
        <w:rPr>
          <w:sz w:val="20"/>
          <w:szCs w:val="20"/>
          <w:color w:val="auto"/>
        </w:rPr>
      </w:pPr>
    </w:p>
    <w:p>
      <w:pPr>
        <w:ind w:left="580" w:right="200" w:hanging="280"/>
        <w:spacing w:after="0" w:line="184" w:lineRule="auto"/>
        <w:tabs>
          <w:tab w:leader="none" w:pos="580" w:val="left"/>
        </w:tabs>
        <w:numPr>
          <w:ilvl w:val="1"/>
          <w:numId w:val="80"/>
        </w:numPr>
        <w:rPr>
          <w:rFonts w:ascii="Arial" w:cs="Arial" w:eastAsia="Arial" w:hAnsi="Arial"/>
          <w:sz w:val="21"/>
          <w:szCs w:val="21"/>
          <w:color w:val="auto"/>
          <w:vertAlign w:val="subscript"/>
        </w:rPr>
      </w:pPr>
      <w:r>
        <w:rPr>
          <w:rFonts w:ascii="Arial" w:cs="Arial" w:eastAsia="Arial" w:hAnsi="Arial"/>
          <w:sz w:val="13"/>
          <w:szCs w:val="13"/>
          <w:color w:val="auto"/>
        </w:rPr>
        <w:t>The average aggregate change in actuarial present value of all defined benefit pension plans reported in Summary Compensation Table total has been deducted ($16,391) and the average amount attributable to the service cost for the NEO for the year has been added ($6,183).</w:t>
      </w:r>
    </w:p>
    <w:p>
      <w:pPr>
        <w:spacing w:after="0" w:line="267" w:lineRule="exact"/>
        <w:rPr>
          <w:rFonts w:ascii="Arial" w:cs="Arial" w:eastAsia="Arial" w:hAnsi="Arial"/>
          <w:sz w:val="21"/>
          <w:szCs w:val="21"/>
          <w:color w:val="auto"/>
          <w:vertAlign w:val="subscript"/>
        </w:rPr>
      </w:pPr>
    </w:p>
    <w:p>
      <w:pPr>
        <w:ind w:left="320" w:right="40" w:hanging="276"/>
        <w:spacing w:after="0" w:line="233" w:lineRule="auto"/>
        <w:tabs>
          <w:tab w:leader="none" w:pos="320" w:val="left"/>
        </w:tabs>
        <w:numPr>
          <w:ilvl w:val="0"/>
          <w:numId w:val="81"/>
        </w:numPr>
        <w:rPr>
          <w:rFonts w:ascii="Arial" w:cs="Arial" w:eastAsia="Arial" w:hAnsi="Arial"/>
          <w:sz w:val="10"/>
          <w:szCs w:val="10"/>
          <w:color w:val="auto"/>
        </w:rPr>
      </w:pPr>
      <w:r>
        <w:rPr>
          <w:rFonts w:ascii="Arial" w:cs="Arial" w:eastAsia="Arial" w:hAnsi="Arial"/>
          <w:sz w:val="13"/>
          <w:szCs w:val="13"/>
          <w:color w:val="auto"/>
        </w:rPr>
        <w:t>Cumulative TSR is calculated by dividing the sum of the cumulative amount of dividends for the 1-, 2-, and 3-year periods beginning December 31, 2019 and running through each fiscal year end, assuming dividend reinvestment, and the difference between Occidental’s share price at the end and the beginning of the applicable measurement period by Occidental’s share price on December 31, 2019.</w:t>
      </w:r>
    </w:p>
    <w:p>
      <w:pPr>
        <w:spacing w:after="0" w:line="23" w:lineRule="exact"/>
        <w:rPr>
          <w:rFonts w:ascii="Arial" w:cs="Arial" w:eastAsia="Arial" w:hAnsi="Arial"/>
          <w:sz w:val="10"/>
          <w:szCs w:val="10"/>
          <w:color w:val="auto"/>
        </w:rPr>
      </w:pPr>
    </w:p>
    <w:p>
      <w:pPr>
        <w:ind w:left="320" w:right="60" w:hanging="276"/>
        <w:spacing w:after="0" w:line="225" w:lineRule="auto"/>
        <w:tabs>
          <w:tab w:leader="none" w:pos="320" w:val="left"/>
        </w:tabs>
        <w:numPr>
          <w:ilvl w:val="0"/>
          <w:numId w:val="81"/>
        </w:numPr>
        <w:rPr>
          <w:rFonts w:ascii="Arial" w:cs="Arial" w:eastAsia="Arial" w:hAnsi="Arial"/>
          <w:sz w:val="10"/>
          <w:szCs w:val="10"/>
          <w:color w:val="auto"/>
        </w:rPr>
      </w:pPr>
      <w:r>
        <w:rPr>
          <w:rFonts w:ascii="Arial" w:cs="Arial" w:eastAsia="Arial" w:hAnsi="Arial"/>
          <w:sz w:val="13"/>
          <w:szCs w:val="13"/>
          <w:color w:val="auto"/>
        </w:rPr>
        <w:t xml:space="preserve">Amounts reported in this column assume that dividends were reinvested on the day of issuance. The peer group used for this purpose for 2022 and 2021 is the performance peer group as described in </w:t>
      </w:r>
      <w:r>
        <w:rPr>
          <w:rFonts w:ascii="Arial" w:cs="Arial" w:eastAsia="Arial" w:hAnsi="Arial"/>
          <w:sz w:val="13"/>
          <w:szCs w:val="13"/>
          <w:i w:val="1"/>
          <w:iCs w:val="1"/>
          <w:color w:val="auto"/>
        </w:rPr>
        <w:t>“Compensation Discussion and Analysis–Participants in the Executive Compensation Decision-Making Process–Role of Peer Company Information”</w:t>
      </w:r>
      <w:r>
        <w:rPr>
          <w:rFonts w:ascii="Arial" w:cs="Arial" w:eastAsia="Arial" w:hAnsi="Arial"/>
          <w:sz w:val="13"/>
          <w:szCs w:val="13"/>
          <w:color w:val="auto"/>
        </w:rPr>
        <w:t xml:space="preserve"> on pages 44-45 and </w:t>
      </w:r>
      <w:r>
        <w:rPr>
          <w:rFonts w:ascii="Arial" w:cs="Arial" w:eastAsia="Arial" w:hAnsi="Arial"/>
          <w:sz w:val="13"/>
          <w:szCs w:val="13"/>
          <w:i w:val="1"/>
          <w:iCs w:val="1"/>
          <w:color w:val="auto"/>
        </w:rPr>
        <w:t>“–Elements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of the 2022 Compensation Program–2022 Long-Term Incentive Award Mix at Grant Date–Total Shareholder Return (TSR) Award” </w:t>
      </w:r>
      <w:r>
        <w:rPr>
          <w:rFonts w:ascii="Arial" w:cs="Arial" w:eastAsia="Arial" w:hAnsi="Arial"/>
          <w:sz w:val="13"/>
          <w:szCs w:val="13"/>
          <w:color w:val="auto"/>
        </w:rPr>
        <w:t>beginning on page 49. The peer group used for this purpose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2020 is the performance peer group as described in the company’s 2021 proxy statement in </w:t>
      </w:r>
      <w:r>
        <w:rPr>
          <w:rFonts w:ascii="Arial" w:cs="Arial" w:eastAsia="Arial" w:hAnsi="Arial"/>
          <w:sz w:val="13"/>
          <w:szCs w:val="13"/>
          <w:i w:val="1"/>
          <w:iCs w:val="1"/>
          <w:color w:val="auto"/>
        </w:rPr>
        <w:t>“Compensation Discussion and Analysis–Participants in the Executive Compensation Decision-Making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Process–Role of Peer Company Information” </w:t>
      </w:r>
      <w:r>
        <w:rPr>
          <w:rFonts w:ascii="Arial" w:cs="Arial" w:eastAsia="Arial" w:hAnsi="Arial"/>
          <w:sz w:val="13"/>
          <w:szCs w:val="13"/>
          <w:color w:val="auto"/>
        </w:rPr>
        <w:t>on pages 44-45 and</w:t>
      </w:r>
      <w:r>
        <w:rPr>
          <w:rFonts w:ascii="Arial" w:cs="Arial" w:eastAsia="Arial" w:hAnsi="Arial"/>
          <w:sz w:val="13"/>
          <w:szCs w:val="13"/>
          <w:i w:val="1"/>
          <w:iCs w:val="1"/>
          <w:color w:val="auto"/>
        </w:rPr>
        <w:t xml:space="preserve"> “–Elements of the 2020 Compensation Program–Long-Term Incentive Award Program–Total Shareholder Return (TSR) Award” </w:t>
      </w:r>
      <w:r>
        <w:rPr>
          <w:rFonts w:ascii="Arial" w:cs="Arial" w:eastAsia="Arial" w:hAnsi="Arial"/>
          <w:sz w:val="13"/>
          <w:szCs w:val="13"/>
          <w:color w:val="auto"/>
        </w:rPr>
        <w:t>beginning on page 49.</w:t>
      </w:r>
    </w:p>
    <w:p>
      <w:pPr>
        <w:spacing w:after="0" w:line="23" w:lineRule="exact"/>
        <w:rPr>
          <w:rFonts w:ascii="Arial" w:cs="Arial" w:eastAsia="Arial" w:hAnsi="Arial"/>
          <w:sz w:val="10"/>
          <w:szCs w:val="10"/>
          <w:color w:val="auto"/>
        </w:rPr>
      </w:pPr>
    </w:p>
    <w:p>
      <w:pPr>
        <w:ind w:left="320" w:hanging="276"/>
        <w:spacing w:after="0"/>
        <w:tabs>
          <w:tab w:leader="none" w:pos="320" w:val="left"/>
        </w:tabs>
        <w:numPr>
          <w:ilvl w:val="0"/>
          <w:numId w:val="81"/>
        </w:numPr>
        <w:rPr>
          <w:rFonts w:ascii="Arial" w:cs="Arial" w:eastAsia="Arial" w:hAnsi="Arial"/>
          <w:sz w:val="10"/>
          <w:szCs w:val="10"/>
          <w:color w:val="auto"/>
        </w:rPr>
      </w:pPr>
      <w:r>
        <w:rPr>
          <w:rFonts w:ascii="Arial" w:cs="Arial" w:eastAsia="Arial" w:hAnsi="Arial"/>
          <w:sz w:val="13"/>
          <w:szCs w:val="13"/>
          <w:color w:val="auto"/>
        </w:rPr>
        <w:t>The dollar amounts reported represent the amount of net income reflected in Occidental’s audited financial statements for the applicable year.</w:t>
      </w:r>
    </w:p>
    <w:p>
      <w:pPr>
        <w:spacing w:after="0" w:line="53" w:lineRule="exact"/>
        <w:rPr>
          <w:rFonts w:ascii="Arial" w:cs="Arial" w:eastAsia="Arial" w:hAnsi="Arial"/>
          <w:sz w:val="10"/>
          <w:szCs w:val="10"/>
          <w:color w:val="auto"/>
        </w:rPr>
      </w:pPr>
    </w:p>
    <w:p>
      <w:pPr>
        <w:ind w:left="320" w:hanging="276"/>
        <w:spacing w:after="0" w:line="229" w:lineRule="auto"/>
        <w:tabs>
          <w:tab w:leader="none" w:pos="320" w:val="left"/>
        </w:tabs>
        <w:numPr>
          <w:ilvl w:val="0"/>
          <w:numId w:val="81"/>
        </w:numPr>
        <w:rPr>
          <w:rFonts w:ascii="Arial" w:cs="Arial" w:eastAsia="Arial" w:hAnsi="Arial"/>
          <w:sz w:val="10"/>
          <w:szCs w:val="10"/>
          <w:color w:val="auto"/>
        </w:rPr>
      </w:pPr>
      <w:r>
        <w:rPr>
          <w:rFonts w:ascii="Arial" w:cs="Arial" w:eastAsia="Arial" w:hAnsi="Arial"/>
          <w:sz w:val="13"/>
          <w:szCs w:val="13"/>
          <w:color w:val="auto"/>
        </w:rPr>
        <w:t>CROCE is defined by Occidental as cash flows from operating activities before changes in working capital plus any distributions from Western Midstream Partners, LP which are included in cash flows from investing activities divided by average total debt plus stockholders’ equity (average of the beginning and ending totals for the current period). Management believes that CROCE is useful to investors when comparing our profitability and the efficiency with which management has employed capital over time relative to other companies. CROCE is not considered to be an alternative to net income reported in accordance with GAAP.</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Performance Measures</w:t>
      </w:r>
    </w:p>
    <w:p>
      <w:pPr>
        <w:spacing w:after="0" w:line="347" w:lineRule="exact"/>
        <w:rPr>
          <w:sz w:val="20"/>
          <w:szCs w:val="20"/>
          <w:color w:val="auto"/>
        </w:rPr>
      </w:pPr>
    </w:p>
    <w:p>
      <w:pPr>
        <w:ind w:right="260"/>
        <w:spacing w:after="0" w:line="238" w:lineRule="auto"/>
        <w:rPr>
          <w:sz w:val="20"/>
          <w:szCs w:val="20"/>
          <w:color w:val="auto"/>
        </w:rPr>
      </w:pPr>
      <w:r>
        <w:rPr>
          <w:rFonts w:ascii="Arial" w:cs="Arial" w:eastAsia="Arial" w:hAnsi="Arial"/>
          <w:sz w:val="15"/>
          <w:szCs w:val="15"/>
          <w:color w:val="auto"/>
        </w:rPr>
        <w:t>As described in greater detail in “Compensation Discussion and Analysis” beginning on page 37, Occidental’s executive compensation program reflects a variable pay-for-performance philosophy. The metrics that Occidental uses for both our long-term and short-term incentive awards are selected based on an objective of incentivizing our NEOs to increase the value of our enterprise for our shareholders. The most important financial performance measures used by Occidental to link executive compensation actually paid to Occidental’s NEOs, for the most recently completed fiscal year, to Occidental’s performance are as follows:</w:t>
      </w:r>
    </w:p>
    <w:p>
      <w:pPr>
        <w:spacing w:after="0" w:line="93" w:lineRule="exact"/>
        <w:rPr>
          <w:sz w:val="20"/>
          <w:szCs w:val="20"/>
          <w:color w:val="auto"/>
        </w:rPr>
      </w:pPr>
    </w:p>
    <w:p>
      <w:pPr>
        <w:ind w:left="280" w:hanging="271"/>
        <w:spacing w:after="0"/>
        <w:tabs>
          <w:tab w:leader="none" w:pos="280" w:val="left"/>
        </w:tabs>
        <w:numPr>
          <w:ilvl w:val="0"/>
          <w:numId w:val="82"/>
        </w:numPr>
        <w:rPr>
          <w:rFonts w:ascii="Arial" w:cs="Arial" w:eastAsia="Arial" w:hAnsi="Arial"/>
          <w:sz w:val="25"/>
          <w:szCs w:val="25"/>
          <w:color w:val="00529B"/>
          <w:vertAlign w:val="superscript"/>
        </w:rPr>
      </w:pPr>
      <w:r>
        <w:rPr>
          <w:rFonts w:ascii="Arial" w:cs="Arial" w:eastAsia="Arial" w:hAnsi="Arial"/>
          <w:sz w:val="15"/>
          <w:szCs w:val="15"/>
          <w:color w:val="auto"/>
        </w:rPr>
        <w:t>Cash Return on Capital Employed (CROCE) (Company-Selected Measure)</w:t>
      </w:r>
    </w:p>
    <w:p>
      <w:pPr>
        <w:spacing w:after="0" w:line="43" w:lineRule="exact"/>
        <w:rPr>
          <w:rFonts w:ascii="Arial" w:cs="Arial" w:eastAsia="Arial" w:hAnsi="Arial"/>
          <w:sz w:val="25"/>
          <w:szCs w:val="25"/>
          <w:color w:val="00529B"/>
          <w:vertAlign w:val="superscript"/>
        </w:rPr>
      </w:pPr>
    </w:p>
    <w:p>
      <w:pPr>
        <w:ind w:left="280" w:hanging="271"/>
        <w:spacing w:after="0" w:line="185" w:lineRule="auto"/>
        <w:tabs>
          <w:tab w:leader="none" w:pos="280" w:val="left"/>
        </w:tabs>
        <w:numPr>
          <w:ilvl w:val="0"/>
          <w:numId w:val="82"/>
        </w:numPr>
        <w:rPr>
          <w:rFonts w:ascii="Arial" w:cs="Arial" w:eastAsia="Arial" w:hAnsi="Arial"/>
          <w:sz w:val="21"/>
          <w:szCs w:val="21"/>
          <w:color w:val="00529B"/>
          <w:vertAlign w:val="superscript"/>
        </w:rPr>
      </w:pPr>
      <w:r>
        <w:rPr>
          <w:rFonts w:ascii="Arial" w:cs="Arial" w:eastAsia="Arial" w:hAnsi="Arial"/>
          <w:sz w:val="13"/>
          <w:szCs w:val="13"/>
          <w:color w:val="auto"/>
        </w:rPr>
        <w:t>Relative Total Shareholder Return (TSR)</w:t>
      </w:r>
    </w:p>
    <w:p>
      <w:pPr>
        <w:spacing w:after="0" w:line="43" w:lineRule="exact"/>
        <w:rPr>
          <w:rFonts w:ascii="Arial" w:cs="Arial" w:eastAsia="Arial" w:hAnsi="Arial"/>
          <w:sz w:val="21"/>
          <w:szCs w:val="21"/>
          <w:color w:val="00529B"/>
          <w:vertAlign w:val="superscript"/>
        </w:rPr>
      </w:pPr>
    </w:p>
    <w:p>
      <w:pPr>
        <w:ind w:left="280" w:hanging="272"/>
        <w:spacing w:after="0" w:line="185" w:lineRule="auto"/>
        <w:tabs>
          <w:tab w:leader="none" w:pos="280" w:val="left"/>
        </w:tabs>
        <w:numPr>
          <w:ilvl w:val="0"/>
          <w:numId w:val="82"/>
        </w:numPr>
        <w:rPr>
          <w:rFonts w:ascii="Arial" w:cs="Arial" w:eastAsia="Arial" w:hAnsi="Arial"/>
          <w:sz w:val="21"/>
          <w:szCs w:val="21"/>
          <w:color w:val="00529B"/>
          <w:vertAlign w:val="superscript"/>
        </w:rPr>
      </w:pPr>
      <w:r>
        <w:rPr>
          <w:rFonts w:ascii="Arial" w:cs="Arial" w:eastAsia="Arial" w:hAnsi="Arial"/>
          <w:sz w:val="13"/>
          <w:szCs w:val="13"/>
          <w:color w:val="auto"/>
        </w:rPr>
        <w:t>Total Spend per Barrel</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Pay vs. Performance</w:t>
      </w:r>
    </w:p>
    <w:p>
      <w:pPr>
        <w:spacing w:after="0" w:line="185" w:lineRule="exact"/>
        <w:rPr>
          <w:sz w:val="20"/>
          <w:szCs w:val="20"/>
          <w:color w:val="auto"/>
        </w:rPr>
      </w:pPr>
    </w:p>
    <w:p>
      <w:pPr>
        <w:ind w:right="1700"/>
        <w:spacing w:after="0" w:line="290" w:lineRule="auto"/>
        <w:rPr>
          <w:sz w:val="20"/>
          <w:szCs w:val="20"/>
          <w:color w:val="auto"/>
        </w:rPr>
      </w:pPr>
      <w:r>
        <w:rPr>
          <w:rFonts w:ascii="Arial" w:cs="Arial" w:eastAsia="Arial" w:hAnsi="Arial"/>
          <w:sz w:val="36"/>
          <w:szCs w:val="36"/>
          <w:b w:val="1"/>
          <w:bCs w:val="1"/>
          <w:color w:val="auto"/>
        </w:rPr>
        <w:t>Analysis of the Information Presented in the Pay versus Performance Table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As described in more detail in the “Compensation Discussion and Analysis” beginning on page 37, Occidental’s executive compensation program reflects a variable pay-for-performance philosophy. While Occidental utilizes several performance measures to align executive compensation with company performance, all of those company measures are not presented in the Pay versus Performance table. Moreover, Occidental generally seeks to incentivize long-term performance, and therefore does not specifically align Occidental’s performance measures with compensation that is actually paid (as computed in accordance with SEC rules) for a particular year. In accordance with SEC rules, Occidental is providing the following descriptions of the relationships between information presented in the Pay versus Performance table.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b w:val="1"/>
          <w:bCs w:val="1"/>
          <w:color w:val="00519B"/>
        </w:rPr>
        <w:t>Compensation Actually Paid and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858000" cy="150876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8580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2"/>
          <w:szCs w:val="32"/>
          <w:b w:val="1"/>
          <w:bCs w:val="1"/>
          <w:color w:val="00519B"/>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858000" cy="248602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68580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32"/>
          <w:szCs w:val="32"/>
          <w:b w:val="1"/>
          <w:bCs w:val="1"/>
          <w:color w:val="00519B"/>
        </w:rPr>
        <w:t>Compensation Actually Paid and CROCE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88595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065"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100965</wp:posOffset>
            </wp:positionV>
            <wp:extent cx="6000750" cy="20999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000750" cy="20999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40"/>
        <w:spacing w:after="0"/>
        <w:rPr>
          <w:sz w:val="20"/>
          <w:szCs w:val="20"/>
          <w:color w:val="auto"/>
        </w:rPr>
      </w:pPr>
      <w:r>
        <w:rPr>
          <w:rFonts w:ascii="Arial" w:cs="Arial" w:eastAsia="Arial" w:hAnsi="Arial"/>
          <w:sz w:val="36"/>
          <w:szCs w:val="36"/>
          <w:b w:val="1"/>
          <w:bCs w:val="1"/>
          <w:color w:val="FFFFFF"/>
        </w:rPr>
        <w:t>RATIFICATION</w:t>
      </w:r>
    </w:p>
    <w:p>
      <w:pPr>
        <w:spacing w:after="0" w:line="41" w:lineRule="exact"/>
        <w:rPr>
          <w:sz w:val="20"/>
          <w:szCs w:val="20"/>
          <w:color w:val="auto"/>
        </w:rPr>
      </w:pPr>
    </w:p>
    <w:p>
      <w:pPr>
        <w:jc w:val="right"/>
        <w:ind w:right="500"/>
        <w:spacing w:after="0"/>
        <w:rPr>
          <w:sz w:val="20"/>
          <w:szCs w:val="20"/>
          <w:color w:val="auto"/>
        </w:rPr>
      </w:pPr>
      <w:r>
        <w:rPr>
          <w:rFonts w:ascii="Arial" w:cs="Arial" w:eastAsia="Arial" w:hAnsi="Arial"/>
          <w:sz w:val="36"/>
          <w:szCs w:val="36"/>
          <w:b w:val="1"/>
          <w:bCs w:val="1"/>
          <w:color w:val="FFFFFF"/>
        </w:rPr>
        <w:t>OF SELECTION</w:t>
      </w:r>
    </w:p>
    <w:p>
      <w:pPr>
        <w:ind w:left="4140"/>
        <w:spacing w:after="0" w:line="190" w:lineRule="auto"/>
        <w:rPr>
          <w:sz w:val="20"/>
          <w:szCs w:val="20"/>
          <w:color w:val="auto"/>
        </w:rPr>
      </w:pPr>
      <w:r>
        <w:rPr>
          <w:rFonts w:ascii="Arial" w:cs="Arial" w:eastAsia="Arial" w:hAnsi="Arial"/>
          <w:sz w:val="36"/>
          <w:szCs w:val="36"/>
          <w:b w:val="1"/>
          <w:bCs w:val="1"/>
          <w:color w:val="FFFFFF"/>
        </w:rPr>
        <w:t>OF KPMG AS</w:t>
      </w:r>
    </w:p>
    <w:p>
      <w:pPr>
        <w:ind w:left="2140"/>
        <w:spacing w:after="0" w:line="182" w:lineRule="auto"/>
        <w:tabs>
          <w:tab w:leader="none" w:pos="4120" w:val="left"/>
        </w:tabs>
        <w:rPr>
          <w:sz w:val="20"/>
          <w:szCs w:val="20"/>
          <w:color w:val="auto"/>
        </w:rPr>
      </w:pPr>
      <w:r>
        <w:rPr>
          <w:rFonts w:ascii="Arial" w:cs="Arial" w:eastAsia="Arial" w:hAnsi="Arial"/>
          <w:sz w:val="52"/>
          <w:szCs w:val="52"/>
          <w:b w:val="1"/>
          <w:bCs w:val="1"/>
          <w:color w:val="FFFFFF"/>
          <w:vertAlign w:val="superscript"/>
        </w:rPr>
        <w:t>Proposal</w:t>
      </w:r>
      <w:r>
        <w:rPr>
          <w:sz w:val="20"/>
          <w:szCs w:val="20"/>
          <w:color w:val="auto"/>
        </w:rPr>
        <w:tab/>
      </w:r>
      <w:r>
        <w:rPr>
          <w:rFonts w:ascii="Arial" w:cs="Arial" w:eastAsia="Arial" w:hAnsi="Arial"/>
          <w:sz w:val="29"/>
          <w:szCs w:val="29"/>
          <w:b w:val="1"/>
          <w:bCs w:val="1"/>
          <w:color w:val="FFFFFF"/>
        </w:rPr>
        <w:t>OCCIDENTAL’S</w:t>
      </w:r>
    </w:p>
    <w:p>
      <w:pPr>
        <w:spacing w:after="0" w:line="60" w:lineRule="exact"/>
        <w:rPr>
          <w:sz w:val="20"/>
          <w:szCs w:val="20"/>
          <w:color w:val="auto"/>
        </w:rPr>
      </w:pPr>
    </w:p>
    <w:p>
      <w:pPr>
        <w:ind w:left="4140"/>
        <w:spacing w:after="0"/>
        <w:rPr>
          <w:sz w:val="20"/>
          <w:szCs w:val="20"/>
          <w:color w:val="auto"/>
        </w:rPr>
      </w:pPr>
      <w:r>
        <w:rPr>
          <w:rFonts w:ascii="Arial" w:cs="Arial" w:eastAsia="Arial" w:hAnsi="Arial"/>
          <w:sz w:val="36"/>
          <w:szCs w:val="36"/>
          <w:b w:val="1"/>
          <w:bCs w:val="1"/>
          <w:color w:val="FFFFFF"/>
        </w:rPr>
        <w:t>INDEPENDENT</w:t>
      </w:r>
    </w:p>
    <w:p>
      <w:pPr>
        <w:spacing w:after="0" w:line="5" w:lineRule="exact"/>
        <w:rPr>
          <w:sz w:val="20"/>
          <w:szCs w:val="20"/>
          <w:color w:val="auto"/>
        </w:rPr>
      </w:pPr>
    </w:p>
    <w:p>
      <w:pPr>
        <w:ind w:left="4140"/>
        <w:spacing w:after="0"/>
        <w:rPr>
          <w:sz w:val="20"/>
          <w:szCs w:val="20"/>
          <w:color w:val="auto"/>
        </w:rPr>
      </w:pPr>
      <w:r>
        <w:rPr>
          <w:rFonts w:ascii="Arial" w:cs="Arial" w:eastAsia="Arial" w:hAnsi="Arial"/>
          <w:sz w:val="36"/>
          <w:szCs w:val="36"/>
          <w:b w:val="1"/>
          <w:bCs w:val="1"/>
          <w:color w:val="FFFFFF"/>
        </w:rPr>
        <w:t>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Related Matters</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Independence of KPMG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DIRECTORS</w:t>
      </w:r>
    </w:p>
    <w:p>
      <w:pPr>
        <w:spacing w:after="0"/>
        <w:rPr>
          <w:sz w:val="20"/>
          <w:szCs w:val="20"/>
          <w:color w:val="auto"/>
        </w:rPr>
      </w:pPr>
      <w:r>
        <w:rPr>
          <w:rFonts w:ascii="Arial" w:cs="Arial" w:eastAsia="Arial" w:hAnsi="Arial"/>
          <w:sz w:val="17"/>
          <w:szCs w:val="17"/>
          <w:b w:val="1"/>
          <w:bCs w:val="1"/>
          <w:color w:val="FFFFFF"/>
        </w:rPr>
        <w:t>RECOMMENDS THAT YOU</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VOTE </w:t>
      </w:r>
      <w:r>
        <w:rPr>
          <w:rFonts w:ascii="Arial" w:cs="Arial" w:eastAsia="Arial" w:hAnsi="Arial"/>
          <w:sz w:val="18"/>
          <w:szCs w:val="18"/>
          <w:color w:val="00529B"/>
        </w:rPr>
        <w:t>“FOR”</w:t>
      </w:r>
      <w:r>
        <w:rPr>
          <w:rFonts w:ascii="Arial" w:cs="Arial" w:eastAsia="Arial" w:hAnsi="Arial"/>
          <w:sz w:val="18"/>
          <w:szCs w:val="18"/>
          <w:b w:val="1"/>
          <w:bCs w:val="1"/>
          <w:color w:val="FFFFFF"/>
        </w:rPr>
        <w:t xml:space="preserve"> </w:t>
      </w:r>
      <w:r>
        <w:rPr>
          <w:rFonts w:ascii="Arial" w:cs="Arial" w:eastAsia="Arial" w:hAnsi="Arial"/>
          <w:sz w:val="18"/>
          <w:szCs w:val="18"/>
          <w:color w:val="FFFFFF"/>
        </w:rPr>
        <w:t>THE</w:t>
      </w:r>
    </w:p>
    <w:p>
      <w:pPr>
        <w:spacing w:after="0" w:line="234" w:lineRule="auto"/>
        <w:rPr>
          <w:sz w:val="20"/>
          <w:szCs w:val="20"/>
          <w:color w:val="auto"/>
        </w:rPr>
      </w:pPr>
      <w:r>
        <w:rPr>
          <w:rFonts w:ascii="Arial" w:cs="Arial" w:eastAsia="Arial" w:hAnsi="Arial"/>
          <w:sz w:val="18"/>
          <w:szCs w:val="18"/>
          <w:color w:val="FFFFFF"/>
        </w:rPr>
        <w:t>RATIFICATION OF THE</w:t>
      </w:r>
    </w:p>
    <w:p>
      <w:pPr>
        <w:spacing w:after="0" w:line="235" w:lineRule="auto"/>
        <w:rPr>
          <w:sz w:val="20"/>
          <w:szCs w:val="20"/>
          <w:color w:val="auto"/>
        </w:rPr>
      </w:pPr>
      <w:r>
        <w:rPr>
          <w:rFonts w:ascii="Arial" w:cs="Arial" w:eastAsia="Arial" w:hAnsi="Arial"/>
          <w:sz w:val="18"/>
          <w:szCs w:val="18"/>
          <w:color w:val="FFFFFF"/>
        </w:rPr>
        <w:t>SELECTION OF KPMG AS</w:t>
      </w:r>
    </w:p>
    <w:p>
      <w:pPr>
        <w:spacing w:after="0" w:line="235" w:lineRule="auto"/>
        <w:rPr>
          <w:sz w:val="20"/>
          <w:szCs w:val="20"/>
          <w:color w:val="auto"/>
        </w:rPr>
      </w:pPr>
      <w:r>
        <w:rPr>
          <w:rFonts w:ascii="Arial" w:cs="Arial" w:eastAsia="Arial" w:hAnsi="Arial"/>
          <w:sz w:val="18"/>
          <w:szCs w:val="18"/>
          <w:color w:val="FFFFFF"/>
        </w:rPr>
        <w:t>OCCIDENTAL’S</w:t>
      </w:r>
    </w:p>
    <w:p>
      <w:pPr>
        <w:spacing w:after="0"/>
        <w:rPr>
          <w:sz w:val="20"/>
          <w:szCs w:val="20"/>
          <w:color w:val="auto"/>
        </w:rPr>
      </w:pPr>
      <w:r>
        <w:rPr>
          <w:rFonts w:ascii="Arial" w:cs="Arial" w:eastAsia="Arial" w:hAnsi="Arial"/>
          <w:sz w:val="18"/>
          <w:szCs w:val="18"/>
          <w:color w:val="FFFFFF"/>
        </w:rPr>
        <w:t>INDEPENDENT AUDITOR.</w:t>
      </w:r>
    </w:p>
    <w:p>
      <w:pPr>
        <w:spacing w:after="0" w:line="1857" w:lineRule="exact"/>
        <w:rPr>
          <w:sz w:val="20"/>
          <w:szCs w:val="20"/>
          <w:color w:val="auto"/>
        </w:rPr>
      </w:pPr>
    </w:p>
    <w:p>
      <w:pPr>
        <w:sectPr>
          <w:pgSz w:w="11900" w:h="16838" w:orient="portrait"/>
          <w:cols w:equalWidth="0" w:num="2">
            <w:col w:w="7300" w:space="720"/>
            <w:col w:w="3220"/>
          </w:cols>
          <w:pgMar w:left="320" w:top="130" w:right="339" w:bottom="1440" w:gutter="0" w:footer="0" w:header="0"/>
          <w:type w:val="continuous"/>
        </w:sectPr>
      </w:pPr>
    </w:p>
    <w:p>
      <w:pPr>
        <w:spacing w:after="0" w:line="39"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color w:val="auto"/>
        </w:rPr>
        <w:t>The Audit Committee of the Board of Directors of Occidental oversees the appointment, compensation, performance and retention of the company’s independent registered public accounting firm that audits the consolidated financial statements of Occidental and its subsidiaries and internal control over financial reporting. The Audit Committee has selected KPMG LLP (KPMG) to continue to serve as Occidental’s independent registered public accounting firm for the year ending December 31, 2023. KPMG has audited Occidental’s financial statements since 2002. A member of that firm is expected to be present at the 2023 Annual Meeting, will have an opportunity to make a statement, if so desired, and is expected to be available to respond to appropriate questions.</w:t>
      </w:r>
    </w:p>
    <w:p>
      <w:pPr>
        <w:spacing w:after="0" w:line="178" w:lineRule="exact"/>
        <w:rPr>
          <w:sz w:val="20"/>
          <w:szCs w:val="20"/>
          <w:color w:val="auto"/>
        </w:rPr>
      </w:pPr>
    </w:p>
    <w:p>
      <w:pPr>
        <w:ind w:right="680"/>
        <w:spacing w:after="0" w:line="264" w:lineRule="auto"/>
        <w:rPr>
          <w:sz w:val="20"/>
          <w:szCs w:val="20"/>
          <w:color w:val="auto"/>
        </w:rPr>
      </w:pPr>
      <w:r>
        <w:rPr>
          <w:rFonts w:ascii="Arial" w:cs="Arial" w:eastAsia="Arial" w:hAnsi="Arial"/>
          <w:sz w:val="15"/>
          <w:szCs w:val="15"/>
          <w:color w:val="auto"/>
        </w:rPr>
        <w:t>The Audit Committee annually evaluates KPMG’s performance and independence in determining whether to retain KPMG or engage a different independent registered public accounting firm. Many factors contributed to the Audit Committee’s retention of KPMG as Occidental’s independent auditor, including:</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Execution and quality of KPMG’s historical and recent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6835" cy="8572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Quality of KPMG’s communications with the Audit Committee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6835" cy="8572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32" w:lineRule="exact"/>
        <w:rPr>
          <w:sz w:val="20"/>
          <w:szCs w:val="20"/>
          <w:color w:val="auto"/>
        </w:rPr>
      </w:pPr>
    </w:p>
    <w:p>
      <w:pPr>
        <w:ind w:left="280" w:right="340"/>
        <w:spacing w:after="0" w:line="264" w:lineRule="auto"/>
        <w:rPr>
          <w:sz w:val="20"/>
          <w:szCs w:val="20"/>
          <w:color w:val="auto"/>
        </w:rPr>
      </w:pPr>
      <w:r>
        <w:rPr>
          <w:rFonts w:ascii="Arial" w:cs="Arial" w:eastAsia="Arial" w:hAnsi="Arial"/>
          <w:sz w:val="15"/>
          <w:szCs w:val="15"/>
          <w:color w:val="auto"/>
        </w:rPr>
        <w:t>Balance of KPMG’s experience and significant institutional knowledge with refreshment in light of mandatory audit partner rotation and other changes in team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6835" cy="8572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Strong quality control procedures of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6835" cy="8572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KPMG’s independence from the company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6835" cy="8572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32" w:lineRule="exact"/>
        <w:rPr>
          <w:sz w:val="20"/>
          <w:szCs w:val="20"/>
          <w:color w:val="auto"/>
        </w:rPr>
      </w:pPr>
    </w:p>
    <w:p>
      <w:pPr>
        <w:ind w:left="280" w:right="540"/>
        <w:spacing w:after="0" w:line="264" w:lineRule="auto"/>
        <w:rPr>
          <w:sz w:val="20"/>
          <w:szCs w:val="20"/>
          <w:color w:val="auto"/>
        </w:rPr>
      </w:pPr>
      <w:r>
        <w:rPr>
          <w:rFonts w:ascii="Arial" w:cs="Arial" w:eastAsia="Arial" w:hAnsi="Arial"/>
          <w:sz w:val="15"/>
          <w:szCs w:val="15"/>
          <w:color w:val="auto"/>
        </w:rPr>
        <w:t>Robust independence controls – internal, via the Audit Committee, and external, such as Public Company Accounting Oversight Board (PCAOB) and SEC oversight, PCAOB inspections, peer reviews, and PCAOB requirements for audit partner rotation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6835" cy="8572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41"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In accordance with applicable rules on partner rotation, KPMG’s lead partner for the company’s audit was changed in 2020, while KPMG’s engagement quality review partner for the audit was most recently changed in 2022. The Audit Committee is involved in considering the selection of KPMG’s primary engagement partner when there is rotation, which is at least every five years.</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Audit and Non-Audit Services Pre-Approval Policy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must give prior approval to any management request for any amount or type of service (audit, audit-related and tax services or, to the extent permitted by law, non-audit services) Occidental’s independent auditor provides to Occidental. Additionally, the Audit Committee has delegated to the Audit Committee Chair full authority to approve any such request provided the Audit Committee Chair presents any approval so given to the Audit Committee at its next scheduled meeting. All audit and audit-related services rendered by KPMG in 2022 were pre-approved by the Audit Committee or the Audit Committee Chair before KPMG was engaged for such services. No services of any kind were approved pursuant to the de minimis exception for non-audit services set forth in Rule 2-01 of Regulation S-X.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Proposal 4: Ratification of Selection of KPMG as Occidental’s Independent Auditor</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Audit and Other Fees</w:t>
      </w:r>
    </w:p>
    <w:p>
      <w:pPr>
        <w:spacing w:after="0" w:line="239"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color w:val="auto"/>
        </w:rPr>
        <w:t>KPMG was our independent auditor for the years ended December 31, 2022 and 2021. The audit fees billed and expected to be billed by KPMG for, and the fees billed by KPMG for all other services rendered during, the years ended December 31, 2022 and 2021, were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Services Provided</w:t>
            </w:r>
          </w:p>
        </w:tc>
        <w:tc>
          <w:tcPr>
            <w:tcW w:w="4340" w:type="dxa"/>
            <w:vAlign w:val="bottom"/>
            <w:tcBorders>
              <w:bottom w:val="single" w:sz="8" w:color="00529B"/>
            </w:tcBorders>
          </w:tcPr>
          <w:p>
            <w:pPr>
              <w:spacing w:after="0"/>
              <w:rPr>
                <w:sz w:val="16"/>
                <w:szCs w:val="16"/>
                <w:color w:val="auto"/>
              </w:rPr>
            </w:pPr>
          </w:p>
        </w:tc>
        <w:tc>
          <w:tcPr>
            <w:tcW w:w="520" w:type="dxa"/>
            <w:vAlign w:val="bottom"/>
            <w:tcBorders>
              <w:bottom w:val="single" w:sz="8" w:color="00529B"/>
            </w:tcBorders>
          </w:tcPr>
          <w:p>
            <w:pPr>
              <w:jc w:val="right"/>
              <w:ind w:right="157"/>
              <w:spacing w:after="0"/>
              <w:rPr>
                <w:sz w:val="20"/>
                <w:szCs w:val="20"/>
                <w:color w:val="auto"/>
              </w:rPr>
            </w:pPr>
            <w:r>
              <w:rPr>
                <w:rFonts w:ascii="Arial" w:cs="Arial" w:eastAsia="Arial" w:hAnsi="Arial"/>
                <w:sz w:val="13"/>
                <w:szCs w:val="13"/>
                <w:b w:val="1"/>
                <w:bCs w:val="1"/>
                <w:color w:val="00529B"/>
                <w:w w:val="96"/>
              </w:rPr>
              <w:t>2022</w:t>
            </w:r>
          </w:p>
        </w:tc>
        <w:tc>
          <w:tcPr>
            <w:tcW w:w="280" w:type="dxa"/>
            <w:vAlign w:val="bottom"/>
            <w:tcBorders>
              <w:bottom w:val="single" w:sz="8" w:color="00529B"/>
            </w:tcBorders>
          </w:tcPr>
          <w:p>
            <w:pPr>
              <w:spacing w:after="0"/>
              <w:rPr>
                <w:sz w:val="16"/>
                <w:szCs w:val="16"/>
                <w:color w:val="auto"/>
              </w:rPr>
            </w:pPr>
          </w:p>
        </w:tc>
        <w:tc>
          <w:tcPr>
            <w:tcW w:w="40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b w:val="1"/>
                <w:bCs w:val="1"/>
                <w:color w:val="00529B"/>
                <w:w w:val="96"/>
              </w:rPr>
              <w:t>2021</w:t>
            </w:r>
          </w:p>
        </w:tc>
      </w:tr>
      <w:tr>
        <w:trPr>
          <w:trHeight w:val="256"/>
        </w:trPr>
        <w:tc>
          <w:tcPr>
            <w:tcW w:w="5700" w:type="dxa"/>
            <w:vAlign w:val="bottom"/>
            <w:tcBorders>
              <w:bottom w:val="single" w:sz="8" w:color="D1D2D4"/>
            </w:tcBorders>
          </w:tcPr>
          <w:p>
            <w:pPr>
              <w:ind w:left="60"/>
              <w:spacing w:after="0" w:line="257"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43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14.4</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13.1</w:t>
            </w:r>
          </w:p>
        </w:tc>
      </w:tr>
      <w:tr>
        <w:trPr>
          <w:trHeight w:val="250"/>
        </w:trPr>
        <w:tc>
          <w:tcPr>
            <w:tcW w:w="5700" w:type="dxa"/>
            <w:vAlign w:val="bottom"/>
            <w:tcBorders>
              <w:bottom w:val="single" w:sz="8" w:color="D1D2D4"/>
            </w:tcBorders>
          </w:tcPr>
          <w:p>
            <w:pPr>
              <w:ind w:left="60"/>
              <w:spacing w:after="0" w:line="250" w:lineRule="exact"/>
              <w:rPr>
                <w:sz w:val="20"/>
                <w:szCs w:val="20"/>
                <w:color w:val="auto"/>
              </w:rPr>
            </w:pPr>
            <w:r>
              <w:rPr>
                <w:rFonts w:ascii="Arial" w:cs="Arial" w:eastAsia="Arial" w:hAnsi="Arial"/>
                <w:sz w:val="15"/>
                <w:szCs w:val="15"/>
                <w:color w:val="auto"/>
              </w:rPr>
              <w:t>Audit-related fees</w:t>
            </w:r>
            <w:r>
              <w:rPr>
                <w:rFonts w:ascii="Arial" w:cs="Arial" w:eastAsia="Arial" w:hAnsi="Arial"/>
                <w:sz w:val="25"/>
                <w:szCs w:val="25"/>
                <w:color w:val="auto"/>
                <w:vertAlign w:val="superscript"/>
              </w:rPr>
              <w:t>(2)</w:t>
            </w:r>
          </w:p>
        </w:tc>
        <w:tc>
          <w:tcPr>
            <w:tcW w:w="43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0.4</w:t>
            </w:r>
          </w:p>
        </w:tc>
      </w:tr>
      <w:tr>
        <w:trPr>
          <w:trHeight w:val="250"/>
        </w:trPr>
        <w:tc>
          <w:tcPr>
            <w:tcW w:w="5700" w:type="dxa"/>
            <w:vAlign w:val="bottom"/>
            <w:tcBorders>
              <w:bottom w:val="single" w:sz="8" w:color="D1D2D4"/>
            </w:tcBorders>
          </w:tcPr>
          <w:p>
            <w:pPr>
              <w:ind w:left="60"/>
              <w:spacing w:after="0" w:line="250" w:lineRule="exact"/>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(3)</w:t>
            </w:r>
          </w:p>
        </w:tc>
        <w:tc>
          <w:tcPr>
            <w:tcW w:w="43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1.4</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0.5</w:t>
            </w:r>
          </w:p>
        </w:tc>
      </w:tr>
      <w:tr>
        <w:trPr>
          <w:trHeight w:val="250"/>
        </w:trPr>
        <w:tc>
          <w:tcPr>
            <w:tcW w:w="5700" w:type="dxa"/>
            <w:vAlign w:val="bottom"/>
            <w:tcBorders>
              <w:bottom w:val="single" w:sz="8" w:color="D1D2D4"/>
            </w:tcBorders>
          </w:tcPr>
          <w:p>
            <w:pPr>
              <w:ind w:left="60"/>
              <w:spacing w:after="0" w:line="250" w:lineRule="exact"/>
              <w:rPr>
                <w:sz w:val="20"/>
                <w:szCs w:val="20"/>
                <w:color w:val="auto"/>
              </w:rPr>
            </w:pPr>
            <w:r>
              <w:rPr>
                <w:rFonts w:ascii="Arial" w:cs="Arial" w:eastAsia="Arial" w:hAnsi="Arial"/>
                <w:sz w:val="15"/>
                <w:szCs w:val="15"/>
                <w:color w:val="auto"/>
              </w:rPr>
              <w:t>All other fees</w:t>
            </w:r>
            <w:r>
              <w:rPr>
                <w:rFonts w:ascii="Arial" w:cs="Arial" w:eastAsia="Arial" w:hAnsi="Arial"/>
                <w:sz w:val="25"/>
                <w:szCs w:val="25"/>
                <w:color w:val="auto"/>
                <w:vertAlign w:val="superscript"/>
              </w:rPr>
              <w:t>(4)</w:t>
            </w:r>
          </w:p>
        </w:tc>
        <w:tc>
          <w:tcPr>
            <w:tcW w:w="434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1D2D4"/>
            </w:tcBorders>
          </w:tcPr>
          <w:p>
            <w:pPr>
              <w:jc w:val="right"/>
              <w:ind w:right="157"/>
              <w:spacing w:after="0"/>
              <w:rPr>
                <w:sz w:val="20"/>
                <w:szCs w:val="20"/>
                <w:color w:val="auto"/>
              </w:rPr>
            </w:pPr>
            <w:r>
              <w:rPr>
                <w:rFonts w:ascii="Arial" w:cs="Arial" w:eastAsia="Arial" w:hAnsi="Arial"/>
                <w:sz w:val="13"/>
                <w:szCs w:val="13"/>
                <w:color w:val="auto"/>
              </w:rPr>
              <w:t>0.4</w:t>
            </w:r>
          </w:p>
        </w:tc>
        <w:tc>
          <w:tcPr>
            <w:tcW w:w="28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D1D2D4"/>
            </w:tcBorders>
          </w:tcPr>
          <w:p>
            <w:pPr>
              <w:jc w:val="right"/>
              <w:ind w:right="37"/>
              <w:spacing w:after="0"/>
              <w:rPr>
                <w:sz w:val="20"/>
                <w:szCs w:val="20"/>
                <w:color w:val="auto"/>
              </w:rPr>
            </w:pPr>
            <w:r>
              <w:rPr>
                <w:rFonts w:ascii="Arial" w:cs="Arial" w:eastAsia="Arial" w:hAnsi="Arial"/>
                <w:sz w:val="13"/>
                <w:szCs w:val="13"/>
                <w:color w:val="auto"/>
              </w:rPr>
              <w:t>0.4</w:t>
            </w:r>
          </w:p>
        </w:tc>
      </w:tr>
      <w:tr>
        <w:trPr>
          <w:trHeight w:val="190"/>
        </w:trPr>
        <w:tc>
          <w:tcPr>
            <w:tcW w:w="5700" w:type="dxa"/>
            <w:vAlign w:val="bottom"/>
            <w:tcBorders>
              <w:bottom w:val="single" w:sz="8" w:color="00529B"/>
            </w:tcBorders>
          </w:tcPr>
          <w:p>
            <w:pPr>
              <w:ind w:left="60"/>
              <w:spacing w:after="0"/>
              <w:rPr>
                <w:sz w:val="20"/>
                <w:szCs w:val="20"/>
                <w:color w:val="auto"/>
              </w:rPr>
            </w:pPr>
            <w:r>
              <w:rPr>
                <w:rFonts w:ascii="Arial" w:cs="Arial" w:eastAsia="Arial" w:hAnsi="Arial"/>
                <w:sz w:val="13"/>
                <w:szCs w:val="13"/>
                <w:color w:val="auto"/>
              </w:rPr>
              <w:t>Total</w:t>
            </w:r>
          </w:p>
        </w:tc>
        <w:tc>
          <w:tcPr>
            <w:tcW w:w="434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00529B"/>
            </w:tcBorders>
          </w:tcPr>
          <w:p>
            <w:pPr>
              <w:jc w:val="right"/>
              <w:ind w:right="157"/>
              <w:spacing w:after="0"/>
              <w:rPr>
                <w:sz w:val="20"/>
                <w:szCs w:val="20"/>
                <w:color w:val="auto"/>
              </w:rPr>
            </w:pPr>
            <w:r>
              <w:rPr>
                <w:rFonts w:ascii="Arial" w:cs="Arial" w:eastAsia="Arial" w:hAnsi="Arial"/>
                <w:sz w:val="13"/>
                <w:szCs w:val="13"/>
                <w:color w:val="auto"/>
              </w:rPr>
              <w:t>16.3</w:t>
            </w:r>
          </w:p>
        </w:tc>
        <w:tc>
          <w:tcPr>
            <w:tcW w:w="28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00529B"/>
            </w:tcBorders>
          </w:tcPr>
          <w:p>
            <w:pPr>
              <w:jc w:val="right"/>
              <w:ind w:right="37"/>
              <w:spacing w:after="0"/>
              <w:rPr>
                <w:sz w:val="20"/>
                <w:szCs w:val="20"/>
                <w:color w:val="auto"/>
              </w:rPr>
            </w:pPr>
            <w:r>
              <w:rPr>
                <w:rFonts w:ascii="Arial" w:cs="Arial" w:eastAsia="Arial" w:hAnsi="Arial"/>
                <w:sz w:val="13"/>
                <w:szCs w:val="13"/>
                <w:color w:val="auto"/>
              </w:rPr>
              <w:t>14.4</w:t>
            </w:r>
          </w:p>
        </w:tc>
      </w:tr>
    </w:tbl>
    <w:p>
      <w:pPr>
        <w:spacing w:after="0" w:line="225" w:lineRule="exact"/>
        <w:rPr>
          <w:sz w:val="20"/>
          <w:szCs w:val="20"/>
          <w:color w:val="auto"/>
        </w:rPr>
      </w:pPr>
    </w:p>
    <w:p>
      <w:pPr>
        <w:jc w:val="both"/>
        <w:ind w:left="300" w:right="180" w:hanging="292"/>
        <w:spacing w:after="0" w:line="233" w:lineRule="auto"/>
        <w:tabs>
          <w:tab w:leader="none" w:pos="300" w:val="left"/>
        </w:tabs>
        <w:numPr>
          <w:ilvl w:val="0"/>
          <w:numId w:val="83"/>
        </w:numPr>
        <w:rPr>
          <w:rFonts w:ascii="Arial" w:cs="Arial" w:eastAsia="Arial" w:hAnsi="Arial"/>
          <w:sz w:val="10"/>
          <w:szCs w:val="10"/>
          <w:color w:val="auto"/>
        </w:rPr>
      </w:pPr>
      <w:r>
        <w:rPr>
          <w:rFonts w:ascii="Arial" w:cs="Arial" w:eastAsia="Arial" w:hAnsi="Arial"/>
          <w:sz w:val="13"/>
          <w:szCs w:val="13"/>
          <w:color w:val="auto"/>
        </w:rPr>
        <w:t>Audit fees include fees necessary to perform the annual audit and quarterly reviews in accordance with generally accepted auditing standards, annual attestation on internal control over financial reporting and services that generally only the independent auditor can reasonably provide, such as comfort letters, statutory audits, consents and assistance with, and review of, documents filed with the SEC.</w:t>
      </w:r>
    </w:p>
    <w:p>
      <w:pPr>
        <w:spacing w:after="0" w:line="37" w:lineRule="exact"/>
        <w:rPr>
          <w:rFonts w:ascii="Arial" w:cs="Arial" w:eastAsia="Arial" w:hAnsi="Arial"/>
          <w:sz w:val="10"/>
          <w:szCs w:val="10"/>
          <w:color w:val="auto"/>
        </w:rPr>
      </w:pPr>
    </w:p>
    <w:p>
      <w:pPr>
        <w:ind w:left="300" w:right="460" w:hanging="292"/>
        <w:spacing w:after="0" w:line="243" w:lineRule="auto"/>
        <w:tabs>
          <w:tab w:leader="none" w:pos="300" w:val="left"/>
        </w:tabs>
        <w:numPr>
          <w:ilvl w:val="0"/>
          <w:numId w:val="83"/>
        </w:numPr>
        <w:rPr>
          <w:rFonts w:ascii="Arial" w:cs="Arial" w:eastAsia="Arial" w:hAnsi="Arial"/>
          <w:sz w:val="10"/>
          <w:szCs w:val="10"/>
          <w:color w:val="auto"/>
        </w:rPr>
      </w:pPr>
      <w:r>
        <w:rPr>
          <w:rFonts w:ascii="Arial" w:cs="Arial" w:eastAsia="Arial" w:hAnsi="Arial"/>
          <w:sz w:val="13"/>
          <w:szCs w:val="13"/>
          <w:color w:val="auto"/>
        </w:rPr>
        <w:t>Audit-related fees in 2022 related to agreed-upon procedures, an attestation engagement related to our revolving credit facility and a pension plan audit. Audit-related fees in 2021 related to agreed-upon procedures, an attestation engagement related to our revolving credit facility, a pension plan audit and a subsidiary audit related to a disposition.</w:t>
      </w:r>
    </w:p>
    <w:p>
      <w:pPr>
        <w:ind w:left="300" w:hanging="292"/>
        <w:spacing w:after="0" w:line="214" w:lineRule="auto"/>
        <w:tabs>
          <w:tab w:leader="none" w:pos="300" w:val="left"/>
        </w:tabs>
        <w:numPr>
          <w:ilvl w:val="0"/>
          <w:numId w:val="83"/>
        </w:numPr>
        <w:rPr>
          <w:rFonts w:ascii="Arial" w:cs="Arial" w:eastAsia="Arial" w:hAnsi="Arial"/>
          <w:sz w:val="21"/>
          <w:szCs w:val="21"/>
          <w:color w:val="auto"/>
          <w:vertAlign w:val="superscript"/>
        </w:rPr>
      </w:pPr>
      <w:r>
        <w:rPr>
          <w:rFonts w:ascii="Arial" w:cs="Arial" w:eastAsia="Arial" w:hAnsi="Arial"/>
          <w:sz w:val="13"/>
          <w:szCs w:val="13"/>
          <w:color w:val="auto"/>
        </w:rPr>
        <w:t>Tax fees in 2022 primarily related to the issuance of a tax opinion on Occidental’s legal entity reorganization. Tax fees in 2021 related to tax advisory services.</w:t>
      </w:r>
    </w:p>
    <w:p>
      <w:pPr>
        <w:spacing w:after="0" w:line="62"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83"/>
        </w:numPr>
        <w:rPr>
          <w:rFonts w:ascii="Arial" w:cs="Arial" w:eastAsia="Arial" w:hAnsi="Arial"/>
          <w:sz w:val="17"/>
          <w:szCs w:val="17"/>
          <w:color w:val="auto"/>
          <w:vertAlign w:val="superscript"/>
        </w:rPr>
      </w:pPr>
      <w:r>
        <w:rPr>
          <w:rFonts w:ascii="Arial" w:cs="Arial" w:eastAsia="Arial" w:hAnsi="Arial"/>
          <w:sz w:val="10"/>
          <w:szCs w:val="10"/>
          <w:color w:val="auto"/>
        </w:rPr>
        <w:t>All other fees in 2022 and 2021 related to real-time system implementation assessment services.</w:t>
      </w:r>
    </w:p>
    <w:p>
      <w:pPr>
        <w:spacing w:after="0" w:line="23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Ratification of Selection of Independent Auditor</w:t>
      </w:r>
    </w:p>
    <w:p>
      <w:pPr>
        <w:spacing w:after="0" w:line="241"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As a matter of good corporate governance, the Board of Directors of Occidental submits its Audit Committee’s annual selection of the independent auditor to our shareholders for ratification. A majority of the shares present or by proxy at the 2023 Annual Meeting and entitled to vote on this proposal must vote “FOR” the proposal to ratify the auditor selection. Abstentions have the same effect as votes “AGAINST” the proposal. Your broker may vote your shares on the proposal if you do not give your broker voting instructions, although we are aware that some brokers are choosing not to exercise this discretionary voting authority. As a result, we recommend you submit your vote as soon as possible. If the shareholders do not ratify the selection of KPMG, the Audit Committee will consider whether it is appropriate to select another independent auditor. Even if the shareholders ratify the selection of KPMG, the Audit Committee may select a different independent auditor at any time during the year if it determines that this would be in the best interests of Occidental and our shareholders. If KPMG should decline to act or otherwise become incapable of acting or if its retention is discontinued, the Audit Committee will select another independent auditor.</w:t>
      </w:r>
    </w:p>
    <w:p>
      <w:pPr>
        <w:spacing w:after="0" w:line="15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Report of the Audit Committee</w:t>
      </w:r>
    </w:p>
    <w:p>
      <w:pPr>
        <w:spacing w:after="0" w:line="241"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The Audit Committee has reviewed and discussed Occidental’s audited financial statements for the year ended December 31, 2022, including management’s annual assessment of and report on Occidental’s internal control over financial reporting, with management and KPMG, Occidental’s independent auditor. In addition, the Audit Committee has discussed with KPMG the matters required to be discussed by the applicable standards of the PCAOB and the SEC. The Audit Committee received from KPMG written disclosures and the letter regarding its independence as required by the applicable requirements of the PCAOB. The Audit Committee has also considered whether the provision of non-audit services provided by KPMG to Occidental is compatible with maintaining their independence and has discussed with KPMG the firm’s independence. Based upon the reports and discussions described in this report, the Audit Committee recommended to the Board that the audited financial statements be included in Occidental’s Annual Report on Form 10-K for the year ended December 31, 2022, to be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COMMITTEE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Robert M. Shearer (Chair)</w:t>
      </w:r>
    </w:p>
    <w:p>
      <w:pPr>
        <w:spacing w:after="0" w:line="225" w:lineRule="auto"/>
        <w:rPr>
          <w:sz w:val="20"/>
          <w:szCs w:val="20"/>
          <w:color w:val="auto"/>
        </w:rPr>
      </w:pPr>
      <w:r>
        <w:rPr>
          <w:rFonts w:ascii="Arial" w:cs="Arial" w:eastAsia="Arial" w:hAnsi="Arial"/>
          <w:sz w:val="15"/>
          <w:szCs w:val="15"/>
          <w:color w:val="auto"/>
        </w:rPr>
        <w:t>Andrew Gould</w:t>
      </w:r>
    </w:p>
    <w:p>
      <w:pPr>
        <w:spacing w:after="0" w:line="225" w:lineRule="auto"/>
        <w:rPr>
          <w:sz w:val="20"/>
          <w:szCs w:val="20"/>
          <w:color w:val="auto"/>
        </w:rPr>
      </w:pPr>
      <w:r>
        <w:rPr>
          <w:rFonts w:ascii="Arial" w:cs="Arial" w:eastAsia="Arial" w:hAnsi="Arial"/>
          <w:sz w:val="15"/>
          <w:szCs w:val="15"/>
          <w:color w:val="auto"/>
        </w:rPr>
        <w:t>Carlos M. Gutierrez</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27432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000750" cy="205740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000750" cy="205740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40"/>
        <w:spacing w:after="0"/>
        <w:rPr>
          <w:sz w:val="20"/>
          <w:szCs w:val="20"/>
          <w:color w:val="auto"/>
        </w:rPr>
      </w:pPr>
      <w:r>
        <w:rPr>
          <w:rFonts w:ascii="Arial" w:cs="Arial" w:eastAsia="Arial" w:hAnsi="Arial"/>
          <w:sz w:val="36"/>
          <w:szCs w:val="36"/>
          <w:b w:val="1"/>
          <w:bCs w:val="1"/>
          <w:color w:val="FFFFFF"/>
        </w:rPr>
        <w:t>SHAREHOLDER</w:t>
      </w:r>
    </w:p>
    <w:p>
      <w:pPr>
        <w:spacing w:after="0" w:line="41" w:lineRule="exact"/>
        <w:rPr>
          <w:sz w:val="20"/>
          <w:szCs w:val="20"/>
          <w:color w:val="auto"/>
        </w:rPr>
      </w:pPr>
    </w:p>
    <w:p>
      <w:pPr>
        <w:ind w:left="4140"/>
        <w:spacing w:after="0"/>
        <w:rPr>
          <w:sz w:val="20"/>
          <w:szCs w:val="20"/>
          <w:color w:val="auto"/>
        </w:rPr>
      </w:pPr>
      <w:r>
        <w:rPr>
          <w:rFonts w:ascii="Arial" w:cs="Arial" w:eastAsia="Arial" w:hAnsi="Arial"/>
          <w:sz w:val="36"/>
          <w:szCs w:val="36"/>
          <w:b w:val="1"/>
          <w:bCs w:val="1"/>
          <w:color w:val="FFFFFF"/>
        </w:rPr>
        <w:t>PROPOSAL</w:t>
      </w:r>
    </w:p>
    <w:p>
      <w:pPr>
        <w:ind w:left="4140"/>
        <w:spacing w:after="0" w:line="213" w:lineRule="auto"/>
        <w:rPr>
          <w:sz w:val="20"/>
          <w:szCs w:val="20"/>
          <w:color w:val="auto"/>
        </w:rPr>
      </w:pPr>
      <w:r>
        <w:rPr>
          <w:rFonts w:ascii="Arial" w:cs="Arial" w:eastAsia="Arial" w:hAnsi="Arial"/>
          <w:sz w:val="36"/>
          <w:szCs w:val="36"/>
          <w:b w:val="1"/>
          <w:bCs w:val="1"/>
          <w:color w:val="FFFFFF"/>
        </w:rPr>
        <w:t>REQUESTING AN</w:t>
      </w:r>
    </w:p>
    <w:p>
      <w:pPr>
        <w:spacing w:after="0" w:line="2" w:lineRule="exact"/>
        <w:rPr>
          <w:sz w:val="20"/>
          <w:szCs w:val="20"/>
          <w:color w:val="auto"/>
        </w:rPr>
      </w:pPr>
    </w:p>
    <w:p>
      <w:pPr>
        <w:ind w:left="2140"/>
        <w:spacing w:after="0"/>
        <w:tabs>
          <w:tab w:leader="none" w:pos="4120" w:val="left"/>
        </w:tabs>
        <w:rPr>
          <w:sz w:val="20"/>
          <w:szCs w:val="20"/>
          <w:color w:val="auto"/>
        </w:rPr>
      </w:pPr>
      <w:r>
        <w:rPr>
          <w:rFonts w:ascii="Arial" w:cs="Arial" w:eastAsia="Arial" w:hAnsi="Arial"/>
          <w:sz w:val="36"/>
          <w:szCs w:val="36"/>
          <w:b w:val="1"/>
          <w:bCs w:val="1"/>
          <w:color w:val="FFFFFF"/>
        </w:rPr>
        <w:t>Proposal</w:t>
        <w:tab/>
        <w:t>INDEPENDENT</w:t>
      </w:r>
    </w:p>
    <w:p>
      <w:pPr>
        <w:spacing w:after="0" w:line="59" w:lineRule="exact"/>
        <w:rPr>
          <w:sz w:val="20"/>
          <w:szCs w:val="20"/>
          <w:color w:val="auto"/>
        </w:rPr>
      </w:pPr>
    </w:p>
    <w:p>
      <w:pPr>
        <w:ind w:left="4140"/>
        <w:spacing w:after="0"/>
        <w:rPr>
          <w:sz w:val="20"/>
          <w:szCs w:val="20"/>
          <w:color w:val="auto"/>
        </w:rPr>
      </w:pPr>
      <w:r>
        <w:rPr>
          <w:rFonts w:ascii="Arial" w:cs="Arial" w:eastAsia="Arial" w:hAnsi="Arial"/>
          <w:sz w:val="36"/>
          <w:szCs w:val="36"/>
          <w:b w:val="1"/>
          <w:bCs w:val="1"/>
          <w:color w:val="FFFFFF"/>
        </w:rPr>
        <w:t>BOARD</w:t>
      </w:r>
    </w:p>
    <w:p>
      <w:pPr>
        <w:spacing w:after="0" w:line="5" w:lineRule="exact"/>
        <w:rPr>
          <w:sz w:val="20"/>
          <w:szCs w:val="20"/>
          <w:color w:val="auto"/>
        </w:rPr>
      </w:pPr>
    </w:p>
    <w:p>
      <w:pPr>
        <w:ind w:left="4140"/>
        <w:spacing w:after="0"/>
        <w:rPr>
          <w:sz w:val="20"/>
          <w:szCs w:val="20"/>
          <w:color w:val="auto"/>
        </w:rPr>
      </w:pPr>
      <w:r>
        <w:rPr>
          <w:rFonts w:ascii="Arial" w:cs="Arial" w:eastAsia="Arial" w:hAnsi="Arial"/>
          <w:sz w:val="35"/>
          <w:szCs w:val="35"/>
          <w:b w:val="1"/>
          <w:bCs w:val="1"/>
          <w:color w:val="FFFFFF"/>
        </w:rPr>
        <w:t>CHAIRMAN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RECOMMENDS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VOTE </w:t>
      </w:r>
      <w:r>
        <w:rPr>
          <w:rFonts w:ascii="Arial" w:cs="Arial" w:eastAsia="Arial" w:hAnsi="Arial"/>
          <w:sz w:val="16"/>
          <w:szCs w:val="16"/>
          <w:color w:val="B5121B"/>
        </w:rPr>
        <w:t>“AGAINST”</w:t>
      </w:r>
    </w:p>
    <w:p>
      <w:pPr>
        <w:spacing w:after="0" w:line="5" w:lineRule="exact"/>
        <w:rPr>
          <w:sz w:val="20"/>
          <w:szCs w:val="20"/>
          <w:color w:val="auto"/>
        </w:rPr>
      </w:pPr>
    </w:p>
    <w:p>
      <w:pPr>
        <w:ind w:right="1180"/>
        <w:spacing w:after="0" w:line="274" w:lineRule="auto"/>
        <w:rPr>
          <w:sz w:val="20"/>
          <w:szCs w:val="20"/>
          <w:color w:val="auto"/>
        </w:rPr>
      </w:pPr>
      <w:r>
        <w:rPr>
          <w:rFonts w:ascii="Arial" w:cs="Arial" w:eastAsia="Arial" w:hAnsi="Arial"/>
          <w:sz w:val="15"/>
          <w:szCs w:val="15"/>
          <w:b w:val="1"/>
          <w:bCs w:val="1"/>
          <w:color w:val="FFFFFF"/>
        </w:rPr>
        <w:t>THE SHAREHOLDER PROPOSAL, IF PROPERLY PRESENTED, FOR THE REASONS STATED ON PAGES 82-83.</w:t>
      </w:r>
    </w:p>
    <w:p>
      <w:pPr>
        <w:spacing w:after="0" w:line="275" w:lineRule="exact"/>
        <w:rPr>
          <w:sz w:val="20"/>
          <w:szCs w:val="20"/>
          <w:color w:val="auto"/>
        </w:rPr>
      </w:pPr>
    </w:p>
    <w:p>
      <w:pPr>
        <w:sectPr>
          <w:pgSz w:w="11900" w:h="16838" w:orient="portrait"/>
          <w:cols w:equalWidth="0" w:num="2">
            <w:col w:w="7540" w:space="480"/>
            <w:col w:w="3200"/>
          </w:cols>
          <w:pgMar w:left="320" w:top="130" w:right="359" w:bottom="1440" w:gutter="0" w:footer="0" w:header="0"/>
          <w:type w:val="continuous"/>
        </w:sectPr>
      </w:pPr>
    </w:p>
    <w:p>
      <w:pPr>
        <w:spacing w:after="0" w:line="122"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auto"/>
        </w:rPr>
        <w:t>Occidental has been advised that the following shareholder proposal may be introduced at the 2023 Annual Meeting. The Board of Directors disclaims any responsibility for the content of the proposal and for the statements made in support thereof, which, except for minor formatting changes, are presented in the form received from the shareholder proponent. The shareholder proposal is required to be voted on at the 2023 Annual Meeting only if it is properly presented.</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John Chevedden (the proponent), 2215 Nelson Avenue, No. 205, Redondo Beach, California 90278, who reported owning 50 shares of Occidental’s common stock, submitted this proposal.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Proposal 5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142875</wp:posOffset>
            </wp:positionV>
            <wp:extent cx="1928495" cy="3683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92849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color w:val="auto"/>
        </w:rPr>
        <w:t>Shareholders request that the Board of Directors adopt an enduring policy, and amend the governing documents as necessary in order that 2 separate people hold the office of the Chairman and the office of the CEO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Whenever possible, the Chairman of the Board shall be an Independent Director.</w:t>
      </w:r>
    </w:p>
    <w:p>
      <w:pPr>
        <w:spacing w:after="0" w:line="206"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auto"/>
        </w:rPr>
        <w:t>The Board has the discretion to select a Temporary Chairman of the Board who is not an Independent Director to serve while the Board is seeking an Independent Chairman of the Board on an accelerated basis.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Chairman shall not be a former employee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This policy could be phased in when there is a leadership transition.</w:t>
      </w:r>
    </w:p>
    <w:p>
      <w:pPr>
        <w:spacing w:after="0" w:line="206" w:lineRule="exact"/>
        <w:rPr>
          <w:sz w:val="20"/>
          <w:szCs w:val="20"/>
          <w:color w:val="auto"/>
        </w:rPr>
      </w:pPr>
    </w:p>
    <w:p>
      <w:pPr>
        <w:ind w:right="280"/>
        <w:spacing w:after="0" w:line="264" w:lineRule="auto"/>
        <w:rPr>
          <w:sz w:val="20"/>
          <w:szCs w:val="20"/>
          <w:color w:val="auto"/>
        </w:rPr>
      </w:pPr>
      <w:r>
        <w:rPr>
          <w:rFonts w:ascii="Arial" w:cs="Arial" w:eastAsia="Arial" w:hAnsi="Arial"/>
          <w:sz w:val="15"/>
          <w:szCs w:val="15"/>
          <w:color w:val="auto"/>
        </w:rPr>
        <w:t>The roles of Chairman and CEO are fundamentally different and should be held by 2 directors, a CEO and a Chairman who is completely independent of the CEO and our company. The job of the CEO is to manage the company. The job of the Chairman is to oversee the CEO and management.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Please vote yes: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Independent Board Chairman – Proposal 5</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Proposal 5: Shareholder Proposal Requesting an Independent Board Chairman Policy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529B"/>
        </w:rPr>
        <w:t>THE BOARD OF DIRECTORS’ STATEMENT IN OPPOSITION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The Board of Directors recommends that shareholders vote </w:t>
      </w:r>
      <w:r>
        <w:rPr>
          <w:rFonts w:ascii="Arial" w:cs="Arial" w:eastAsia="Arial" w:hAnsi="Arial"/>
          <w:sz w:val="15"/>
          <w:szCs w:val="15"/>
          <w:b w:val="1"/>
          <w:bCs w:val="1"/>
          <w:u w:val="single" w:color="auto"/>
          <w:color w:val="B5121B"/>
        </w:rPr>
        <w:t>AGAINST</w:t>
      </w:r>
      <w:r>
        <w:rPr>
          <w:rFonts w:ascii="Arial" w:cs="Arial" w:eastAsia="Arial" w:hAnsi="Arial"/>
          <w:sz w:val="15"/>
          <w:szCs w:val="15"/>
          <w:b w:val="1"/>
          <w:bCs w:val="1"/>
          <w:color w:val="auto"/>
        </w:rPr>
        <w:t xml:space="preserve"> this shareholder proposal.</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The Board of Directors recommends that shareholders vote AGAINST this proposal because the company’s amended and restated by-laws (the By-laws), as currently adopted, already require that the Board of Directors elect an independent director to be Chairman of the Board of Directors. This requirement has been in place at Occidental since May 2013. As a result of this and the additional reasons set forth below, the Board of Directors believes that this proposal is unnecessary, misdirected and not warranted for adoption at Occidental.</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Chairman is Already Required by Occidental’s By-laws</w:t>
      </w:r>
    </w:p>
    <w:p>
      <w:pPr>
        <w:spacing w:after="0" w:line="208" w:lineRule="exact"/>
        <w:rPr>
          <w:sz w:val="20"/>
          <w:szCs w:val="20"/>
          <w:color w:val="auto"/>
        </w:rPr>
      </w:pPr>
    </w:p>
    <w:p>
      <w:pPr>
        <w:ind w:right="700"/>
        <w:spacing w:after="0" w:line="264" w:lineRule="auto"/>
        <w:rPr>
          <w:sz w:val="20"/>
          <w:szCs w:val="20"/>
          <w:color w:val="auto"/>
        </w:rPr>
      </w:pPr>
      <w:r>
        <w:rPr>
          <w:rFonts w:ascii="Arial" w:cs="Arial" w:eastAsia="Arial" w:hAnsi="Arial"/>
          <w:sz w:val="15"/>
          <w:szCs w:val="15"/>
          <w:color w:val="auto"/>
        </w:rPr>
        <w:t>Article III, Section 13 of the By-laws states that “[t]he Board of Directors shall annually elect one of its Independent Directors (as defined in the Corporation’s Corporate Governance Policies adopted from time to time) to be Chairman of the Board of Directors.”</w:t>
      </w:r>
    </w:p>
    <w:p>
      <w:pPr>
        <w:spacing w:after="0" w:line="161"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Occidental’s Corporate Governance Policies provide that to be considered “independent,” a director must be affirmatively determined by the Board, after receiving the recommendation of the Governance Committee and after due deliberation, to have no material relationship with the company other than as a director. In making this determination, the Board adheres to all of the specific tests for independence included in the New York Stock Exchange (NYSE) listing standards.</w:t>
      </w:r>
    </w:p>
    <w:p>
      <w:pPr>
        <w:spacing w:after="0" w:line="176"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Jack B. Moore, the former President and Chief Executive Officer of Cameron International Corporation, was elected to the position of Independent Chairman of the Board of Directors in September 2022, following the passing of Stephen I. Chazen. Mr. Moore previously served as the Independent Vice Chairman of the Board from September 2019 until his election as Independent Chairman. Mr. Moore has never been employed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Mr. Chazen served as the President and Chief Executive Officer of Occidental from May 2011 to April 2016 and served as a member of the Board from May 2010 to May 2017. Following his departure from Occidental, Mr. Chazen founded Magnolia Oil &amp; Gas Corporation, a publicly traded exploration and production company (Magnolia), and served as Magnolia’s President, Chief Executive Officer and Chairman. In 2020, Mr. Chazen rejoined Occidental’s Board. After carefully considering Mr. Chazen’s prior affiliation with Occidental, the Governance Committee reviewed and recommended, and the Board determined, that Mr. Chazen satisfied the NYSE independence requirements and had no material relationship with Occidental. Mr. Moore served as Independent Vice Chairman of the Board throughout Mr. Chazen’s tenure.</w:t>
      </w:r>
    </w:p>
    <w:p>
      <w:pPr>
        <w:spacing w:after="0" w:line="326"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Moreover, as described on pages 25-26 of this proxy statement, the role and responsibilities of the Independent Chairman are robust, extensive and embody corporate governance “best practices.” The Independent Chairman chairs executive sessions of independent directors, assists in assuring compliance with the company’s Corporate Governance Policies and communicates to the CEO the views of the independent directors and the Board committees regarding objectives set for management by the Board, among other things.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Vice Chairman or Other Independent Director Required to Serve in Independent Chairman’s Absence or Disability</w:t>
      </w:r>
    </w:p>
    <w:p>
      <w:pPr>
        <w:spacing w:after="0" w:line="208" w:lineRule="exact"/>
        <w:rPr>
          <w:sz w:val="20"/>
          <w:szCs w:val="20"/>
          <w:color w:val="auto"/>
        </w:rPr>
      </w:pPr>
    </w:p>
    <w:p>
      <w:pPr>
        <w:ind w:right="320"/>
        <w:spacing w:after="0" w:line="238" w:lineRule="auto"/>
        <w:rPr>
          <w:sz w:val="20"/>
          <w:szCs w:val="20"/>
          <w:color w:val="auto"/>
        </w:rPr>
      </w:pPr>
      <w:r>
        <w:rPr>
          <w:rFonts w:ascii="Arial" w:cs="Arial" w:eastAsia="Arial" w:hAnsi="Arial"/>
          <w:sz w:val="15"/>
          <w:szCs w:val="15"/>
          <w:color w:val="auto"/>
        </w:rPr>
        <w:t>While the proposal indicates that under the requested policy the Board would have the discretion to select a temporary Chairman who is not independent to serve while the Board seeks an independent Chairman, Occidental’s existing policies already require the continued independence of the Board’s leadership during a leadership transition. Under Article III, Section 13 of the By-laws, in the absence or disability of the Independent Chairman of the Board, the Independent Vice Chairman, if any, or other independent director as the Board may designate will exercise the powers and discharge the duties of the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743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Proposal 5: Shareholder Proposal Requesting an Independent Board Chairman Policy</w:t>
      </w:r>
    </w:p>
    <w:p>
      <w:pPr>
        <w:spacing w:after="0" w:line="204"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b w:val="1"/>
          <w:bCs w:val="1"/>
          <w:color w:val="auto"/>
        </w:rPr>
        <w:t>Imposing Arbitrary Restrictions on a Chairman’s Past Service with Occidental Inappropriately Undermines the Board’s Ability to Select an Independent Chairman Who Will Best Serve the Interests of the Company and its Shareholders</w:t>
      </w:r>
    </w:p>
    <w:p>
      <w:pPr>
        <w:spacing w:after="0" w:line="142" w:lineRule="exact"/>
        <w:rPr>
          <w:sz w:val="20"/>
          <w:szCs w:val="20"/>
          <w:color w:val="auto"/>
        </w:rPr>
      </w:pPr>
    </w:p>
    <w:p>
      <w:pPr>
        <w:ind w:right="40"/>
        <w:spacing w:after="0"/>
        <w:rPr>
          <w:sz w:val="20"/>
          <w:szCs w:val="20"/>
          <w:color w:val="auto"/>
        </w:rPr>
      </w:pPr>
      <w:r>
        <w:rPr>
          <w:rFonts w:ascii="Arial" w:cs="Arial" w:eastAsia="Arial" w:hAnsi="Arial"/>
          <w:sz w:val="15"/>
          <w:szCs w:val="15"/>
          <w:color w:val="auto"/>
        </w:rPr>
        <w:t>Lastly, the requested policy requires that “[t]he Chairman shall not be a former employee of the company”, which would preclude any director who has in the past served as an employee of the company in any capacity and for any duration from serving as Chairman, irrespective of the director’s independence status. The Board believes this restriction would arbitrarily and inappropriately eliminate qualified, independent directors from consideration as candidates for Independent Chairman. As explained above, Occidental’s governing documents specifically require that the Chairman and Vice Chairman satisfy specific independence requirements, and afford the Board flexibility to identify, from among the independent members of the Board, the Independent Chairman best suited to address the dynamic environment in which Occidental operates. By excluding any independent director who was previously employed by the company in any capacity, the proposal would inappropriately limit the Board’s ability to exercise its business judgment to determine the most effective leadership structure of the Board to serve the best interests of the company and its shareholders at any given time—including by selecting Chairmen who have not been employees of the company, like Mr. Moore who is currently the Independent Chairman.</w:t>
      </w:r>
    </w:p>
    <w:p>
      <w:pPr>
        <w:spacing w:after="0" w:line="294" w:lineRule="exact"/>
        <w:rPr>
          <w:sz w:val="20"/>
          <w:szCs w:val="20"/>
          <w:color w:val="auto"/>
        </w:rPr>
      </w:pPr>
    </w:p>
    <w:p>
      <w:pPr>
        <w:ind w:right="60"/>
        <w:spacing w:after="0"/>
        <w:rPr>
          <w:sz w:val="20"/>
          <w:szCs w:val="20"/>
          <w:color w:val="auto"/>
        </w:rPr>
      </w:pPr>
      <w:r>
        <w:rPr>
          <w:rFonts w:ascii="Arial" w:cs="Arial" w:eastAsia="Arial" w:hAnsi="Arial"/>
          <w:sz w:val="15"/>
          <w:szCs w:val="15"/>
          <w:color w:val="auto"/>
        </w:rPr>
        <w:t>For example, when Mr. Chazen was appointed as Independent Chair in March 2020 amidst the COVID-19 pandemic and turmoil in the energy markets, the Board believed that his deep knowledge of Occidental and decades of operational and financial leadership in the industry would add valuable insight as the company focused on managing the challenging macroeconomic environment. From Mr. Chazen’s appointment on March 18, 2020 through his passing on September 22, 2022, Occidental delivered over 500% in total shareholder returns. During this same period, the S&amp;P 500 index delivered an approximate 63% total shareholder return. However, had the requested policy been in place at the time of his appointment, the Board would have been unable to appoint him as Independent Chairman, despite its determination that he was the independent director best suited to provide effective, independent leadership. The Board believes Occidental’s significant outperformance during Mr. Chazen’s tenure as Chairman underscores the importance of safeguarding the current flexibility afforded the Board to select the appropriate Independent Chairman.</w:t>
      </w:r>
    </w:p>
    <w:p>
      <w:pPr>
        <w:spacing w:after="0" w:line="305" w:lineRule="exact"/>
        <w:rPr>
          <w:sz w:val="20"/>
          <w:szCs w:val="20"/>
          <w:color w:val="auto"/>
        </w:rPr>
      </w:pPr>
    </w:p>
    <w:p>
      <w:pPr>
        <w:jc w:val="center"/>
        <w:spacing w:after="0"/>
        <w:tabs>
          <w:tab w:leader="none" w:pos="280" w:val="left"/>
          <w:tab w:leader="none" w:pos="280" w:val="left"/>
          <w:tab w:leader="none" w:pos="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206" w:lineRule="exact"/>
        <w:rPr>
          <w:sz w:val="20"/>
          <w:szCs w:val="20"/>
          <w:color w:val="auto"/>
        </w:rPr>
      </w:pPr>
    </w:p>
    <w:p>
      <w:pPr>
        <w:ind w:right="120"/>
        <w:spacing w:after="0" w:line="234" w:lineRule="auto"/>
        <w:rPr>
          <w:sz w:val="20"/>
          <w:szCs w:val="20"/>
          <w:color w:val="auto"/>
        </w:rPr>
      </w:pPr>
      <w:r>
        <w:rPr>
          <w:rFonts w:ascii="Arial" w:cs="Arial" w:eastAsia="Arial" w:hAnsi="Arial"/>
          <w:sz w:val="15"/>
          <w:szCs w:val="15"/>
          <w:color w:val="auto"/>
        </w:rPr>
        <w:t>As described earlier in this proxy statement, Occidental has implemented, and is committed to continuing to have, strong corporate governance practices. In keeping with that commitment, the Independent Board Chairman policy that is already outlined in the By-laws and our Corporate Governance Policies provides for effective and independent Board oversight and leadership. Modifying the By-laws and our existing policies to also require that no former employee can serve as Independent Chairman despite satisfaction of the NYSE independence tests, among other things, would inappropriately constrain the Board’s ability to identify the Independent Chairman best suited to serve the interests of the company and its shareholders. For the aforementioned reasons, this proposal is unnecessary and not in the best interests of Occidental and its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Accordingly, the Board of Directors recommends that you vote </w:t>
      </w:r>
      <w:r>
        <w:rPr>
          <w:rFonts w:ascii="Arial" w:cs="Arial" w:eastAsia="Arial" w:hAnsi="Arial"/>
          <w:sz w:val="15"/>
          <w:szCs w:val="15"/>
          <w:b w:val="1"/>
          <w:bCs w:val="1"/>
          <w:u w:val="single" w:color="auto"/>
          <w:color w:val="B5121B"/>
        </w:rPr>
        <w:t>AGAINST</w:t>
      </w:r>
      <w:r>
        <w:rPr>
          <w:rFonts w:ascii="Arial" w:cs="Arial" w:eastAsia="Arial" w:hAnsi="Arial"/>
          <w:sz w:val="15"/>
          <w:szCs w:val="15"/>
          <w:b w:val="1"/>
          <w:bCs w:val="1"/>
          <w:color w:val="auto"/>
        </w:rPr>
        <w:t xml:space="preserve"> this shareholder proposal.</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27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000750" cy="12827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Security Ownership</w:t>
      </w:r>
    </w:p>
    <w:p>
      <w:pPr>
        <w:spacing w:after="0" w:line="2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Certain Beneficial Owners and Management</w:t>
      </w:r>
    </w:p>
    <w:p>
      <w:pPr>
        <w:spacing w:after="0" w:line="241"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Based on a review of ownership reports filed with the SEC on or before March 10, 2023, the entities listed below are the only beneficial owners of greater than 5% of Occidental’s outstanding voting securities as of March 10, 2023, except as otherwise indicated in the notes to the table. This information may not be accurate or complete, and Occidental takes no responsibility for such information and makes no representation as to its accuracy or completeness as of the date hereof or any subsequent date. This information does not include changes in share ownership reported by the reporting person after the date of this table.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BENEFICIAL OWNERSHIP OF 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400" w:type="dxa"/>
            <w:vAlign w:val="bottom"/>
          </w:tcPr>
          <w:p>
            <w:pPr>
              <w:jc w:val="right"/>
              <w:spacing w:after="0"/>
              <w:rPr>
                <w:sz w:val="20"/>
                <w:szCs w:val="20"/>
                <w:color w:val="auto"/>
              </w:rPr>
            </w:pPr>
            <w:r>
              <w:rPr>
                <w:rFonts w:ascii="Arial" w:cs="Arial" w:eastAsia="Arial" w:hAnsi="Arial"/>
                <w:sz w:val="13"/>
                <w:szCs w:val="13"/>
                <w:b w:val="1"/>
                <w:bCs w:val="1"/>
                <w:color w:val="00529B"/>
              </w:rPr>
              <w:t>Total</w:t>
            </w: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Percent of</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Sole</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Shared</w:t>
            </w: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2400" w:type="dxa"/>
            <w:vAlign w:val="bottom"/>
          </w:tcPr>
          <w:p>
            <w:pPr>
              <w:jc w:val="right"/>
              <w:spacing w:after="0" w:line="126" w:lineRule="exact"/>
              <w:rPr>
                <w:sz w:val="20"/>
                <w:szCs w:val="20"/>
                <w:color w:val="auto"/>
              </w:rPr>
            </w:pPr>
            <w:r>
              <w:rPr>
                <w:rFonts w:ascii="Arial" w:cs="Arial" w:eastAsia="Arial" w:hAnsi="Arial"/>
                <w:sz w:val="13"/>
                <w:szCs w:val="13"/>
                <w:b w:val="1"/>
                <w:bCs w:val="1"/>
                <w:color w:val="00529B"/>
              </w:rPr>
              <w:t>Number of</w:t>
            </w:r>
          </w:p>
        </w:tc>
        <w:tc>
          <w:tcPr>
            <w:tcW w:w="1180" w:type="dxa"/>
            <w:vAlign w:val="bottom"/>
            <w:vMerge w:val="continue"/>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Sole</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Shared</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60"/>
              <w:spacing w:after="0"/>
              <w:rPr>
                <w:sz w:val="20"/>
                <w:szCs w:val="20"/>
                <w:color w:val="auto"/>
              </w:rPr>
            </w:pPr>
            <w:r>
              <w:rPr>
                <w:rFonts w:ascii="Arial" w:cs="Arial" w:eastAsia="Arial" w:hAnsi="Arial"/>
                <w:sz w:val="13"/>
                <w:szCs w:val="13"/>
                <w:b w:val="1"/>
                <w:bCs w:val="1"/>
                <w:color w:val="00529B"/>
              </w:rPr>
              <w:t>Name and Address</w:t>
            </w:r>
          </w:p>
        </w:tc>
        <w:tc>
          <w:tcPr>
            <w:tcW w:w="240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Shares and</w:t>
            </w:r>
          </w:p>
        </w:tc>
        <w:tc>
          <w:tcPr>
            <w:tcW w:w="118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Outstanding</w:t>
            </w: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Investment</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Investment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00529B"/>
            </w:tcBorders>
            <w:vMerge w:val="continue"/>
          </w:tcPr>
          <w:p>
            <w:pPr>
              <w:spacing w:after="0"/>
              <w:rPr>
                <w:sz w:val="17"/>
                <w:szCs w:val="17"/>
                <w:color w:val="auto"/>
              </w:rPr>
            </w:pPr>
          </w:p>
        </w:tc>
        <w:tc>
          <w:tcPr>
            <w:tcW w:w="240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Warrants Owned</w:t>
            </w:r>
          </w:p>
        </w:tc>
        <w:tc>
          <w:tcPr>
            <w:tcW w:w="1180" w:type="dxa"/>
            <w:vAlign w:val="bottom"/>
            <w:tcBorders>
              <w:bottom w:val="single" w:sz="8" w:color="00529B"/>
            </w:tcBorders>
          </w:tcPr>
          <w:p>
            <w:pPr>
              <w:jc w:val="right"/>
              <w:spacing w:after="0" w:line="189" w:lineRule="exact"/>
              <w:rPr>
                <w:sz w:val="20"/>
                <w:szCs w:val="20"/>
                <w:color w:val="auto"/>
              </w:rPr>
            </w:pPr>
            <w:r>
              <w:rPr>
                <w:rFonts w:ascii="Arial" w:cs="Arial" w:eastAsia="Arial" w:hAnsi="Arial"/>
                <w:sz w:val="13"/>
                <w:szCs w:val="13"/>
                <w:b w:val="1"/>
                <w:bCs w:val="1"/>
                <w:color w:val="00529B"/>
                <w:w w:val="98"/>
              </w:rPr>
              <w:t>Common Stock</w:t>
            </w:r>
            <w:r>
              <w:rPr>
                <w:rFonts w:ascii="Arial" w:cs="Arial" w:eastAsia="Arial" w:hAnsi="Arial"/>
                <w:sz w:val="20"/>
                <w:szCs w:val="20"/>
                <w:b w:val="1"/>
                <w:bCs w:val="1"/>
                <w:color w:val="00529B"/>
                <w:w w:val="98"/>
                <w:vertAlign w:val="superscript"/>
              </w:rPr>
              <w:t>(6)</w:t>
            </w:r>
          </w:p>
        </w:tc>
        <w:tc>
          <w:tcPr>
            <w:tcW w:w="9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Voting Power</w:t>
            </w:r>
          </w:p>
        </w:tc>
        <w:tc>
          <w:tcPr>
            <w:tcW w:w="90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Voting Power</w:t>
            </w:r>
          </w:p>
        </w:tc>
        <w:tc>
          <w:tcPr>
            <w:tcW w:w="9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Power</w:t>
            </w:r>
          </w:p>
        </w:tc>
        <w:tc>
          <w:tcPr>
            <w:tcW w:w="9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Power</w:t>
            </w:r>
          </w:p>
        </w:tc>
        <w:tc>
          <w:tcPr>
            <w:tcW w:w="0" w:type="dxa"/>
            <w:vAlign w:val="bottom"/>
          </w:tcPr>
          <w:p>
            <w:pPr>
              <w:spacing w:after="0"/>
              <w:rPr>
                <w:sz w:val="1"/>
                <w:szCs w:val="1"/>
                <w:color w:val="auto"/>
              </w:rPr>
            </w:pPr>
          </w:p>
        </w:tc>
      </w:tr>
      <w:tr>
        <w:trPr>
          <w:trHeight w:val="207"/>
        </w:trPr>
        <w:tc>
          <w:tcPr>
            <w:tcW w:w="4000" w:type="dxa"/>
            <w:vAlign w:val="bottom"/>
          </w:tcPr>
          <w:p>
            <w:pPr>
              <w:ind w:left="60"/>
              <w:spacing w:after="0" w:line="207" w:lineRule="exact"/>
              <w:rPr>
                <w:sz w:val="20"/>
                <w:szCs w:val="20"/>
                <w:color w:val="auto"/>
              </w:rPr>
            </w:pPr>
            <w:r>
              <w:rPr>
                <w:rFonts w:ascii="Arial" w:cs="Arial" w:eastAsia="Arial" w:hAnsi="Arial"/>
                <w:sz w:val="14"/>
                <w:szCs w:val="14"/>
                <w:color w:val="auto"/>
              </w:rPr>
              <w:t>Warren E. Buffett and affiliated entities</w:t>
            </w:r>
            <w:r>
              <w:rPr>
                <w:rFonts w:ascii="Arial" w:cs="Arial" w:eastAsia="Arial" w:hAnsi="Arial"/>
                <w:sz w:val="23"/>
                <w:szCs w:val="23"/>
                <w:color w:val="auto"/>
                <w:vertAlign w:val="superscript"/>
              </w:rPr>
              <w:t>(1)</w:t>
            </w:r>
          </w:p>
        </w:tc>
        <w:tc>
          <w:tcPr>
            <w:tcW w:w="2400" w:type="dxa"/>
            <w:vAlign w:val="bottom"/>
          </w:tcPr>
          <w:p>
            <w:pPr>
              <w:jc w:val="right"/>
              <w:spacing w:after="0"/>
              <w:rPr>
                <w:sz w:val="20"/>
                <w:szCs w:val="20"/>
                <w:color w:val="auto"/>
              </w:rPr>
            </w:pPr>
            <w:r>
              <w:rPr>
                <w:rFonts w:ascii="Arial" w:cs="Arial" w:eastAsia="Arial" w:hAnsi="Arial"/>
                <w:sz w:val="14"/>
                <w:szCs w:val="14"/>
                <w:color w:val="auto"/>
              </w:rPr>
              <w:t>284,012,289</w:t>
            </w:r>
          </w:p>
        </w:tc>
        <w:tc>
          <w:tcPr>
            <w:tcW w:w="1180" w:type="dxa"/>
            <w:vAlign w:val="bottom"/>
          </w:tcPr>
          <w:p>
            <w:pPr>
              <w:jc w:val="right"/>
              <w:spacing w:after="0"/>
              <w:rPr>
                <w:sz w:val="20"/>
                <w:szCs w:val="20"/>
                <w:color w:val="auto"/>
              </w:rPr>
            </w:pPr>
            <w:r>
              <w:rPr>
                <w:rFonts w:ascii="Arial" w:cs="Arial" w:eastAsia="Arial" w:hAnsi="Arial"/>
                <w:sz w:val="14"/>
                <w:szCs w:val="14"/>
                <w:color w:val="auto"/>
              </w:rPr>
              <w:t>28.92%</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284,012,289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284,012,289</w:t>
            </w:r>
          </w:p>
        </w:tc>
        <w:tc>
          <w:tcPr>
            <w:tcW w:w="0" w:type="dxa"/>
            <w:vAlign w:val="bottom"/>
          </w:tcPr>
          <w:p>
            <w:pPr>
              <w:spacing w:after="0"/>
              <w:rPr>
                <w:sz w:val="1"/>
                <w:szCs w:val="1"/>
                <w:color w:val="auto"/>
              </w:rPr>
            </w:pPr>
          </w:p>
        </w:tc>
      </w:tr>
      <w:tr>
        <w:trPr>
          <w:trHeight w:val="162"/>
        </w:trPr>
        <w:tc>
          <w:tcPr>
            <w:tcW w:w="4000" w:type="dxa"/>
            <w:vAlign w:val="bottom"/>
          </w:tcPr>
          <w:p>
            <w:pPr>
              <w:ind w:left="60"/>
              <w:spacing w:after="0"/>
              <w:rPr>
                <w:sz w:val="20"/>
                <w:szCs w:val="20"/>
                <w:color w:val="auto"/>
              </w:rPr>
            </w:pPr>
            <w:r>
              <w:rPr>
                <w:rFonts w:ascii="Arial" w:cs="Arial" w:eastAsia="Arial" w:hAnsi="Arial"/>
                <w:sz w:val="14"/>
                <w:szCs w:val="14"/>
                <w:color w:val="auto"/>
              </w:rPr>
              <w:t>3555 Farnam Street</w:t>
            </w: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Omaha, NE 68131</w:t>
            </w:r>
          </w:p>
        </w:tc>
        <w:tc>
          <w:tcPr>
            <w:tcW w:w="2400" w:type="dxa"/>
            <w:vAlign w:val="bottom"/>
            <w:tcBorders>
              <w:bottom w:val="single" w:sz="8" w:color="D1D2D4"/>
            </w:tcBorders>
          </w:tcPr>
          <w:p>
            <w:pPr>
              <w:spacing w:after="0"/>
              <w:rPr>
                <w:sz w:val="16"/>
                <w:szCs w:val="16"/>
                <w:color w:val="auto"/>
              </w:rPr>
            </w:pPr>
          </w:p>
        </w:tc>
        <w:tc>
          <w:tcPr>
            <w:tcW w:w="118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0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60"/>
              <w:spacing w:after="0" w:line="204" w:lineRule="exact"/>
              <w:rPr>
                <w:sz w:val="20"/>
                <w:szCs w:val="20"/>
                <w:color w:val="auto"/>
              </w:rPr>
            </w:pPr>
            <w:r>
              <w:rPr>
                <w:rFonts w:ascii="Arial" w:cs="Arial" w:eastAsia="Arial" w:hAnsi="Arial"/>
                <w:sz w:val="14"/>
                <w:szCs w:val="14"/>
                <w:color w:val="auto"/>
              </w:rPr>
              <w:t>Dodge &amp; Cox</w:t>
            </w:r>
            <w:r>
              <w:rPr>
                <w:rFonts w:ascii="Arial" w:cs="Arial" w:eastAsia="Arial" w:hAnsi="Arial"/>
                <w:sz w:val="23"/>
                <w:szCs w:val="23"/>
                <w:color w:val="auto"/>
                <w:vertAlign w:val="superscript"/>
              </w:rPr>
              <w:t>(2)</w:t>
            </w:r>
          </w:p>
        </w:tc>
        <w:tc>
          <w:tcPr>
            <w:tcW w:w="2400" w:type="dxa"/>
            <w:vAlign w:val="bottom"/>
          </w:tcPr>
          <w:p>
            <w:pPr>
              <w:jc w:val="right"/>
              <w:spacing w:after="0"/>
              <w:rPr>
                <w:sz w:val="20"/>
                <w:szCs w:val="20"/>
                <w:color w:val="auto"/>
              </w:rPr>
            </w:pPr>
            <w:r>
              <w:rPr>
                <w:rFonts w:ascii="Arial" w:cs="Arial" w:eastAsia="Arial" w:hAnsi="Arial"/>
                <w:sz w:val="14"/>
                <w:szCs w:val="14"/>
                <w:color w:val="auto"/>
              </w:rPr>
              <w:t>107,355,862</w:t>
            </w:r>
          </w:p>
        </w:tc>
        <w:tc>
          <w:tcPr>
            <w:tcW w:w="1180" w:type="dxa"/>
            <w:vAlign w:val="bottom"/>
          </w:tcPr>
          <w:p>
            <w:pPr>
              <w:jc w:val="right"/>
              <w:spacing w:after="0"/>
              <w:rPr>
                <w:sz w:val="20"/>
                <w:szCs w:val="20"/>
                <w:color w:val="auto"/>
              </w:rPr>
            </w:pPr>
            <w:r>
              <w:rPr>
                <w:rFonts w:ascii="Arial" w:cs="Arial" w:eastAsia="Arial" w:hAnsi="Arial"/>
                <w:sz w:val="14"/>
                <w:szCs w:val="14"/>
                <w:color w:val="auto"/>
              </w:rPr>
              <w:t>11.76%</w:t>
            </w:r>
          </w:p>
        </w:tc>
        <w:tc>
          <w:tcPr>
            <w:tcW w:w="920" w:type="dxa"/>
            <w:vAlign w:val="bottom"/>
          </w:tcPr>
          <w:p>
            <w:pPr>
              <w:jc w:val="right"/>
              <w:spacing w:after="0"/>
              <w:rPr>
                <w:sz w:val="20"/>
                <w:szCs w:val="20"/>
                <w:color w:val="auto"/>
              </w:rPr>
            </w:pPr>
            <w:r>
              <w:rPr>
                <w:rFonts w:ascii="Arial" w:cs="Arial" w:eastAsia="Arial" w:hAnsi="Arial"/>
                <w:sz w:val="14"/>
                <w:szCs w:val="14"/>
                <w:color w:val="auto"/>
              </w:rPr>
              <w:t>101,642,238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107,355,862</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60"/>
              <w:spacing w:after="0"/>
              <w:rPr>
                <w:sz w:val="20"/>
                <w:szCs w:val="20"/>
                <w:color w:val="auto"/>
              </w:rPr>
            </w:pPr>
            <w:r>
              <w:rPr>
                <w:rFonts w:ascii="Arial" w:cs="Arial" w:eastAsia="Arial" w:hAnsi="Arial"/>
                <w:sz w:val="14"/>
                <w:szCs w:val="14"/>
                <w:color w:val="auto"/>
              </w:rPr>
              <w:t>555 California Street, 40th Floor</w:t>
            </w: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San Francisco, CA 94104</w:t>
            </w:r>
          </w:p>
        </w:tc>
        <w:tc>
          <w:tcPr>
            <w:tcW w:w="2400" w:type="dxa"/>
            <w:vAlign w:val="bottom"/>
            <w:tcBorders>
              <w:bottom w:val="single" w:sz="8" w:color="D1D2D4"/>
            </w:tcBorders>
          </w:tcPr>
          <w:p>
            <w:pPr>
              <w:spacing w:after="0"/>
              <w:rPr>
                <w:sz w:val="16"/>
                <w:szCs w:val="16"/>
                <w:color w:val="auto"/>
              </w:rPr>
            </w:pPr>
          </w:p>
        </w:tc>
        <w:tc>
          <w:tcPr>
            <w:tcW w:w="118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0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60"/>
              <w:spacing w:after="0" w:line="204" w:lineRule="exact"/>
              <w:rPr>
                <w:sz w:val="20"/>
                <w:szCs w:val="20"/>
                <w:color w:val="auto"/>
              </w:rPr>
            </w:pPr>
            <w:r>
              <w:rPr>
                <w:rFonts w:ascii="Arial" w:cs="Arial" w:eastAsia="Arial" w:hAnsi="Arial"/>
                <w:sz w:val="14"/>
                <w:szCs w:val="14"/>
                <w:color w:val="auto"/>
              </w:rPr>
              <w:t>The Vanguard Group</w:t>
            </w:r>
            <w:r>
              <w:rPr>
                <w:rFonts w:ascii="Arial" w:cs="Arial" w:eastAsia="Arial" w:hAnsi="Arial"/>
                <w:sz w:val="23"/>
                <w:szCs w:val="23"/>
                <w:color w:val="auto"/>
                <w:vertAlign w:val="superscript"/>
              </w:rPr>
              <w:t>(3)</w:t>
            </w:r>
          </w:p>
        </w:tc>
        <w:tc>
          <w:tcPr>
            <w:tcW w:w="2400" w:type="dxa"/>
            <w:vAlign w:val="bottom"/>
          </w:tcPr>
          <w:p>
            <w:pPr>
              <w:jc w:val="right"/>
              <w:spacing w:after="0"/>
              <w:rPr>
                <w:sz w:val="20"/>
                <w:szCs w:val="20"/>
                <w:color w:val="auto"/>
              </w:rPr>
            </w:pPr>
            <w:r>
              <w:rPr>
                <w:rFonts w:ascii="Arial" w:cs="Arial" w:eastAsia="Arial" w:hAnsi="Arial"/>
                <w:sz w:val="14"/>
                <w:szCs w:val="14"/>
                <w:color w:val="auto"/>
              </w:rPr>
              <w:t>61,149,817</w:t>
            </w:r>
          </w:p>
        </w:tc>
        <w:tc>
          <w:tcPr>
            <w:tcW w:w="1180" w:type="dxa"/>
            <w:vAlign w:val="bottom"/>
          </w:tcPr>
          <w:p>
            <w:pPr>
              <w:jc w:val="right"/>
              <w:spacing w:after="0"/>
              <w:rPr>
                <w:sz w:val="20"/>
                <w:szCs w:val="20"/>
                <w:color w:val="auto"/>
              </w:rPr>
            </w:pPr>
            <w:r>
              <w:rPr>
                <w:rFonts w:ascii="Arial" w:cs="Arial" w:eastAsia="Arial" w:hAnsi="Arial"/>
                <w:sz w:val="14"/>
                <w:szCs w:val="14"/>
                <w:color w:val="auto"/>
              </w:rPr>
              <w:t>6.81%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1,187,287</w:t>
            </w:r>
          </w:p>
        </w:tc>
        <w:tc>
          <w:tcPr>
            <w:tcW w:w="920" w:type="dxa"/>
            <w:vAlign w:val="bottom"/>
          </w:tcPr>
          <w:p>
            <w:pPr>
              <w:jc w:val="right"/>
              <w:spacing w:after="0"/>
              <w:rPr>
                <w:sz w:val="20"/>
                <w:szCs w:val="20"/>
                <w:color w:val="auto"/>
              </w:rPr>
            </w:pPr>
            <w:r>
              <w:rPr>
                <w:rFonts w:ascii="Arial" w:cs="Arial" w:eastAsia="Arial" w:hAnsi="Arial"/>
                <w:sz w:val="14"/>
                <w:szCs w:val="14"/>
                <w:color w:val="auto"/>
              </w:rPr>
              <w:t>57,972,069</w:t>
            </w:r>
          </w:p>
        </w:tc>
        <w:tc>
          <w:tcPr>
            <w:tcW w:w="920" w:type="dxa"/>
            <w:vAlign w:val="bottom"/>
          </w:tcPr>
          <w:p>
            <w:pPr>
              <w:jc w:val="right"/>
              <w:spacing w:after="0"/>
              <w:rPr>
                <w:sz w:val="20"/>
                <w:szCs w:val="20"/>
                <w:color w:val="auto"/>
              </w:rPr>
            </w:pPr>
            <w:r>
              <w:rPr>
                <w:rFonts w:ascii="Arial" w:cs="Arial" w:eastAsia="Arial" w:hAnsi="Arial"/>
                <w:sz w:val="14"/>
                <w:szCs w:val="14"/>
                <w:color w:val="auto"/>
              </w:rPr>
              <w:t>3,177,748</w:t>
            </w:r>
          </w:p>
        </w:tc>
        <w:tc>
          <w:tcPr>
            <w:tcW w:w="0" w:type="dxa"/>
            <w:vAlign w:val="bottom"/>
          </w:tcPr>
          <w:p>
            <w:pPr>
              <w:spacing w:after="0"/>
              <w:rPr>
                <w:sz w:val="1"/>
                <w:szCs w:val="1"/>
                <w:color w:val="auto"/>
              </w:rPr>
            </w:pPr>
          </w:p>
        </w:tc>
      </w:tr>
      <w:tr>
        <w:trPr>
          <w:trHeight w:val="162"/>
        </w:trPr>
        <w:tc>
          <w:tcPr>
            <w:tcW w:w="400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Malvern, PA 19355</w:t>
            </w:r>
          </w:p>
        </w:tc>
        <w:tc>
          <w:tcPr>
            <w:tcW w:w="2400" w:type="dxa"/>
            <w:vAlign w:val="bottom"/>
            <w:tcBorders>
              <w:bottom w:val="single" w:sz="8" w:color="D1D2D4"/>
            </w:tcBorders>
          </w:tcPr>
          <w:p>
            <w:pPr>
              <w:spacing w:after="0"/>
              <w:rPr>
                <w:sz w:val="16"/>
                <w:szCs w:val="16"/>
                <w:color w:val="auto"/>
              </w:rPr>
            </w:pPr>
          </w:p>
        </w:tc>
        <w:tc>
          <w:tcPr>
            <w:tcW w:w="118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0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60"/>
              <w:spacing w:after="0" w:line="204"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(4)</w:t>
            </w:r>
          </w:p>
        </w:tc>
        <w:tc>
          <w:tcPr>
            <w:tcW w:w="2400" w:type="dxa"/>
            <w:vAlign w:val="bottom"/>
          </w:tcPr>
          <w:p>
            <w:pPr>
              <w:jc w:val="right"/>
              <w:spacing w:after="0"/>
              <w:rPr>
                <w:sz w:val="20"/>
                <w:szCs w:val="20"/>
                <w:color w:val="auto"/>
              </w:rPr>
            </w:pPr>
            <w:r>
              <w:rPr>
                <w:rFonts w:ascii="Arial" w:cs="Arial" w:eastAsia="Arial" w:hAnsi="Arial"/>
                <w:sz w:val="14"/>
                <w:szCs w:val="14"/>
                <w:color w:val="auto"/>
              </w:rPr>
              <w:t>50,272,936</w:t>
            </w:r>
          </w:p>
        </w:tc>
        <w:tc>
          <w:tcPr>
            <w:tcW w:w="1180" w:type="dxa"/>
            <w:vAlign w:val="bottom"/>
          </w:tcPr>
          <w:p>
            <w:pPr>
              <w:jc w:val="right"/>
              <w:spacing w:after="0"/>
              <w:rPr>
                <w:sz w:val="20"/>
                <w:szCs w:val="20"/>
                <w:color w:val="auto"/>
              </w:rPr>
            </w:pPr>
            <w:r>
              <w:rPr>
                <w:rFonts w:ascii="Arial" w:cs="Arial" w:eastAsia="Arial" w:hAnsi="Arial"/>
                <w:sz w:val="14"/>
                <w:szCs w:val="14"/>
                <w:color w:val="auto"/>
              </w:rPr>
              <w:t>5.60%</w:t>
            </w:r>
          </w:p>
        </w:tc>
        <w:tc>
          <w:tcPr>
            <w:tcW w:w="920" w:type="dxa"/>
            <w:vAlign w:val="bottom"/>
          </w:tcPr>
          <w:p>
            <w:pPr>
              <w:jc w:val="right"/>
              <w:spacing w:after="0"/>
              <w:rPr>
                <w:sz w:val="20"/>
                <w:szCs w:val="20"/>
                <w:color w:val="auto"/>
              </w:rPr>
            </w:pPr>
            <w:r>
              <w:rPr>
                <w:rFonts w:ascii="Arial" w:cs="Arial" w:eastAsia="Arial" w:hAnsi="Arial"/>
                <w:sz w:val="14"/>
                <w:szCs w:val="14"/>
                <w:color w:val="auto"/>
              </w:rPr>
              <w:t>45,897,403</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50,272,936</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60"/>
              <w:spacing w:after="0"/>
              <w:rPr>
                <w:sz w:val="20"/>
                <w:szCs w:val="20"/>
                <w:color w:val="auto"/>
              </w:rPr>
            </w:pPr>
            <w:r>
              <w:rPr>
                <w:rFonts w:ascii="Arial" w:cs="Arial" w:eastAsia="Arial" w:hAnsi="Arial"/>
                <w:sz w:val="14"/>
                <w:szCs w:val="14"/>
                <w:color w:val="auto"/>
              </w:rPr>
              <w:t>55 East 52nd Street</w:t>
            </w: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New York, NY 10055</w:t>
            </w:r>
          </w:p>
        </w:tc>
        <w:tc>
          <w:tcPr>
            <w:tcW w:w="2400" w:type="dxa"/>
            <w:vAlign w:val="bottom"/>
            <w:tcBorders>
              <w:bottom w:val="single" w:sz="8" w:color="D1D2D4"/>
            </w:tcBorders>
          </w:tcPr>
          <w:p>
            <w:pPr>
              <w:spacing w:after="0"/>
              <w:rPr>
                <w:sz w:val="16"/>
                <w:szCs w:val="16"/>
                <w:color w:val="auto"/>
              </w:rPr>
            </w:pPr>
          </w:p>
        </w:tc>
        <w:tc>
          <w:tcPr>
            <w:tcW w:w="118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0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920" w:type="dxa"/>
            <w:vAlign w:val="bottom"/>
            <w:tcBorders>
              <w:bottom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60"/>
              <w:spacing w:after="0" w:line="204"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3"/>
                <w:szCs w:val="23"/>
                <w:color w:val="auto"/>
                <w:vertAlign w:val="superscript"/>
              </w:rPr>
              <w:t>(5)</w:t>
            </w:r>
          </w:p>
        </w:tc>
        <w:tc>
          <w:tcPr>
            <w:tcW w:w="2400" w:type="dxa"/>
            <w:vAlign w:val="bottom"/>
          </w:tcPr>
          <w:p>
            <w:pPr>
              <w:jc w:val="right"/>
              <w:spacing w:after="0"/>
              <w:rPr>
                <w:sz w:val="20"/>
                <w:szCs w:val="20"/>
                <w:color w:val="auto"/>
              </w:rPr>
            </w:pPr>
            <w:r>
              <w:rPr>
                <w:rFonts w:ascii="Arial" w:cs="Arial" w:eastAsia="Arial" w:hAnsi="Arial"/>
                <w:sz w:val="14"/>
                <w:szCs w:val="14"/>
                <w:color w:val="auto"/>
              </w:rPr>
              <w:t>48,735,391</w:t>
            </w:r>
          </w:p>
        </w:tc>
        <w:tc>
          <w:tcPr>
            <w:tcW w:w="1180" w:type="dxa"/>
            <w:vAlign w:val="bottom"/>
          </w:tcPr>
          <w:p>
            <w:pPr>
              <w:jc w:val="right"/>
              <w:spacing w:after="0"/>
              <w:rPr>
                <w:sz w:val="20"/>
                <w:szCs w:val="20"/>
                <w:color w:val="auto"/>
              </w:rPr>
            </w:pPr>
            <w:r>
              <w:rPr>
                <w:rFonts w:ascii="Arial" w:cs="Arial" w:eastAsia="Arial" w:hAnsi="Arial"/>
                <w:sz w:val="14"/>
                <w:szCs w:val="14"/>
                <w:color w:val="auto"/>
              </w:rPr>
              <w:t>5.43%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45,233,612</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48,710,750</w:t>
            </w:r>
          </w:p>
        </w:tc>
        <w:tc>
          <w:tcPr>
            <w:tcW w:w="0" w:type="dxa"/>
            <w:vAlign w:val="bottom"/>
          </w:tcPr>
          <w:p>
            <w:pPr>
              <w:spacing w:after="0"/>
              <w:rPr>
                <w:sz w:val="1"/>
                <w:szCs w:val="1"/>
                <w:color w:val="auto"/>
              </w:rPr>
            </w:pPr>
          </w:p>
        </w:tc>
      </w:tr>
      <w:tr>
        <w:trPr>
          <w:trHeight w:val="162"/>
        </w:trPr>
        <w:tc>
          <w:tcPr>
            <w:tcW w:w="4000" w:type="dxa"/>
            <w:vAlign w:val="bottom"/>
          </w:tcPr>
          <w:p>
            <w:pPr>
              <w:ind w:left="60"/>
              <w:spacing w:after="0"/>
              <w:rPr>
                <w:sz w:val="20"/>
                <w:szCs w:val="20"/>
                <w:color w:val="auto"/>
              </w:rPr>
            </w:pPr>
            <w:r>
              <w:rPr>
                <w:rFonts w:ascii="Arial" w:cs="Arial" w:eastAsia="Arial" w:hAnsi="Arial"/>
                <w:sz w:val="14"/>
                <w:szCs w:val="14"/>
                <w:color w:val="auto"/>
              </w:rPr>
              <w:t>1 Lincoln Street</w:t>
            </w: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00" w:type="dxa"/>
            <w:vAlign w:val="bottom"/>
            <w:tcBorders>
              <w:bottom w:val="single" w:sz="8" w:color="00529B"/>
            </w:tcBorders>
          </w:tcPr>
          <w:p>
            <w:pPr>
              <w:ind w:left="60"/>
              <w:spacing w:after="0"/>
              <w:rPr>
                <w:sz w:val="20"/>
                <w:szCs w:val="20"/>
                <w:color w:val="auto"/>
              </w:rPr>
            </w:pPr>
            <w:r>
              <w:rPr>
                <w:rFonts w:ascii="Arial" w:cs="Arial" w:eastAsia="Arial" w:hAnsi="Arial"/>
                <w:sz w:val="14"/>
                <w:szCs w:val="14"/>
                <w:color w:val="auto"/>
              </w:rPr>
              <w:t>Boston, MA 02111</w:t>
            </w:r>
          </w:p>
        </w:tc>
        <w:tc>
          <w:tcPr>
            <w:tcW w:w="2400" w:type="dxa"/>
            <w:vAlign w:val="bottom"/>
            <w:tcBorders>
              <w:bottom w:val="single" w:sz="8" w:color="00529B"/>
            </w:tcBorders>
          </w:tcPr>
          <w:p>
            <w:pPr>
              <w:spacing w:after="0"/>
              <w:rPr>
                <w:sz w:val="17"/>
                <w:szCs w:val="17"/>
                <w:color w:val="auto"/>
              </w:rPr>
            </w:pPr>
          </w:p>
        </w:tc>
        <w:tc>
          <w:tcPr>
            <w:tcW w:w="1180" w:type="dxa"/>
            <w:vAlign w:val="bottom"/>
            <w:tcBorders>
              <w:bottom w:val="single" w:sz="8" w:color="00529B"/>
            </w:tcBorders>
          </w:tcPr>
          <w:p>
            <w:pPr>
              <w:spacing w:after="0"/>
              <w:rPr>
                <w:sz w:val="17"/>
                <w:szCs w:val="17"/>
                <w:color w:val="auto"/>
              </w:rPr>
            </w:pPr>
          </w:p>
        </w:tc>
        <w:tc>
          <w:tcPr>
            <w:tcW w:w="920" w:type="dxa"/>
            <w:vAlign w:val="bottom"/>
            <w:tcBorders>
              <w:bottom w:val="single" w:sz="8" w:color="00529B"/>
            </w:tcBorders>
          </w:tcPr>
          <w:p>
            <w:pPr>
              <w:spacing w:after="0"/>
              <w:rPr>
                <w:sz w:val="17"/>
                <w:szCs w:val="17"/>
                <w:color w:val="auto"/>
              </w:rPr>
            </w:pPr>
          </w:p>
        </w:tc>
        <w:tc>
          <w:tcPr>
            <w:tcW w:w="900" w:type="dxa"/>
            <w:vAlign w:val="bottom"/>
            <w:tcBorders>
              <w:bottom w:val="single" w:sz="8" w:color="00529B"/>
            </w:tcBorders>
          </w:tcPr>
          <w:p>
            <w:pPr>
              <w:spacing w:after="0"/>
              <w:rPr>
                <w:sz w:val="17"/>
                <w:szCs w:val="17"/>
                <w:color w:val="auto"/>
              </w:rPr>
            </w:pPr>
          </w:p>
        </w:tc>
        <w:tc>
          <w:tcPr>
            <w:tcW w:w="920" w:type="dxa"/>
            <w:vAlign w:val="bottom"/>
            <w:tcBorders>
              <w:bottom w:val="single" w:sz="8" w:color="00529B"/>
            </w:tcBorders>
          </w:tcPr>
          <w:p>
            <w:pPr>
              <w:spacing w:after="0"/>
              <w:rPr>
                <w:sz w:val="17"/>
                <w:szCs w:val="17"/>
                <w:color w:val="auto"/>
              </w:rPr>
            </w:pPr>
          </w:p>
        </w:tc>
        <w:tc>
          <w:tcPr>
            <w:tcW w:w="920" w:type="dxa"/>
            <w:vAlign w:val="bottom"/>
            <w:tcBorders>
              <w:bottom w:val="single" w:sz="8" w:color="00529B"/>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right="20" w:hanging="292"/>
        <w:spacing w:after="0" w:line="223" w:lineRule="auto"/>
        <w:tabs>
          <w:tab w:leader="none" w:pos="300" w:val="left"/>
        </w:tabs>
        <w:numPr>
          <w:ilvl w:val="0"/>
          <w:numId w:val="84"/>
        </w:numPr>
        <w:rPr>
          <w:rFonts w:ascii="Arial" w:cs="Arial" w:eastAsia="Arial" w:hAnsi="Arial"/>
          <w:sz w:val="10"/>
          <w:szCs w:val="10"/>
          <w:color w:val="auto"/>
        </w:rPr>
      </w:pPr>
      <w:r>
        <w:rPr>
          <w:rFonts w:ascii="Arial" w:cs="Arial" w:eastAsia="Arial" w:hAnsi="Arial"/>
          <w:sz w:val="13"/>
          <w:szCs w:val="13"/>
          <w:color w:val="auto"/>
        </w:rPr>
        <w:t>Pursuant to a Schedule 13G/A filed with the SEC on February 14, 2023, reporting beneficial ownership as of December 31, 2022, and a Form 4 subsequently filed with the SEC on March 7, 2023. According to the Schedule 13G/A filing, (i) Warren E. Buffett and Berkshire Hathaway Inc. (Berkshire) have shared voting power and shared investment power with regard to 278,210,498.81 common shares (194,351,650 common shares and 83,858,848.81 shares underlying the Berkshire Warrants (as such term is defined in the filing)); and (ii) National Indemnity Company has shared voting power and shared investment power with regard to 267,602,354.44 common shares (194,351,650 common shares and 73,250,704.44 shares underlying the Berkshire Warrants). Information about other entities deemed to share beneficial ownership of the shares, including their voting and investment power, is disclosed in the Schedule 13G/A filing. According to the Form 4 filed with the SEC on March 7, 2023, Warren E. Buffett and Berkshire acquired an additional 5,801,791 common shares through National Indemnity Company and, as of March 7, 2023, beneficially owned 200,153,441 common shares in the aggregate (not inclusive of the Berkshire Warrants).</w:t>
      </w:r>
    </w:p>
    <w:p>
      <w:pPr>
        <w:spacing w:after="0" w:line="40" w:lineRule="exact"/>
        <w:rPr>
          <w:rFonts w:ascii="Arial" w:cs="Arial" w:eastAsia="Arial" w:hAnsi="Arial"/>
          <w:sz w:val="10"/>
          <w:szCs w:val="10"/>
          <w:color w:val="auto"/>
        </w:rPr>
      </w:pPr>
    </w:p>
    <w:p>
      <w:pPr>
        <w:ind w:left="300" w:right="60" w:hanging="292"/>
        <w:spacing w:after="0" w:line="233" w:lineRule="auto"/>
        <w:tabs>
          <w:tab w:leader="none" w:pos="300" w:val="left"/>
        </w:tabs>
        <w:numPr>
          <w:ilvl w:val="0"/>
          <w:numId w:val="84"/>
        </w:numPr>
        <w:rPr>
          <w:rFonts w:ascii="Arial" w:cs="Arial" w:eastAsia="Arial" w:hAnsi="Arial"/>
          <w:sz w:val="10"/>
          <w:szCs w:val="10"/>
          <w:color w:val="auto"/>
        </w:rPr>
      </w:pPr>
      <w:r>
        <w:rPr>
          <w:rFonts w:ascii="Arial" w:cs="Arial" w:eastAsia="Arial" w:hAnsi="Arial"/>
          <w:sz w:val="13"/>
          <w:szCs w:val="13"/>
          <w:color w:val="auto"/>
        </w:rPr>
        <w:t>Pursuant to a Schedule 13G/A filed with the SEC on February 14, 2023, reporting beneficial ownership as of December 31, 2022. According to the filing, Dodge &amp; Cox has sole voting power with regard to 101,642,238 securities (87,893,145 common shares and 13,749,093 warrants), sole investment power with regard to 107,355,862 securities (92,957,224 common shares and 14,398,638 warrants) and aggregate beneficial ownership of 107,355,862 securities (92,957,224 common shares and 14,398,638 warrants).</w:t>
      </w:r>
    </w:p>
    <w:p>
      <w:pPr>
        <w:ind w:left="300" w:hanging="292"/>
        <w:spacing w:after="0" w:line="214" w:lineRule="auto"/>
        <w:tabs>
          <w:tab w:leader="none" w:pos="300" w:val="left"/>
        </w:tabs>
        <w:numPr>
          <w:ilvl w:val="0"/>
          <w:numId w:val="84"/>
        </w:numPr>
        <w:rPr>
          <w:rFonts w:ascii="Arial" w:cs="Arial" w:eastAsia="Arial" w:hAnsi="Arial"/>
          <w:sz w:val="21"/>
          <w:szCs w:val="21"/>
          <w:color w:val="auto"/>
          <w:vertAlign w:val="superscript"/>
        </w:rPr>
      </w:pPr>
      <w:r>
        <w:rPr>
          <w:rFonts w:ascii="Arial" w:cs="Arial" w:eastAsia="Arial" w:hAnsi="Arial"/>
          <w:sz w:val="13"/>
          <w:szCs w:val="13"/>
          <w:color w:val="auto"/>
        </w:rPr>
        <w:t>Pursuant to a Schedule 13G/A filed with the SEC on February 9, 2023, reporting beneficial ownership as of December 31, 2022.</w:t>
      </w:r>
    </w:p>
    <w:p>
      <w:pPr>
        <w:spacing w:after="0" w:line="62"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84"/>
        </w:numPr>
        <w:rPr>
          <w:rFonts w:ascii="Arial" w:cs="Arial" w:eastAsia="Arial" w:hAnsi="Arial"/>
          <w:sz w:val="17"/>
          <w:szCs w:val="17"/>
          <w:color w:val="auto"/>
          <w:vertAlign w:val="superscript"/>
        </w:rPr>
      </w:pPr>
      <w:r>
        <w:rPr>
          <w:rFonts w:ascii="Arial" w:cs="Arial" w:eastAsia="Arial" w:hAnsi="Arial"/>
          <w:sz w:val="10"/>
          <w:szCs w:val="10"/>
          <w:color w:val="auto"/>
        </w:rPr>
        <w:t>Pursuant to a Schedule 13G/A filed with the SEC on February 8, 2023, reporting beneficial ownership as of December 31, 2022.</w:t>
      </w:r>
    </w:p>
    <w:p>
      <w:pPr>
        <w:spacing w:after="0" w:line="62" w:lineRule="exact"/>
        <w:rPr>
          <w:rFonts w:ascii="Arial" w:cs="Arial" w:eastAsia="Arial" w:hAnsi="Arial"/>
          <w:sz w:val="17"/>
          <w:szCs w:val="17"/>
          <w:color w:val="auto"/>
          <w:vertAlign w:val="superscript"/>
        </w:rPr>
      </w:pPr>
    </w:p>
    <w:p>
      <w:pPr>
        <w:ind w:left="300" w:hanging="292"/>
        <w:spacing w:after="0" w:line="189" w:lineRule="auto"/>
        <w:tabs>
          <w:tab w:leader="none" w:pos="300" w:val="left"/>
        </w:tabs>
        <w:numPr>
          <w:ilvl w:val="0"/>
          <w:numId w:val="84"/>
        </w:numPr>
        <w:rPr>
          <w:rFonts w:ascii="Arial" w:cs="Arial" w:eastAsia="Arial" w:hAnsi="Arial"/>
          <w:sz w:val="17"/>
          <w:szCs w:val="17"/>
          <w:color w:val="auto"/>
          <w:vertAlign w:val="superscript"/>
        </w:rPr>
      </w:pPr>
      <w:r>
        <w:rPr>
          <w:rFonts w:ascii="Arial" w:cs="Arial" w:eastAsia="Arial" w:hAnsi="Arial"/>
          <w:sz w:val="10"/>
          <w:szCs w:val="10"/>
          <w:color w:val="auto"/>
        </w:rPr>
        <w:t>Pursuant to a Schedule 13G/A filed with the SEC on February 7, 2023, reporting beneficial ownership as of December 31, 2022.</w:t>
      </w:r>
    </w:p>
    <w:p>
      <w:pPr>
        <w:spacing w:after="0" w:line="48" w:lineRule="exact"/>
        <w:rPr>
          <w:rFonts w:ascii="Arial" w:cs="Arial" w:eastAsia="Arial" w:hAnsi="Arial"/>
          <w:sz w:val="17"/>
          <w:szCs w:val="17"/>
          <w:color w:val="auto"/>
          <w:vertAlign w:val="superscript"/>
        </w:rPr>
      </w:pPr>
    </w:p>
    <w:p>
      <w:pPr>
        <w:ind w:left="300" w:right="20" w:hanging="292"/>
        <w:spacing w:after="0" w:line="231" w:lineRule="auto"/>
        <w:tabs>
          <w:tab w:leader="none" w:pos="300" w:val="left"/>
        </w:tabs>
        <w:numPr>
          <w:ilvl w:val="0"/>
          <w:numId w:val="84"/>
        </w:numPr>
        <w:rPr>
          <w:rFonts w:ascii="Arial" w:cs="Arial" w:eastAsia="Arial" w:hAnsi="Arial"/>
          <w:sz w:val="10"/>
          <w:szCs w:val="10"/>
          <w:color w:val="auto"/>
        </w:rPr>
      </w:pPr>
      <w:r>
        <w:rPr>
          <w:rFonts w:ascii="Arial" w:cs="Arial" w:eastAsia="Arial" w:hAnsi="Arial"/>
          <w:sz w:val="13"/>
          <w:szCs w:val="13"/>
          <w:color w:val="auto"/>
        </w:rPr>
        <w:t>Pursuant to SEC rules, the percentage of common stock beneficially owned by a shareholder includes shares that would be issued upon exercise of the warrants held by such shareholder but does not include the shares that may be issued upon exercise of warrants held by other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743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9920"/>
        <w:spacing w:after="0"/>
        <w:rPr>
          <w:sz w:val="20"/>
          <w:szCs w:val="20"/>
          <w:color w:val="auto"/>
        </w:rPr>
      </w:pPr>
      <w:r>
        <w:rPr>
          <w:rFonts w:ascii="Arial" w:cs="Arial" w:eastAsia="Arial" w:hAnsi="Arial"/>
          <w:sz w:val="15"/>
          <w:szCs w:val="15"/>
          <w:color w:val="auto"/>
        </w:rPr>
        <w:t>Security Ownership</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The following table includes certain information regarding the beneficial ownership of Occidental common stock as of March 10, 2023, by each of Occidental’s named executive officers, directors, and all executive officers and directors as a group. The address for each person is c/o Occidental Petroleum Corporation, 5 Greenway Plaza, Suite 110, Houston, Texas 77046.</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00529B"/>
        </w:rPr>
        <w:t>BENEFICIAL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00529B"/>
              </w:rPr>
              <w:t>Options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00529B"/>
              </w:rPr>
              <w:t>Warrants</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00529B"/>
                <w:w w:val="99"/>
              </w:rPr>
              <w:t>Total Shares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00529B"/>
              </w:rPr>
              <w:t>Percent of</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2560" w:type="dxa"/>
            <w:vAlign w:val="bottom"/>
            <w:vMerge w:val="restart"/>
          </w:tcPr>
          <w:p>
            <w:pPr>
              <w:jc w:val="right"/>
              <w:spacing w:after="0"/>
              <w:rPr>
                <w:sz w:val="20"/>
                <w:szCs w:val="20"/>
                <w:color w:val="auto"/>
              </w:rPr>
            </w:pPr>
            <w:r>
              <w:rPr>
                <w:rFonts w:ascii="Arial" w:cs="Arial" w:eastAsia="Arial" w:hAnsi="Arial"/>
                <w:sz w:val="13"/>
                <w:szCs w:val="13"/>
                <w:b w:val="1"/>
                <w:bCs w:val="1"/>
                <w:color w:val="00529B"/>
              </w:rPr>
              <w:t>Common</w:t>
            </w: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Exercisable</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00529B"/>
              </w:rPr>
              <w:t>Exercisable</w:t>
            </w:r>
          </w:p>
        </w:tc>
        <w:tc>
          <w:tcPr>
            <w:tcW w:w="860" w:type="dxa"/>
            <w:vAlign w:val="bottom"/>
            <w:vMerge w:val="continue"/>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w w:val="99"/>
              </w:rPr>
              <w:t>Outstanding</w:t>
            </w:r>
          </w:p>
        </w:tc>
        <w:tc>
          <w:tcPr>
            <w:tcW w:w="0" w:type="dxa"/>
            <w:vAlign w:val="bottom"/>
          </w:tcPr>
          <w:p>
            <w:pPr>
              <w:spacing w:after="0"/>
              <w:rPr>
                <w:sz w:val="1"/>
                <w:szCs w:val="1"/>
                <w:color w:val="auto"/>
              </w:rPr>
            </w:pPr>
          </w:p>
        </w:tc>
      </w:tr>
      <w:tr>
        <w:trPr>
          <w:trHeight w:val="135"/>
        </w:trPr>
        <w:tc>
          <w:tcPr>
            <w:tcW w:w="5300" w:type="dxa"/>
            <w:vAlign w:val="bottom"/>
            <w:vMerge w:val="restart"/>
          </w:tcPr>
          <w:p>
            <w:pPr>
              <w:ind w:left="60"/>
              <w:spacing w:after="0"/>
              <w:rPr>
                <w:sz w:val="20"/>
                <w:szCs w:val="20"/>
                <w:color w:val="auto"/>
              </w:rPr>
            </w:pPr>
            <w:r>
              <w:rPr>
                <w:rFonts w:ascii="Arial" w:cs="Arial" w:eastAsia="Arial" w:hAnsi="Arial"/>
                <w:sz w:val="13"/>
                <w:szCs w:val="13"/>
                <w:b w:val="1"/>
                <w:bCs w:val="1"/>
                <w:color w:val="00529B"/>
              </w:rPr>
              <w:t>Name</w:t>
            </w:r>
          </w:p>
        </w:tc>
        <w:tc>
          <w:tcPr>
            <w:tcW w:w="2560" w:type="dxa"/>
            <w:vAlign w:val="bottom"/>
            <w:vMerge w:val="continue"/>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within</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within</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Beneficially</w:t>
            </w: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00529B"/>
              </w:rPr>
              <w:t>Common</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00529B"/>
            </w:tcBorders>
            <w:vMerge w:val="continue"/>
          </w:tcPr>
          <w:p>
            <w:pPr>
              <w:spacing w:after="0"/>
              <w:rPr>
                <w:sz w:val="17"/>
                <w:szCs w:val="17"/>
                <w:color w:val="auto"/>
              </w:rPr>
            </w:pPr>
          </w:p>
        </w:tc>
        <w:tc>
          <w:tcPr>
            <w:tcW w:w="2560" w:type="dxa"/>
            <w:vAlign w:val="bottom"/>
            <w:tcBorders>
              <w:bottom w:val="single" w:sz="8" w:color="00529B"/>
            </w:tcBorders>
          </w:tcPr>
          <w:p>
            <w:pPr>
              <w:jc w:val="right"/>
              <w:spacing w:after="0" w:line="189" w:lineRule="exact"/>
              <w:rPr>
                <w:sz w:val="20"/>
                <w:szCs w:val="20"/>
                <w:color w:val="auto"/>
              </w:rPr>
            </w:pPr>
            <w:r>
              <w:rPr>
                <w:rFonts w:ascii="Arial" w:cs="Arial" w:eastAsia="Arial" w:hAnsi="Arial"/>
                <w:sz w:val="13"/>
                <w:szCs w:val="13"/>
                <w:b w:val="1"/>
                <w:bCs w:val="1"/>
                <w:color w:val="00529B"/>
              </w:rPr>
              <w:t>Stock</w:t>
            </w:r>
            <w:r>
              <w:rPr>
                <w:rFonts w:ascii="Arial" w:cs="Arial" w:eastAsia="Arial" w:hAnsi="Arial"/>
                <w:sz w:val="20"/>
                <w:szCs w:val="20"/>
                <w:b w:val="1"/>
                <w:bCs w:val="1"/>
                <w:color w:val="00529B"/>
                <w:vertAlign w:val="superscript"/>
              </w:rPr>
              <w:t>(1)</w:t>
            </w:r>
          </w:p>
        </w:tc>
        <w:tc>
          <w:tcPr>
            <w:tcW w:w="82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60 days</w:t>
            </w:r>
          </w:p>
        </w:tc>
        <w:tc>
          <w:tcPr>
            <w:tcW w:w="86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60 Days</w:t>
            </w:r>
          </w:p>
        </w:tc>
        <w:tc>
          <w:tcPr>
            <w:tcW w:w="860" w:type="dxa"/>
            <w:vAlign w:val="bottom"/>
            <w:tcBorders>
              <w:bottom w:val="single" w:sz="8" w:color="00529B"/>
            </w:tcBorders>
          </w:tcPr>
          <w:p>
            <w:pPr>
              <w:jc w:val="right"/>
              <w:spacing w:after="0"/>
              <w:rPr>
                <w:sz w:val="20"/>
                <w:szCs w:val="20"/>
                <w:color w:val="auto"/>
              </w:rPr>
            </w:pPr>
            <w:r>
              <w:rPr>
                <w:rFonts w:ascii="Arial" w:cs="Arial" w:eastAsia="Arial" w:hAnsi="Arial"/>
                <w:sz w:val="13"/>
                <w:szCs w:val="13"/>
                <w:b w:val="1"/>
                <w:bCs w:val="1"/>
                <w:color w:val="00529B"/>
              </w:rPr>
              <w:t>Owned</w:t>
            </w:r>
          </w:p>
        </w:tc>
        <w:tc>
          <w:tcPr>
            <w:tcW w:w="840" w:type="dxa"/>
            <w:vAlign w:val="bottom"/>
            <w:tcBorders>
              <w:bottom w:val="single" w:sz="8" w:color="00529B"/>
            </w:tcBorders>
          </w:tcPr>
          <w:p>
            <w:pPr>
              <w:jc w:val="right"/>
              <w:spacing w:after="0" w:line="189" w:lineRule="exact"/>
              <w:rPr>
                <w:sz w:val="20"/>
                <w:szCs w:val="20"/>
                <w:color w:val="auto"/>
              </w:rPr>
            </w:pPr>
            <w:r>
              <w:rPr>
                <w:rFonts w:ascii="Arial" w:cs="Arial" w:eastAsia="Arial" w:hAnsi="Arial"/>
                <w:sz w:val="13"/>
                <w:szCs w:val="13"/>
                <w:b w:val="1"/>
                <w:bCs w:val="1"/>
                <w:color w:val="00529B"/>
              </w:rPr>
              <w:t>Stock</w:t>
            </w:r>
            <w:r>
              <w:rPr>
                <w:rFonts w:ascii="Arial" w:cs="Arial" w:eastAsia="Arial" w:hAnsi="Arial"/>
                <w:sz w:val="20"/>
                <w:szCs w:val="20"/>
                <w:b w:val="1"/>
                <w:bCs w:val="1"/>
                <w:color w:val="00529B"/>
                <w:vertAlign w:val="superscript"/>
              </w:rPr>
              <w:t>(2)</w:t>
            </w:r>
          </w:p>
        </w:tc>
        <w:tc>
          <w:tcPr>
            <w:tcW w:w="0" w:type="dxa"/>
            <w:vAlign w:val="bottom"/>
          </w:tcPr>
          <w:p>
            <w:pPr>
              <w:spacing w:after="0"/>
              <w:rPr>
                <w:sz w:val="1"/>
                <w:szCs w:val="1"/>
                <w:color w:val="auto"/>
              </w:rPr>
            </w:pPr>
          </w:p>
        </w:tc>
      </w:tr>
      <w:tr>
        <w:trPr>
          <w:trHeight w:val="185"/>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Marcia E. Backus</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172,006</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157,186</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16,009</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345,201</w:t>
            </w:r>
          </w:p>
        </w:tc>
        <w:tc>
          <w:tcPr>
            <w:tcW w:w="840" w:type="dxa"/>
            <w:vAlign w:val="bottom"/>
            <w:tcBorders>
              <w:bottom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Vicky A. Bailey</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4,016</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4,016</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Peter J. Bennett</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74,932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30,056</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9,694</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114,682</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Kenneth Dillon</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182,344</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291,661</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16,962</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490,967</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Andrew Gould</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30,295</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2,351</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32,646</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Carlos M. Gutierrez</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48,997</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7,832</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56,829</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Vicki Hollub</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519,500</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987,196</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50,033</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1,556,729</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Richard A. Jackson</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103,677</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48,089</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11,952</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163,718</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William R. Klesse</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176,984</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29,760</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206,744</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Jack B. Moore</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50,832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4,799</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55,631</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Claire O’Neill</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724</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724</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Robert L. Peterson</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134,757</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48,089</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16,991</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199,837</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Avedick B. Poladian</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66,957</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9,327</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76,284</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Ken Robinson</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549</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549</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D1D2D4"/>
            </w:tcBorders>
          </w:tcPr>
          <w:p>
            <w:pPr>
              <w:ind w:left="60"/>
              <w:spacing w:after="0"/>
              <w:rPr>
                <w:sz w:val="20"/>
                <w:szCs w:val="20"/>
                <w:color w:val="auto"/>
              </w:rPr>
            </w:pPr>
            <w:r>
              <w:rPr>
                <w:rFonts w:ascii="Arial" w:cs="Arial" w:eastAsia="Arial" w:hAnsi="Arial"/>
                <w:sz w:val="13"/>
                <w:szCs w:val="13"/>
                <w:b w:val="1"/>
                <w:bCs w:val="1"/>
                <w:color w:val="00529B"/>
              </w:rPr>
              <w:t>Robert M. Shearer</w:t>
            </w:r>
          </w:p>
        </w:tc>
        <w:tc>
          <w:tcPr>
            <w:tcW w:w="25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49,231</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4,610</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3"/>
                <w:szCs w:val="13"/>
                <w:color w:val="auto"/>
              </w:rPr>
              <w:t>53,841</w:t>
            </w:r>
          </w:p>
        </w:tc>
        <w:tc>
          <w:tcPr>
            <w:tcW w:w="840" w:type="dxa"/>
            <w:vAlign w:val="bottom"/>
            <w:tcBorders>
              <w:bottom w:val="single" w:sz="8" w:color="D1D2D4"/>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00" w:type="dxa"/>
            <w:vAlign w:val="bottom"/>
            <w:tcBorders>
              <w:bottom w:val="single" w:sz="8" w:color="00529B"/>
            </w:tcBorders>
          </w:tcPr>
          <w:p>
            <w:pPr>
              <w:ind w:left="60"/>
              <w:spacing w:after="0"/>
              <w:rPr>
                <w:sz w:val="20"/>
                <w:szCs w:val="20"/>
                <w:color w:val="auto"/>
              </w:rPr>
            </w:pPr>
            <w:r>
              <w:rPr>
                <w:rFonts w:ascii="Arial" w:cs="Arial" w:eastAsia="Arial" w:hAnsi="Arial"/>
                <w:sz w:val="13"/>
                <w:szCs w:val="13"/>
                <w:color w:val="auto"/>
              </w:rPr>
              <w:t>All executive officers and directors as a group (16 persons)</w:t>
            </w:r>
          </w:p>
        </w:tc>
        <w:tc>
          <w:tcPr>
            <w:tcW w:w="256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1,481,668</w:t>
            </w:r>
          </w:p>
        </w:tc>
        <w:tc>
          <w:tcPr>
            <w:tcW w:w="82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1,470,355</w:t>
            </w:r>
          </w:p>
        </w:tc>
        <w:tc>
          <w:tcPr>
            <w:tcW w:w="86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165,864</w:t>
            </w:r>
          </w:p>
        </w:tc>
        <w:tc>
          <w:tcPr>
            <w:tcW w:w="860" w:type="dxa"/>
            <w:vAlign w:val="bottom"/>
            <w:tcBorders>
              <w:bottom w:val="single" w:sz="8" w:color="00529B"/>
            </w:tcBorders>
          </w:tcPr>
          <w:p>
            <w:pPr>
              <w:jc w:val="right"/>
              <w:spacing w:after="0"/>
              <w:rPr>
                <w:sz w:val="20"/>
                <w:szCs w:val="20"/>
                <w:color w:val="auto"/>
              </w:rPr>
            </w:pPr>
            <w:r>
              <w:rPr>
                <w:rFonts w:ascii="Arial" w:cs="Arial" w:eastAsia="Arial" w:hAnsi="Arial"/>
                <w:sz w:val="13"/>
                <w:szCs w:val="13"/>
                <w:color w:val="auto"/>
              </w:rPr>
              <w:t>3,117,887</w:t>
            </w:r>
          </w:p>
        </w:tc>
        <w:tc>
          <w:tcPr>
            <w:tcW w:w="840" w:type="dxa"/>
            <w:vAlign w:val="bottom"/>
            <w:tcBorders>
              <w:bottom w:val="single" w:sz="8" w:color="00529B"/>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right="100" w:hanging="292"/>
        <w:spacing w:after="0" w:line="245" w:lineRule="auto"/>
        <w:tabs>
          <w:tab w:leader="none" w:pos="300" w:val="left"/>
        </w:tabs>
        <w:numPr>
          <w:ilvl w:val="0"/>
          <w:numId w:val="85"/>
        </w:numPr>
        <w:rPr>
          <w:rFonts w:ascii="Arial" w:cs="Arial" w:eastAsia="Arial" w:hAnsi="Arial"/>
          <w:sz w:val="10"/>
          <w:szCs w:val="10"/>
          <w:color w:val="auto"/>
        </w:rPr>
      </w:pPr>
      <w:r>
        <w:rPr>
          <w:rFonts w:ascii="Arial" w:cs="Arial" w:eastAsia="Arial" w:hAnsi="Arial"/>
          <w:sz w:val="12"/>
          <w:szCs w:val="12"/>
          <w:color w:val="auto"/>
        </w:rPr>
        <w:t>For executive officers, includes shares held through the Occidental Petroleum Corporation Savings Plan as of March 10, 2023. For non-employee directors, includes deferred stock units and/or common stock awards that are subject to restrictions on sale and transfer in the following amounts: Ms. Bailey – 4,016; Mr. Gould – 24,725; Mr. Gutierrez – 40,002; Mr. Klesse – 25,905; Mr. Moore</w:t>
      </w:r>
    </w:p>
    <w:p>
      <w:pPr>
        <w:ind w:left="300"/>
        <w:spacing w:after="0"/>
        <w:rPr>
          <w:rFonts w:ascii="Arial" w:cs="Arial" w:eastAsia="Arial" w:hAnsi="Arial"/>
          <w:sz w:val="10"/>
          <w:szCs w:val="10"/>
          <w:color w:val="auto"/>
        </w:rPr>
      </w:pPr>
      <w:r>
        <w:rPr>
          <w:rFonts w:ascii="Arial" w:cs="Arial" w:eastAsia="Arial" w:hAnsi="Arial"/>
          <w:sz w:val="13"/>
          <w:szCs w:val="13"/>
          <w:color w:val="auto"/>
        </w:rPr>
        <w:t>– 30,286; Ms. O’Neill – 724; Mr. Poladian – 41,618; Mr. Robinson – 549 and Mr. Shearer – 26,872.</w:t>
      </w:r>
    </w:p>
    <w:p>
      <w:pPr>
        <w:spacing w:after="0" w:line="4" w:lineRule="exact"/>
        <w:rPr>
          <w:rFonts w:ascii="Arial" w:cs="Arial" w:eastAsia="Arial" w:hAnsi="Arial"/>
          <w:sz w:val="10"/>
          <w:szCs w:val="10"/>
          <w:color w:val="auto"/>
        </w:rPr>
      </w:pPr>
    </w:p>
    <w:p>
      <w:pPr>
        <w:ind w:left="300" w:hanging="292"/>
        <w:spacing w:after="0" w:line="214" w:lineRule="auto"/>
        <w:tabs>
          <w:tab w:leader="none" w:pos="300" w:val="left"/>
        </w:tabs>
        <w:numPr>
          <w:ilvl w:val="0"/>
          <w:numId w:val="85"/>
        </w:numPr>
        <w:rPr>
          <w:rFonts w:ascii="Arial" w:cs="Arial" w:eastAsia="Arial" w:hAnsi="Arial"/>
          <w:sz w:val="21"/>
          <w:szCs w:val="21"/>
          <w:color w:val="auto"/>
          <w:vertAlign w:val="superscript"/>
        </w:rPr>
      </w:pPr>
      <w:r>
        <w:rPr>
          <w:rFonts w:ascii="Arial" w:cs="Arial" w:eastAsia="Arial" w:hAnsi="Arial"/>
          <w:sz w:val="13"/>
          <w:szCs w:val="13"/>
          <w:color w:val="auto"/>
        </w:rPr>
        <w:t>Less than 1%.</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SECTION 16(A) REPORTS</w:t>
      </w:r>
    </w:p>
    <w:p>
      <w:pPr>
        <w:spacing w:after="0" w:line="7"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Pursuant to Section 16(a) of the Securities Exchange Act of 1934 (as amended, the Exchange Act), Occidental’s executive officers, directors and any beneficial owner of more than 10 percent of any class of Occidental’s equity securities are required to file, with the SEC, reports of ownership and changes in ownership of Occidental common stock. Based solely on its review of the copies of the reports filed with the SEC and written representations that no additional reports were required, Occidental believes that, during 2022, all persons required to report timely filed all required reports.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p>
      <w:pPr>
        <w:ind w:right="400"/>
        <w:spacing w:after="0" w:line="286" w:lineRule="auto"/>
        <w:rPr>
          <w:sz w:val="20"/>
          <w:szCs w:val="20"/>
          <w:color w:val="auto"/>
        </w:rPr>
      </w:pPr>
      <w:r>
        <w:rPr>
          <w:rFonts w:ascii="Arial" w:cs="Arial" w:eastAsia="Arial" w:hAnsi="Arial"/>
          <w:sz w:val="45"/>
          <w:szCs w:val="45"/>
          <w:b w:val="1"/>
          <w:bCs w:val="1"/>
          <w:color w:val="00529B"/>
        </w:rPr>
        <w:t>Questions and Answers About the Annual Meeting and Voting</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1. WHY AM I RECEIVING THESE PROXY MATERIALS?</w:t>
      </w:r>
    </w:p>
    <w:p>
      <w:pPr>
        <w:spacing w:after="0" w:line="7"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You are receiving these proxy materials because you held shares of Occidental’s common stock on March 10, 2023, the record date, which entitles you to notice of, and to vote at, Occidental’s 2023 Annual Meeting to be held on May 5, 2023, and at any adjournment or postponement thereof. The proxy materials include our Notice of Internet Availability, Notice of Annual Meeting of Shareholders, Proxy Statement and Annual Report on Form 10-K for the fiscal year ended December 31, 2022. The proxy materials also include the proxy card for the 2023 Annual Meeting. The proxy materials contain detailed information about the matters to be voted on at the 2023 Annual Meeting and provide information about Occidental to assist you in making an informed decision when voting your shares.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Occidental began furnishing the proxy materials to shareholders on March 23, 2023 and will bear all expenses in connection with this solicitation.</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2. WHAT DOES IT MEAN IF I RECEIVE MORE THAN ONE PROXY CARD ON OR ABOUT THE SAME TIME?</w:t>
      </w:r>
    </w:p>
    <w:p>
      <w:pPr>
        <w:spacing w:after="0" w:line="7" w:lineRule="exact"/>
        <w:rPr>
          <w:sz w:val="20"/>
          <w:szCs w:val="20"/>
          <w:color w:val="auto"/>
        </w:rPr>
      </w:pPr>
    </w:p>
    <w:p>
      <w:pPr>
        <w:ind w:right="180"/>
        <w:spacing w:after="0" w:line="244" w:lineRule="auto"/>
        <w:rPr>
          <w:sz w:val="20"/>
          <w:szCs w:val="20"/>
          <w:color w:val="auto"/>
        </w:rPr>
      </w:pPr>
      <w:r>
        <w:rPr>
          <w:rFonts w:ascii="Arial" w:cs="Arial" w:eastAsia="Arial" w:hAnsi="Arial"/>
          <w:sz w:val="15"/>
          <w:szCs w:val="15"/>
          <w:color w:val="auto"/>
        </w:rPr>
        <w:t>It means that your shares are registered differently or are held in more than one account. In order to vote all of your shares, please sign, date and return each proxy card or, if you vote via the Internet or telephone, vote once for each proxy card you receive.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3. WHO IS ENTITLED TO VOTE AT THE MEETING?</w:t>
      </w:r>
    </w:p>
    <w:p>
      <w:pPr>
        <w:spacing w:after="0" w:line="7"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Owners of our common stock as of the close of business on March 10, 2023, the record date, are entitled to vote at the 2023 Annual Meeting. The shares owned include shares you held on that date (i) directly in your name as the shareholder of record (registered shareholder) and (ii) in the name of a broker, bank or other holder of record where the shares were held for you as the beneficial owner (in street name). Each share of common stock is entitled to one vote on each matter. As of the record date, there were 898,115,138 shares of our common stock outstanding and entitled to vote. There are no other voting securities of Occidental entitled to vote at the 2023 Annual Meeting outstanding. A complete list of registered shareholders entitled to vote at the 2023 Annual Meeting will be open to the examination of any shareholder during normal business hours for 10 days prior to the 2023 Annual Meeting at Occidental’s headquarters and during the 2023 Annual Meeting at www.virtualshareholdermeeting.com/OXY2023, accessible using the 16-digit control number included on your Notice of Internet Availability, on your proxy card or in the voting instructions that accompanied your proxy materials.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4. HOW DO I VOTE MY SHARES?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If you are a shareholder of record as of the record date, you may vote by any of the following methods:</w:t>
      </w:r>
    </w:p>
    <w:p>
      <w:pPr>
        <w:spacing w:after="0" w:line="190" w:lineRule="exact"/>
        <w:rPr>
          <w:sz w:val="20"/>
          <w:szCs w:val="20"/>
          <w:color w:val="auto"/>
        </w:rPr>
      </w:pPr>
    </w:p>
    <w:p>
      <w:pPr>
        <w:ind w:left="280" w:right="20" w:hanging="272"/>
        <w:spacing w:after="0" w:line="190" w:lineRule="auto"/>
        <w:tabs>
          <w:tab w:leader="none" w:pos="280" w:val="left"/>
        </w:tabs>
        <w:numPr>
          <w:ilvl w:val="0"/>
          <w:numId w:val="86"/>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Voting by Mail. </w:t>
      </w:r>
      <w:r>
        <w:rPr>
          <w:rFonts w:ascii="Arial" w:cs="Arial" w:eastAsia="Arial" w:hAnsi="Arial"/>
          <w:sz w:val="15"/>
          <w:szCs w:val="15"/>
          <w:color w:val="auto"/>
        </w:rPr>
        <w:t>If you choose to vote by mail, simply complete the enclosed proxy card, date and sign it, and return it in the postage-paid envelope provided. Your</w:t>
      </w:r>
      <w:r>
        <w:rPr>
          <w:rFonts w:ascii="Arial" w:cs="Arial" w:eastAsia="Arial" w:hAnsi="Arial"/>
          <w:sz w:val="15"/>
          <w:szCs w:val="15"/>
          <w:b w:val="1"/>
          <w:bCs w:val="1"/>
          <w:color w:val="auto"/>
        </w:rPr>
        <w:t xml:space="preserve"> </w:t>
      </w:r>
      <w:r>
        <w:rPr>
          <w:rFonts w:ascii="Arial" w:cs="Arial" w:eastAsia="Arial" w:hAnsi="Arial"/>
          <w:sz w:val="15"/>
          <w:szCs w:val="15"/>
          <w:color w:val="auto"/>
        </w:rPr>
        <w:t>shares will be voted in accordance with the instructions on your proxy card.</w:t>
      </w:r>
    </w:p>
    <w:p>
      <w:pPr>
        <w:spacing w:after="0" w:line="121" w:lineRule="exact"/>
        <w:rPr>
          <w:rFonts w:ascii="Arial" w:cs="Arial" w:eastAsia="Arial" w:hAnsi="Arial"/>
          <w:sz w:val="25"/>
          <w:szCs w:val="25"/>
          <w:color w:val="00529B"/>
          <w:vertAlign w:val="superscript"/>
        </w:rPr>
      </w:pPr>
    </w:p>
    <w:p>
      <w:pPr>
        <w:ind w:left="280" w:right="80" w:hanging="272"/>
        <w:spacing w:after="0" w:line="205" w:lineRule="auto"/>
        <w:tabs>
          <w:tab w:leader="none" w:pos="280" w:val="left"/>
        </w:tabs>
        <w:numPr>
          <w:ilvl w:val="0"/>
          <w:numId w:val="86"/>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Voting by Internet. </w:t>
      </w:r>
      <w:r>
        <w:rPr>
          <w:rFonts w:ascii="Arial" w:cs="Arial" w:eastAsia="Arial" w:hAnsi="Arial"/>
          <w:sz w:val="15"/>
          <w:szCs w:val="15"/>
          <w:color w:val="auto"/>
        </w:rPr>
        <w:t>You may vote through the Internet by signing on to the website identified on your proxy card and following the procedures described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website. Internet voting is available 24 hours a day, and the procedures are designed to authenticate votes cast by using a personal identification number located on your proxy card. The procedures permit you to give a proxy to vote your shares and to confirm that your instructions have been properly recorded. If you vote by Internet, you should not return your proxy card.</w:t>
      </w:r>
    </w:p>
    <w:p>
      <w:pPr>
        <w:spacing w:after="0" w:line="122" w:lineRule="exact"/>
        <w:rPr>
          <w:rFonts w:ascii="Arial" w:cs="Arial" w:eastAsia="Arial" w:hAnsi="Arial"/>
          <w:sz w:val="25"/>
          <w:szCs w:val="25"/>
          <w:color w:val="00529B"/>
          <w:vertAlign w:val="superscript"/>
        </w:rPr>
      </w:pPr>
    </w:p>
    <w:p>
      <w:pPr>
        <w:ind w:left="280" w:right="60" w:hanging="272"/>
        <w:spacing w:after="0" w:line="205" w:lineRule="auto"/>
        <w:tabs>
          <w:tab w:leader="none" w:pos="280" w:val="left"/>
        </w:tabs>
        <w:numPr>
          <w:ilvl w:val="0"/>
          <w:numId w:val="86"/>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Voting by Telephone. </w:t>
      </w:r>
      <w:r>
        <w:rPr>
          <w:rFonts w:ascii="Arial" w:cs="Arial" w:eastAsia="Arial" w:hAnsi="Arial"/>
          <w:sz w:val="15"/>
          <w:szCs w:val="15"/>
          <w:color w:val="auto"/>
        </w:rPr>
        <w:t>You may vote your shares by telephone by calling the toll-free telephone number provided on your proxy card. Telephone voting is</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24 hours a day, and the procedures are designed to authenticate votes cast by using a personal identification number located on your proxy card. The procedures permit you to give a proxy to vote your shares and to confirm that your instructions have been properly recorded. If you vote by telephone, you should not return your proxy card.</w:t>
      </w:r>
    </w:p>
    <w:p>
      <w:pPr>
        <w:spacing w:after="0" w:line="122" w:lineRule="exact"/>
        <w:rPr>
          <w:rFonts w:ascii="Arial" w:cs="Arial" w:eastAsia="Arial" w:hAnsi="Arial"/>
          <w:sz w:val="25"/>
          <w:szCs w:val="25"/>
          <w:color w:val="00529B"/>
          <w:vertAlign w:val="superscript"/>
        </w:rPr>
      </w:pPr>
    </w:p>
    <w:p>
      <w:pPr>
        <w:ind w:left="280" w:hanging="272"/>
        <w:spacing w:after="0" w:line="205" w:lineRule="auto"/>
        <w:tabs>
          <w:tab w:leader="none" w:pos="280" w:val="left"/>
        </w:tabs>
        <w:numPr>
          <w:ilvl w:val="0"/>
          <w:numId w:val="86"/>
        </w:numPr>
        <w:rPr>
          <w:rFonts w:ascii="Arial" w:cs="Arial" w:eastAsia="Arial" w:hAnsi="Arial"/>
          <w:sz w:val="25"/>
          <w:szCs w:val="25"/>
          <w:color w:val="00529B"/>
          <w:vertAlign w:val="superscript"/>
        </w:rPr>
      </w:pPr>
      <w:r>
        <w:rPr>
          <w:rFonts w:ascii="Arial" w:cs="Arial" w:eastAsia="Arial" w:hAnsi="Arial"/>
          <w:sz w:val="15"/>
          <w:szCs w:val="15"/>
          <w:b w:val="1"/>
          <w:bCs w:val="1"/>
          <w:color w:val="auto"/>
        </w:rPr>
        <w:t xml:space="preserve">Voting at the Meeting. </w:t>
      </w:r>
      <w:r>
        <w:rPr>
          <w:rFonts w:ascii="Arial" w:cs="Arial" w:eastAsia="Arial" w:hAnsi="Arial"/>
          <w:sz w:val="15"/>
          <w:szCs w:val="15"/>
          <w:color w:val="auto"/>
        </w:rPr>
        <w:t>The 2023 Annual Meeting will be held online. Please have your 16-digit control number on your Notice of Internet Availability, proxy card</w:t>
      </w:r>
      <w:r>
        <w:rPr>
          <w:rFonts w:ascii="Arial" w:cs="Arial" w:eastAsia="Arial" w:hAnsi="Arial"/>
          <w:sz w:val="15"/>
          <w:szCs w:val="15"/>
          <w:b w:val="1"/>
          <w:bCs w:val="1"/>
          <w:color w:val="auto"/>
        </w:rPr>
        <w:t xml:space="preserve"> </w:t>
      </w:r>
      <w:r>
        <w:rPr>
          <w:rFonts w:ascii="Arial" w:cs="Arial" w:eastAsia="Arial" w:hAnsi="Arial"/>
          <w:sz w:val="15"/>
          <w:szCs w:val="15"/>
          <w:color w:val="auto"/>
        </w:rPr>
        <w:t>or in the voting instructions that accompanied your proxy materials to participate in the 2023 Annual Meeting by visiting www.virtualshareholdermeeting.com/OXY2023. You will be able to vote your shares electronically during the 2023 Annual Meeting (other than shares held through our employee benefit plans, which must be voted prior to the meeting).</w:t>
      </w:r>
    </w:p>
    <w:p>
      <w:pPr>
        <w:spacing w:after="0" w:line="178"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auto"/>
        </w:rPr>
        <w:t>If your shares are held in street name, your broker or other nominee has enclosed a proxy card for you to use to direct it how to vote your shares and may also provide additional voting instructions. Please instruct your broker or other nominee how to vote your shares using the form of proxy you received from it or otherwise in accordance with the voting instructions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7432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09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7060"/>
        <w:spacing w:after="0"/>
        <w:rPr>
          <w:sz w:val="20"/>
          <w:szCs w:val="20"/>
          <w:color w:val="auto"/>
        </w:rPr>
      </w:pPr>
      <w:r>
        <w:rPr>
          <w:rFonts w:ascii="Arial" w:cs="Arial" w:eastAsia="Arial" w:hAnsi="Arial"/>
          <w:sz w:val="15"/>
          <w:szCs w:val="15"/>
          <w:color w:val="auto"/>
        </w:rPr>
        <w:t>Questions and Answers About the Annual Meeting and Voting</w:t>
      </w:r>
    </w:p>
    <w:p>
      <w:pPr>
        <w:spacing w:after="0" w:line="206" w:lineRule="exact"/>
        <w:rPr>
          <w:sz w:val="20"/>
          <w:szCs w:val="20"/>
          <w:color w:val="auto"/>
        </w:rPr>
      </w:pPr>
    </w:p>
    <w:p>
      <w:pPr>
        <w:ind w:right="420"/>
        <w:spacing w:after="0" w:line="264" w:lineRule="auto"/>
        <w:rPr>
          <w:sz w:val="20"/>
          <w:szCs w:val="20"/>
          <w:color w:val="auto"/>
        </w:rPr>
      </w:pPr>
      <w:r>
        <w:rPr>
          <w:rFonts w:ascii="Arial" w:cs="Arial" w:eastAsia="Arial" w:hAnsi="Arial"/>
          <w:sz w:val="15"/>
          <w:szCs w:val="15"/>
          <w:color w:val="auto"/>
        </w:rPr>
        <w:t>Please return your completed proxy to your broker or other nominee or contact the person responsible for your account so that your vote can be counted. If your broker or other nominee permits you to provide voting instructions via the Internet or by telephone, you may vote that way as well.</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auto"/>
        </w:rPr>
        <w:t>Voting instructions relating to shares of our common stock held in the Occidental Petroleum Corporation Savings Plan and the Oxy Vinyls Savings Plan must be received no later than 11:59 p.m., Central Time, on the date that is two days prior to the 2023 Annual Meeting, so that the trustee of the plan (who votes the shares on behalf of plan participants) has adequate time to tabulate the voting instructions. Shares held in the Occidental Petroleum Corporation Savings Plan that are not voted or for which the trustee does not receive timely voting instructions will be voted by the trustee as directed by our Pension and Retirement Plan Administrative Committee, and shares held in the Oxy Vinyls Savings Plan that are not voted or for which the trustee does not receive timely voting instructions will be voted by the trustee as directed by the Oxy Vinyls Canada Company Retirement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5. CAN I REVOKE MY PROXY OR CHANGE MY VOTE?</w:t>
      </w:r>
    </w:p>
    <w:p>
      <w:pPr>
        <w:spacing w:after="0" w:line="7"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Yes. You may revoke your proxy or change your vote before the 2023 Annual Meeting by filing a revocation with the Corporate Secretary of Occidental, by granting a new proxy bearing a later date (which automatically revokes the earlier proxy) whether made via the Internet, by telephone or by mail, or by attending the 2023 Annual Meeting virtually and voting online during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If you hold your shares in street name, you may change your vote by contacting your broker or other nominee and following their instructions.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6. HOW WILL MY SHARES BE VOTED IF I SUBMIT A PROXY CARD BUT DO NOT SPECIFY HOW I WANT TO VOTE?</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If you sign your proxy card and return it without marking voting instructions, your shares will be voted at the 2023 Annual Meeting:</w:t>
      </w:r>
    </w:p>
    <w:p>
      <w:pPr>
        <w:spacing w:after="0" w:line="104" w:lineRule="exact"/>
        <w:rPr>
          <w:sz w:val="20"/>
          <w:szCs w:val="20"/>
          <w:color w:val="auto"/>
        </w:rPr>
      </w:pPr>
    </w:p>
    <w:p>
      <w:pPr>
        <w:ind w:left="280" w:hanging="272"/>
        <w:spacing w:after="0"/>
        <w:tabs>
          <w:tab w:leader="none" w:pos="280" w:val="left"/>
        </w:tabs>
        <w:numPr>
          <w:ilvl w:val="0"/>
          <w:numId w:val="87"/>
        </w:numPr>
        <w:rPr>
          <w:rFonts w:ascii="Arial" w:cs="Arial" w:eastAsia="Arial" w:hAnsi="Arial"/>
          <w:sz w:val="25"/>
          <w:szCs w:val="25"/>
          <w:color w:val="00529B"/>
          <w:vertAlign w:val="superscript"/>
        </w:rPr>
      </w:pPr>
      <w:r>
        <w:rPr>
          <w:rFonts w:ascii="Arial" w:cs="Arial" w:eastAsia="Arial" w:hAnsi="Arial"/>
          <w:sz w:val="15"/>
          <w:szCs w:val="15"/>
          <w:color w:val="auto"/>
        </w:rPr>
        <w:t>“FOR” the election of all director nominees (Proposal 1);</w:t>
      </w:r>
    </w:p>
    <w:p>
      <w:pPr>
        <w:spacing w:after="0" w:line="135" w:lineRule="exact"/>
        <w:rPr>
          <w:rFonts w:ascii="Arial" w:cs="Arial" w:eastAsia="Arial" w:hAnsi="Arial"/>
          <w:sz w:val="25"/>
          <w:szCs w:val="25"/>
          <w:color w:val="00529B"/>
          <w:vertAlign w:val="superscript"/>
        </w:rPr>
      </w:pPr>
    </w:p>
    <w:p>
      <w:pPr>
        <w:ind w:left="280" w:hanging="272"/>
        <w:spacing w:after="0" w:line="186" w:lineRule="auto"/>
        <w:tabs>
          <w:tab w:leader="none" w:pos="280" w:val="left"/>
        </w:tabs>
        <w:numPr>
          <w:ilvl w:val="0"/>
          <w:numId w:val="87"/>
        </w:numPr>
        <w:rPr>
          <w:rFonts w:ascii="Arial" w:cs="Arial" w:eastAsia="Arial" w:hAnsi="Arial"/>
          <w:sz w:val="21"/>
          <w:szCs w:val="21"/>
          <w:color w:val="00529B"/>
          <w:vertAlign w:val="superscript"/>
        </w:rPr>
      </w:pPr>
      <w:r>
        <w:rPr>
          <w:rFonts w:ascii="Arial" w:cs="Arial" w:eastAsia="Arial" w:hAnsi="Arial"/>
          <w:sz w:val="13"/>
          <w:szCs w:val="13"/>
          <w:color w:val="auto"/>
        </w:rPr>
        <w:t>“ONE YEAR” for Proposal 2;</w:t>
      </w:r>
    </w:p>
    <w:p>
      <w:pPr>
        <w:spacing w:after="0" w:line="136" w:lineRule="exact"/>
        <w:rPr>
          <w:rFonts w:ascii="Arial" w:cs="Arial" w:eastAsia="Arial" w:hAnsi="Arial"/>
          <w:sz w:val="21"/>
          <w:szCs w:val="21"/>
          <w:color w:val="00529B"/>
          <w:vertAlign w:val="superscript"/>
        </w:rPr>
      </w:pPr>
    </w:p>
    <w:p>
      <w:pPr>
        <w:ind w:left="280" w:hanging="272"/>
        <w:spacing w:after="0" w:line="186" w:lineRule="auto"/>
        <w:tabs>
          <w:tab w:leader="none" w:pos="280" w:val="left"/>
        </w:tabs>
        <w:numPr>
          <w:ilvl w:val="0"/>
          <w:numId w:val="87"/>
        </w:numPr>
        <w:rPr>
          <w:rFonts w:ascii="Arial" w:cs="Arial" w:eastAsia="Arial" w:hAnsi="Arial"/>
          <w:sz w:val="21"/>
          <w:szCs w:val="21"/>
          <w:color w:val="00529B"/>
          <w:vertAlign w:val="superscript"/>
        </w:rPr>
      </w:pPr>
      <w:r>
        <w:rPr>
          <w:rFonts w:ascii="Arial" w:cs="Arial" w:eastAsia="Arial" w:hAnsi="Arial"/>
          <w:sz w:val="13"/>
          <w:szCs w:val="13"/>
          <w:color w:val="auto"/>
        </w:rPr>
        <w:t>“FOR” Proposal 3;</w:t>
      </w:r>
    </w:p>
    <w:p>
      <w:pPr>
        <w:spacing w:after="0" w:line="136" w:lineRule="exact"/>
        <w:rPr>
          <w:rFonts w:ascii="Arial" w:cs="Arial" w:eastAsia="Arial" w:hAnsi="Arial"/>
          <w:sz w:val="21"/>
          <w:szCs w:val="21"/>
          <w:color w:val="00529B"/>
          <w:vertAlign w:val="superscript"/>
        </w:rPr>
      </w:pPr>
    </w:p>
    <w:p>
      <w:pPr>
        <w:ind w:left="280" w:hanging="272"/>
        <w:spacing w:after="0" w:line="186" w:lineRule="auto"/>
        <w:tabs>
          <w:tab w:leader="none" w:pos="280" w:val="left"/>
        </w:tabs>
        <w:numPr>
          <w:ilvl w:val="0"/>
          <w:numId w:val="87"/>
        </w:numPr>
        <w:rPr>
          <w:rFonts w:ascii="Arial" w:cs="Arial" w:eastAsia="Arial" w:hAnsi="Arial"/>
          <w:sz w:val="21"/>
          <w:szCs w:val="21"/>
          <w:color w:val="00529B"/>
          <w:vertAlign w:val="superscript"/>
        </w:rPr>
      </w:pPr>
      <w:r>
        <w:rPr>
          <w:rFonts w:ascii="Arial" w:cs="Arial" w:eastAsia="Arial" w:hAnsi="Arial"/>
          <w:sz w:val="13"/>
          <w:szCs w:val="13"/>
          <w:color w:val="auto"/>
        </w:rPr>
        <w:t>“FOR” Proposal 4;</w:t>
      </w:r>
    </w:p>
    <w:p>
      <w:pPr>
        <w:spacing w:after="0" w:line="136" w:lineRule="exact"/>
        <w:rPr>
          <w:rFonts w:ascii="Arial" w:cs="Arial" w:eastAsia="Arial" w:hAnsi="Arial"/>
          <w:sz w:val="21"/>
          <w:szCs w:val="21"/>
          <w:color w:val="00529B"/>
          <w:vertAlign w:val="superscript"/>
        </w:rPr>
      </w:pPr>
    </w:p>
    <w:p>
      <w:pPr>
        <w:ind w:left="280" w:hanging="272"/>
        <w:spacing w:after="0" w:line="186" w:lineRule="auto"/>
        <w:tabs>
          <w:tab w:leader="none" w:pos="280" w:val="left"/>
        </w:tabs>
        <w:numPr>
          <w:ilvl w:val="0"/>
          <w:numId w:val="87"/>
        </w:numPr>
        <w:rPr>
          <w:rFonts w:ascii="Arial" w:cs="Arial" w:eastAsia="Arial" w:hAnsi="Arial"/>
          <w:sz w:val="21"/>
          <w:szCs w:val="21"/>
          <w:color w:val="00529B"/>
          <w:vertAlign w:val="superscript"/>
        </w:rPr>
      </w:pPr>
      <w:r>
        <w:rPr>
          <w:rFonts w:ascii="Arial" w:cs="Arial" w:eastAsia="Arial" w:hAnsi="Arial"/>
          <w:sz w:val="13"/>
          <w:szCs w:val="13"/>
          <w:color w:val="auto"/>
        </w:rPr>
        <w:t>“AGAINST” Proposal 5; and</w:t>
      </w:r>
    </w:p>
    <w:p>
      <w:pPr>
        <w:spacing w:after="0" w:line="136" w:lineRule="exact"/>
        <w:rPr>
          <w:rFonts w:ascii="Arial" w:cs="Arial" w:eastAsia="Arial" w:hAnsi="Arial"/>
          <w:sz w:val="21"/>
          <w:szCs w:val="21"/>
          <w:color w:val="00529B"/>
          <w:vertAlign w:val="superscript"/>
        </w:rPr>
      </w:pPr>
    </w:p>
    <w:p>
      <w:pPr>
        <w:ind w:left="280" w:right="880" w:hanging="272"/>
        <w:spacing w:after="0" w:line="182" w:lineRule="auto"/>
        <w:tabs>
          <w:tab w:leader="none" w:pos="280" w:val="left"/>
        </w:tabs>
        <w:numPr>
          <w:ilvl w:val="0"/>
          <w:numId w:val="87"/>
        </w:numPr>
        <w:rPr>
          <w:rFonts w:ascii="Arial" w:cs="Arial" w:eastAsia="Arial" w:hAnsi="Arial"/>
          <w:sz w:val="25"/>
          <w:szCs w:val="25"/>
          <w:color w:val="00529B"/>
          <w:vertAlign w:val="superscript"/>
        </w:rPr>
      </w:pPr>
      <w:r>
        <w:rPr>
          <w:rFonts w:ascii="Arial" w:cs="Arial" w:eastAsia="Arial" w:hAnsi="Arial"/>
          <w:sz w:val="15"/>
          <w:szCs w:val="15"/>
          <w:color w:val="auto"/>
        </w:rPr>
        <w:t>in the discretion of the persons named as proxies on all other matters that may properly come before the 2023 Annual Meeting or any adjournment or postponement thereof.</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7. HOW CAN I ATTEND THE 2023 ANNUAL MEETING?</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We have decided to hold the 2023 Annual Meeting solely by means of virtual communications.</w:t>
      </w:r>
    </w:p>
    <w:p>
      <w:pPr>
        <w:spacing w:after="0" w:line="192" w:lineRule="exact"/>
        <w:rPr>
          <w:sz w:val="20"/>
          <w:szCs w:val="20"/>
          <w:color w:val="auto"/>
        </w:rPr>
      </w:pPr>
    </w:p>
    <w:p>
      <w:pPr>
        <w:jc w:val="both"/>
        <w:ind w:right="160"/>
        <w:spacing w:after="0" w:line="238" w:lineRule="auto"/>
        <w:rPr>
          <w:sz w:val="20"/>
          <w:szCs w:val="20"/>
          <w:color w:val="auto"/>
        </w:rPr>
      </w:pPr>
      <w:r>
        <w:rPr>
          <w:rFonts w:ascii="Arial" w:cs="Arial" w:eastAsia="Arial" w:hAnsi="Arial"/>
          <w:sz w:val="15"/>
          <w:szCs w:val="15"/>
          <w:color w:val="auto"/>
        </w:rPr>
        <w:t>You may participate in the 2023 Annual Meeting only if you were a shareholder as of March 10, 2023, the record date, or if you hold a valid proxy. You will be able to participate in the 2023 Annual Meeting online and submit your questions during the meeting by visiting www.virtualshareholdermeeting.com/OXY2023. You also will be able to vote your shares electronically during the 2023 Annual Meeting (other than shares held through our employee benefit plans, which must be voted prior to the meeting).</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To participate in the 2023 Annual Meeting, you will need the 16-digit control number included on your Notice of Internet Availability, on your proxy card or in the voting instructions that accompanied your proxy materials. If your shares are held in street name and your voting instruction form indicates that you may vote those shares through the http://www.proxyvote.com website, then you may access and participate in the 2023 Annual Meeting with the 16-digit access code indicated on that voting instruction form. Otherwise, shareholders who hold their shares in street name should contact their bank, broker or other nominee (preferably at least five days before the annual meeting) and obtain a “legal proxy” in order to be able to attend, participate in or vote at the 2023 Annual Meeting.</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The 2023 Annual Meeting webcast will begin promptly at 9:00 a.m., Central Time. We encourage you to access the meeting prior to the start time. Online check-in will begin at 8:30 a.m., Central Time, and you should allow ample time for the check-in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8. WHAT IF I HAVE TECHNICAL DIFFICULTIES DURING CHECK-IN OR THE MEETING?</w:t>
      </w:r>
    </w:p>
    <w:p>
      <w:pPr>
        <w:spacing w:after="0" w:line="7"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We will have technicians ready to assist you if you have any technical difficulties during check-in or the meeting. If you encounter any difficulties accessing the virtual meeting during the check-in or meeting time, please call the technical support number that will be posted on the virtual meeting log in page.</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Questions and Answers About the Annual Meeting and Voting</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9. WHAT CONSTITUTES A QUORUM AT THE 2023 ANNUAL MEETING?</w:t>
      </w:r>
    </w:p>
    <w:p>
      <w:pPr>
        <w:spacing w:after="0" w:line="7" w:lineRule="exact"/>
        <w:rPr>
          <w:sz w:val="20"/>
          <w:szCs w:val="20"/>
          <w:color w:val="auto"/>
        </w:rPr>
      </w:pPr>
    </w:p>
    <w:p>
      <w:pPr>
        <w:ind w:right="20"/>
        <w:spacing w:after="0"/>
        <w:rPr>
          <w:sz w:val="20"/>
          <w:szCs w:val="20"/>
          <w:color w:val="auto"/>
        </w:rPr>
      </w:pPr>
      <w:r>
        <w:rPr>
          <w:rFonts w:ascii="Arial" w:cs="Arial" w:eastAsia="Arial" w:hAnsi="Arial"/>
          <w:sz w:val="15"/>
          <w:szCs w:val="15"/>
          <w:color w:val="auto"/>
        </w:rPr>
        <w:t>A majority of all outstanding shares entitled to vote at the 2023 Annual Meeting will constitute a quorum, which is the minimum number of shares that must be present or represented by proxy at the meeting to transact business. Abstentions and broker non-votes will be counted for purposes of determining whether a quorum is present.</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10. WHAT IS THE VOTING REQUIREMENT TO APPROVE EACH OF THE PROPOSALS?</w:t>
      </w:r>
    </w:p>
    <w:p>
      <w:pPr>
        <w:spacing w:after="0" w:line="7"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Proposal 1 will be subject to a majority voting standard because the By-laws provide that in an uncontested election, directors are elected by the majority of votes cast with respect to such director, meaning that the number of votes cast “FOR” a director must exceed the number of votes cast “AGAINST” that director. You may vote “FOR” or “AGAINST” or “ABSTAIN” when voting for each of the directors. Your broker may not vote your shares on this proposal unless you give voting instructions. Abstentions and broker non-votes have no effect on the vote.</w:t>
      </w:r>
    </w:p>
    <w:p>
      <w:pPr>
        <w:spacing w:after="0" w:line="180" w:lineRule="exact"/>
        <w:rPr>
          <w:sz w:val="20"/>
          <w:szCs w:val="20"/>
          <w:color w:val="auto"/>
        </w:rPr>
      </w:pPr>
    </w:p>
    <w:p>
      <w:pPr>
        <w:ind w:right="280"/>
        <w:spacing w:after="0" w:line="244" w:lineRule="auto"/>
        <w:rPr>
          <w:sz w:val="20"/>
          <w:szCs w:val="20"/>
          <w:color w:val="auto"/>
        </w:rPr>
      </w:pPr>
      <w:r>
        <w:rPr>
          <w:rFonts w:ascii="Arial" w:cs="Arial" w:eastAsia="Arial" w:hAnsi="Arial"/>
          <w:sz w:val="15"/>
          <w:szCs w:val="15"/>
          <w:color w:val="auto"/>
        </w:rPr>
        <w:t>Proposal 2 requires the affirmative vote of a majority of the shares present in person or by proxy at the 2023 Annual Meeting and entitled to vote on the subject matter. If none of the alternatives receives a majority vote, the frequency receiving the highest number of votes will be the frequency selected by shareholders. Abstentions have the same effect as votes cast “AGAINST” each of the frequency options of the proposal and broker non-votes, if any, have no effect on the vote.</w:t>
      </w:r>
    </w:p>
    <w:p>
      <w:pPr>
        <w:spacing w:after="0" w:line="176" w:lineRule="exact"/>
        <w:rPr>
          <w:sz w:val="20"/>
          <w:szCs w:val="20"/>
          <w:color w:val="auto"/>
        </w:rPr>
      </w:pPr>
    </w:p>
    <w:p>
      <w:pPr>
        <w:ind w:right="420"/>
        <w:spacing w:after="0" w:line="244" w:lineRule="auto"/>
        <w:rPr>
          <w:sz w:val="20"/>
          <w:szCs w:val="20"/>
          <w:color w:val="auto"/>
        </w:rPr>
      </w:pPr>
      <w:r>
        <w:rPr>
          <w:rFonts w:ascii="Arial" w:cs="Arial" w:eastAsia="Arial" w:hAnsi="Arial"/>
          <w:sz w:val="15"/>
          <w:szCs w:val="15"/>
          <w:color w:val="auto"/>
        </w:rPr>
        <w:t>Proposals 3, 4 and 5 require the affirmative vote of a majority of the shares present in person or by proxy at the 2023 Annual Meeting and entitled to vote on the subject matter. You may vote “FOR” or “AGAINST” or “ABSTAIN” when voting for each of these proposals. Abstentions will have the same effect as votes cast “AGAINST” each such proposal and broker non-votes, if any, have no effect on the vote.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11. WHAT HAPPENS IF I HOLD SHARES IN STREET NAME AND DO NOT SUBMIT VOTING INSTRUCTIONS? WHAT IS A BROKER NON-VOTE?</w:t>
      </w:r>
    </w:p>
    <w:p>
      <w:pPr>
        <w:spacing w:after="0" w:line="7"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If your shares are held in street name, under NYSE rules, brokers are not permitted to vote on certain proposals and may not vote on any of the proposals unless you provide voting instructions. Therefore, unless you provide specific voting instructions, your shares may not be represented or voted at the meeting.</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 broker non-vote occurs when a broker or other nominee holding shares for a beneficial owner does not vote on a particular proposal because the broker or nominee does not have discretionary voting power for that particular item (or has discretionary voting power but chooses not to exercise it) and has not received instructions from the beneficial owner. Under the NYSE rules that govern brokers who are voting with respect to shares held in street name, if brokers do not receive specific instructions, brokers may in some cases vote the shares in their discretion, but are not permitted to vote on certain proposals and may elect not to vote on any of the proposals unless you provide voting instructions.</w:t>
      </w:r>
    </w:p>
    <w:p>
      <w:pPr>
        <w:spacing w:after="0" w:line="186" w:lineRule="exact"/>
        <w:rPr>
          <w:sz w:val="20"/>
          <w:szCs w:val="20"/>
          <w:color w:val="auto"/>
        </w:rPr>
      </w:pPr>
    </w:p>
    <w:p>
      <w:pPr>
        <w:ind w:right="2820" w:firstLine="8"/>
        <w:spacing w:after="0" w:line="268" w:lineRule="auto"/>
        <w:tabs>
          <w:tab w:leader="none" w:pos="240" w:val="left"/>
        </w:tabs>
        <w:numPr>
          <w:ilvl w:val="0"/>
          <w:numId w:val="88"/>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IS THE EFFECTIVENESS OF ANY OF THE PROPOSALS CONDITIONED ON THE APPROVAL OF ANOTHER PROPOSAL? </w:t>
      </w:r>
      <w:r>
        <w:rPr>
          <w:rFonts w:ascii="Arial" w:cs="Arial" w:eastAsia="Arial" w:hAnsi="Arial"/>
          <w:sz w:val="15"/>
          <w:szCs w:val="15"/>
          <w:color w:val="000000"/>
        </w:rPr>
        <w:t>None of the proposals recommended to be adopted by the Board are conditioned on the approval of another proposal.</w:t>
      </w:r>
    </w:p>
    <w:p>
      <w:pPr>
        <w:spacing w:after="0" w:line="167" w:lineRule="exact"/>
        <w:rPr>
          <w:rFonts w:ascii="Arial" w:cs="Arial" w:eastAsia="Arial" w:hAnsi="Arial"/>
          <w:sz w:val="14"/>
          <w:szCs w:val="14"/>
          <w:b w:val="1"/>
          <w:bCs w:val="1"/>
          <w:color w:val="00529B"/>
        </w:rPr>
      </w:pPr>
    </w:p>
    <w:p>
      <w:pPr>
        <w:ind w:left="240" w:hanging="232"/>
        <w:spacing w:after="0"/>
        <w:tabs>
          <w:tab w:leader="none" w:pos="240" w:val="left"/>
        </w:tabs>
        <w:numPr>
          <w:ilvl w:val="0"/>
          <w:numId w:val="88"/>
        </w:numPr>
        <w:rPr>
          <w:rFonts w:ascii="Arial" w:cs="Arial" w:eastAsia="Arial" w:hAnsi="Arial"/>
          <w:sz w:val="14"/>
          <w:szCs w:val="14"/>
          <w:b w:val="1"/>
          <w:bCs w:val="1"/>
          <w:color w:val="00529B"/>
        </w:rPr>
      </w:pPr>
      <w:r>
        <w:rPr>
          <w:rFonts w:ascii="Arial" w:cs="Arial" w:eastAsia="Arial" w:hAnsi="Arial"/>
          <w:sz w:val="14"/>
          <w:szCs w:val="14"/>
          <w:b w:val="1"/>
          <w:bCs w:val="1"/>
          <w:color w:val="00529B"/>
        </w:rPr>
        <w:t>HOW CAN I ASK QUESTIONS DURING THE 2023 ANNUAL MEETING?</w:t>
      </w:r>
    </w:p>
    <w:p>
      <w:pPr>
        <w:spacing w:after="0" w:line="7"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As part of the 2023 Annual Meeting, we will hold a live question and answer session, during which we intend, time permitting, to answer all written questions pertinent to Occidental and meeting matters that are submitted before or during the meeting in accordance with the 2023 Annual Meeting’s Rules of Conduct, which will be posted on the 2023 Annual Meeting website. Questions may be submitted the day of or during the 2023 Annual Meeting through www.virtualshareholdermeeting.com/ OXY2023. Answers to questions that are not addressed during the meeting are expected to be published on our Investor Relations website shortly after the meeting. Questions and answers may be grouped by topic and substantially similar questions will be grouped and answered once. We reserve the right to edit or reject questions we deem inappropriate.</w:t>
      </w:r>
    </w:p>
    <w:p>
      <w:pPr>
        <w:spacing w:after="0" w:line="186" w:lineRule="exact"/>
        <w:rPr>
          <w:sz w:val="20"/>
          <w:szCs w:val="20"/>
          <w:color w:val="auto"/>
        </w:rPr>
      </w:pPr>
    </w:p>
    <w:p>
      <w:pPr>
        <w:ind w:right="320" w:firstLine="8"/>
        <w:spacing w:after="0" w:line="245" w:lineRule="auto"/>
        <w:tabs>
          <w:tab w:leader="none" w:pos="240" w:val="left"/>
        </w:tabs>
        <w:numPr>
          <w:ilvl w:val="0"/>
          <w:numId w:val="89"/>
        </w:numPr>
        <w:rPr>
          <w:rFonts w:ascii="Arial" w:cs="Arial" w:eastAsia="Arial" w:hAnsi="Arial"/>
          <w:sz w:val="14"/>
          <w:szCs w:val="14"/>
          <w:b w:val="1"/>
          <w:bCs w:val="1"/>
          <w:color w:val="00529B"/>
        </w:rPr>
      </w:pPr>
      <w:r>
        <w:rPr>
          <w:rFonts w:ascii="Arial" w:cs="Arial" w:eastAsia="Arial" w:hAnsi="Arial"/>
          <w:sz w:val="14"/>
          <w:szCs w:val="14"/>
          <w:b w:val="1"/>
          <w:bCs w:val="1"/>
          <w:color w:val="00529B"/>
        </w:rPr>
        <w:t>WHO SHOULD I CONTACT IF I HAVE ANY QUESTIONS OR NEED ASSISTANCE IN VOTING MY SHARES, OR IF I NEED ADDITIONAL COPIES OF THE PROXY MATERIALS?</w:t>
      </w:r>
    </w:p>
    <w:p>
      <w:pPr>
        <w:spacing w:after="0" w:line="1" w:lineRule="exact"/>
        <w:rPr>
          <w:rFonts w:ascii="Arial" w:cs="Arial" w:eastAsia="Arial" w:hAnsi="Arial"/>
          <w:sz w:val="14"/>
          <w:szCs w:val="14"/>
          <w:b w:val="1"/>
          <w:bCs w:val="1"/>
          <w:color w:val="00529B"/>
        </w:rPr>
      </w:pPr>
    </w:p>
    <w:p>
      <w:pPr>
        <w:spacing w:after="0"/>
        <w:rPr>
          <w:rFonts w:ascii="Arial" w:cs="Arial" w:eastAsia="Arial" w:hAnsi="Arial"/>
          <w:sz w:val="14"/>
          <w:szCs w:val="14"/>
          <w:b w:val="1"/>
          <w:bCs w:val="1"/>
          <w:color w:val="00529B"/>
        </w:rPr>
      </w:pPr>
      <w:r>
        <w:rPr>
          <w:rFonts w:ascii="Arial" w:cs="Arial" w:eastAsia="Arial" w:hAnsi="Arial"/>
          <w:sz w:val="15"/>
          <w:szCs w:val="15"/>
          <w:color w:val="auto"/>
        </w:rPr>
        <w:t>If you have any questions, please contact Alliance Advisors, Occidental’s proxy solicitor, toll-free at 844-885-0175 or by email at oxy@allianceadvisors.com.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27432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General Information</w:t>
      </w:r>
    </w:p>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This proxy statement is furnished in connection with the solicitation of proxies by the Board of Directors of Occidental Petroleum Corporation, a Delaware corporation, for use at the Annual Meeting of Shareholders on May 5, 2023, and at any adjournment or postponement of the meeting.</w:t>
      </w:r>
    </w:p>
    <w:p>
      <w:pPr>
        <w:spacing w:after="0" w:line="14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Available Online</w:t>
      </w:r>
    </w:p>
    <w:p>
      <w:pPr>
        <w:spacing w:after="0" w:line="241"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Occidental’s Corporate Governance Policies and other governance policies, its Code of Business Conduct and the charters of the Board’s committees are available at www.oxy.com/investors/governance, or by writing to the Corporate Secretary’s office, Occidental Petroleum Corporation, 5 Greenway Plaza, Suite 110, Houston, Texas 77046.</w:t>
      </w:r>
    </w:p>
    <w:p>
      <w:pPr>
        <w:spacing w:after="0" w:line="156" w:lineRule="exact"/>
        <w:rPr>
          <w:sz w:val="20"/>
          <w:szCs w:val="20"/>
          <w:color w:val="auto"/>
        </w:rPr>
      </w:pPr>
    </w:p>
    <w:p>
      <w:pPr>
        <w:ind w:right="60"/>
        <w:spacing w:after="0" w:line="290" w:lineRule="auto"/>
        <w:rPr>
          <w:sz w:val="20"/>
          <w:szCs w:val="20"/>
          <w:color w:val="auto"/>
        </w:rPr>
      </w:pPr>
      <w:r>
        <w:rPr>
          <w:rFonts w:ascii="Arial" w:cs="Arial" w:eastAsia="Arial" w:hAnsi="Arial"/>
          <w:sz w:val="36"/>
          <w:szCs w:val="36"/>
          <w:b w:val="1"/>
          <w:bCs w:val="1"/>
          <w:color w:val="auto"/>
        </w:rPr>
        <w:t>Important Notice Regarding the Availability of Proxy Materials for the Shareholder Meeting to Be Held on May 5, 2023</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This proxy statement and Occidental’s Annual Report on Form 10-K for the fiscal year ended December 31, 2022 are available without charge on Occidental’s website or by writing to the Corporate Secretary’s office at the address above. The Annual Report contains the consolidated financial statements of Occidental and its subsidiaries and the reports of KPMG LLP, Occidental’s independent auditor.</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Householding of Proxy Materials</w:t>
      </w:r>
    </w:p>
    <w:p>
      <w:pPr>
        <w:spacing w:after="0" w:line="239" w:lineRule="exact"/>
        <w:rPr>
          <w:sz w:val="20"/>
          <w:szCs w:val="20"/>
          <w:color w:val="auto"/>
        </w:rPr>
      </w:pPr>
    </w:p>
    <w:p>
      <w:pPr>
        <w:jc w:val="both"/>
        <w:ind w:right="220"/>
        <w:spacing w:after="0" w:line="244" w:lineRule="auto"/>
        <w:rPr>
          <w:sz w:val="20"/>
          <w:szCs w:val="20"/>
          <w:color w:val="auto"/>
        </w:rPr>
      </w:pPr>
      <w:r>
        <w:rPr>
          <w:rFonts w:ascii="Arial" w:cs="Arial" w:eastAsia="Arial" w:hAnsi="Arial"/>
          <w:sz w:val="15"/>
          <w:szCs w:val="15"/>
          <w:color w:val="auto"/>
        </w:rPr>
        <w:t>The SEC permits Occidental, with your permission, to send a single set of proxy materials to any household at which two or more shareholders reside if Occidental believes they are members of the same family. This rule is called “householding” and its purpose is to help reduce printing and mailing costs of proxy materials. To date, the company has not instituted this procedure, but may do so in the future.</w:t>
      </w:r>
    </w:p>
    <w:p>
      <w:pPr>
        <w:spacing w:after="0" w:line="176"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A number of brokerage firms have instituted householding. If you and members of your household have multiple accounts holding shares of Occidental’s common stock, you may have received a householding notification from your broker. Please contact your broker directly if you have questions or wish to revoke your decision to household. These options are available to you at any time. If you receive a single set of proxy materials as a result of householding by your broker and you would like to receive separate copies of the Notice of Internet Availability, the Notice of Annual Meeting of Shareholders, Proxy Statement or Annual Report, you may submit a request to our Corporate Secretary at the address above, or by calling the Corporate Secretary’s office at 713-552-8654.</w:t>
      </w:r>
    </w:p>
    <w:p>
      <w:pPr>
        <w:spacing w:after="0" w:line="15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Voting Instructions and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Voting Rights</w:t>
      </w:r>
    </w:p>
    <w:p>
      <w:pPr>
        <w:spacing w:after="0" w:line="239"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A Notice of Internet Availability or proxy card is being mailed beginning on March 23, 2023, to each shareholder of record as of the close of business on March 10, 2023, which is the record date for the determination of shareholders entitled to receive notice of, attend and vote at the 2023 Annual Meeting. As of the record date, Occidental had 898,115,138 shares of common stock outstanding. A majority of the outstanding shares of common stock must be represented at the 2023 Annual Meeting, in person or by proxy, to constitute a quorum and to transact business. Abstentions and broker non-votes will be counted for purposes of determining whether a quorum is present. You will have one vote for each share of Occidental’s common stock you own. You may vote online during the 2023 Annual Meeting or by proxy. Proxies may be submitted by telephone or by Internet at www.proxyvote.com as explained on the Notice of Internet Availability and, if you received a proxy card or voting information form, by marking, signing and returning the card in the envelope provided. Voting via the Internet is a valid proxy voting method under the laws of the state of Delaware, Occidental’s state of incorporation. You may not cumulate your votes.</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General Information</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auto"/>
        </w:rPr>
        <w:t>Pursuant to Occidental’s By-laws, a complete list of registered shareholders entitled to vote at the 2023 Annual Meeting will be open to the examination of any shareholder during normal business hours for 10 days prior to the 2023 Annual Meeting at Occidental’s headquarters and during the 2023 Annual Meeting at www.virtualshareholdermeeting.com/OXY2023, accessible using the 16-digit control number included on your Notice of Internet Availability, on your proxy card or in the voting instructions that accompanied your proxy materials.</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Director Election Requirements</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Pursuant to Occidental’s By-laws, in an uncontested election, directors are elected by the majority of votes cast with respect to such director, meaning that the number of votes cast “FOR” a director must exceed the number of votes cast “AGAINST” that director. Your broker may not vote your shares on this proposal unless you give voting instructions. Abstentions and broker non-votes, if any, have no effect on the vote. Any director who receives a greater number of votes “AGAINST” his or her election than votes “FOR” in an uncontested election must tender his or her resignation. Unless accepted earlier by the Board, such resignation will become effective on October 31st of the year of the election.</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Voting of Proxies</w:t>
      </w:r>
    </w:p>
    <w:p>
      <w:pPr>
        <w:spacing w:after="0" w:line="239" w:lineRule="exact"/>
        <w:rPr>
          <w:sz w:val="20"/>
          <w:szCs w:val="20"/>
          <w:color w:val="auto"/>
        </w:rPr>
      </w:pPr>
    </w:p>
    <w:p>
      <w:pPr>
        <w:ind w:right="180"/>
        <w:spacing w:after="0" w:line="244" w:lineRule="auto"/>
        <w:rPr>
          <w:sz w:val="20"/>
          <w:szCs w:val="20"/>
          <w:color w:val="auto"/>
        </w:rPr>
      </w:pPr>
      <w:r>
        <w:rPr>
          <w:rFonts w:ascii="Arial" w:cs="Arial" w:eastAsia="Arial" w:hAnsi="Arial"/>
          <w:sz w:val="15"/>
          <w:szCs w:val="15"/>
          <w:color w:val="auto"/>
        </w:rPr>
        <w:t>The Board of Directors has designated Mses. Hollub and Clark, and each of them, with the full power of substitution, to vote shares represented by all properly executed proxies. The shares will be voted in accordance with the instructions specified on the proxy card. If no instructions are specified on the proxy card or if you indicate when voting on the Internet or by telephone that you wish to vote as recommended by the Board, the shares will be voted:</w:t>
      </w:r>
    </w:p>
    <w:p>
      <w:pPr>
        <w:spacing w:after="0" w:line="89"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25"/>
          <w:szCs w:val="25"/>
          <w:color w:val="00529B"/>
          <w:vertAlign w:val="superscript"/>
        </w:rPr>
      </w:pPr>
      <w:r>
        <w:rPr>
          <w:rFonts w:ascii="Arial" w:cs="Arial" w:eastAsia="Arial" w:hAnsi="Arial"/>
          <w:sz w:val="15"/>
          <w:szCs w:val="15"/>
          <w:color w:val="auto"/>
        </w:rPr>
        <w:t>“FOR” all director nominees (see page 14);</w:t>
      </w:r>
    </w:p>
    <w:p>
      <w:pPr>
        <w:spacing w:after="0" w:line="135" w:lineRule="exact"/>
        <w:rPr>
          <w:rFonts w:ascii="Arial" w:cs="Arial" w:eastAsia="Arial" w:hAnsi="Arial"/>
          <w:sz w:val="25"/>
          <w:szCs w:val="25"/>
          <w:color w:val="00529B"/>
          <w:vertAlign w:val="superscript"/>
        </w:rPr>
      </w:pPr>
    </w:p>
    <w:p>
      <w:pPr>
        <w:ind w:left="280" w:hanging="272"/>
        <w:spacing w:after="0" w:line="186" w:lineRule="auto"/>
        <w:tabs>
          <w:tab w:leader="none" w:pos="280" w:val="left"/>
        </w:tabs>
        <w:numPr>
          <w:ilvl w:val="0"/>
          <w:numId w:val="90"/>
        </w:numPr>
        <w:rPr>
          <w:rFonts w:ascii="Arial" w:cs="Arial" w:eastAsia="Arial" w:hAnsi="Arial"/>
          <w:sz w:val="21"/>
          <w:szCs w:val="21"/>
          <w:color w:val="00529B"/>
          <w:vertAlign w:val="superscript"/>
        </w:rPr>
      </w:pPr>
      <w:r>
        <w:rPr>
          <w:rFonts w:ascii="Arial" w:cs="Arial" w:eastAsia="Arial" w:hAnsi="Arial"/>
          <w:sz w:val="13"/>
          <w:szCs w:val="13"/>
          <w:color w:val="auto"/>
        </w:rPr>
        <w:t>“ONE YEAR” on the advisory vote on the frequency of future advisory votes to approve executive compensation (see page 35);</w:t>
      </w:r>
    </w:p>
    <w:p>
      <w:pPr>
        <w:spacing w:after="0" w:line="136" w:lineRule="exact"/>
        <w:rPr>
          <w:rFonts w:ascii="Arial" w:cs="Arial" w:eastAsia="Arial" w:hAnsi="Arial"/>
          <w:sz w:val="21"/>
          <w:szCs w:val="21"/>
          <w:color w:val="00529B"/>
          <w:vertAlign w:val="superscript"/>
        </w:rPr>
      </w:pPr>
    </w:p>
    <w:p>
      <w:pPr>
        <w:ind w:left="280" w:hanging="272"/>
        <w:spacing w:after="0" w:line="186" w:lineRule="auto"/>
        <w:tabs>
          <w:tab w:leader="none" w:pos="280" w:val="left"/>
        </w:tabs>
        <w:numPr>
          <w:ilvl w:val="0"/>
          <w:numId w:val="90"/>
        </w:numPr>
        <w:rPr>
          <w:rFonts w:ascii="Arial" w:cs="Arial" w:eastAsia="Arial" w:hAnsi="Arial"/>
          <w:sz w:val="21"/>
          <w:szCs w:val="21"/>
          <w:color w:val="00529B"/>
          <w:vertAlign w:val="superscript"/>
        </w:rPr>
      </w:pPr>
      <w:r>
        <w:rPr>
          <w:rFonts w:ascii="Arial" w:cs="Arial" w:eastAsia="Arial" w:hAnsi="Arial"/>
          <w:sz w:val="13"/>
          <w:szCs w:val="13"/>
          <w:color w:val="auto"/>
        </w:rPr>
        <w:t>“FOR” the advisory vote to approve named executive officer compensation (see page 36);</w:t>
      </w:r>
    </w:p>
    <w:p>
      <w:pPr>
        <w:spacing w:after="0" w:line="136" w:lineRule="exact"/>
        <w:rPr>
          <w:rFonts w:ascii="Arial" w:cs="Arial" w:eastAsia="Arial" w:hAnsi="Arial"/>
          <w:sz w:val="21"/>
          <w:szCs w:val="21"/>
          <w:color w:val="00529B"/>
          <w:vertAlign w:val="superscript"/>
        </w:rPr>
      </w:pPr>
    </w:p>
    <w:p>
      <w:pPr>
        <w:ind w:left="280" w:hanging="272"/>
        <w:spacing w:after="0" w:line="186" w:lineRule="auto"/>
        <w:tabs>
          <w:tab w:leader="none" w:pos="280" w:val="left"/>
        </w:tabs>
        <w:numPr>
          <w:ilvl w:val="0"/>
          <w:numId w:val="90"/>
        </w:numPr>
        <w:rPr>
          <w:rFonts w:ascii="Arial" w:cs="Arial" w:eastAsia="Arial" w:hAnsi="Arial"/>
          <w:sz w:val="21"/>
          <w:szCs w:val="21"/>
          <w:color w:val="00529B"/>
          <w:vertAlign w:val="superscript"/>
        </w:rPr>
      </w:pPr>
      <w:r>
        <w:rPr>
          <w:rFonts w:ascii="Arial" w:cs="Arial" w:eastAsia="Arial" w:hAnsi="Arial"/>
          <w:sz w:val="13"/>
          <w:szCs w:val="13"/>
          <w:color w:val="auto"/>
        </w:rPr>
        <w:t>“FOR” the ratification of the selection of KPMG as Occidental’s independent auditor (see page 79); and</w:t>
      </w:r>
    </w:p>
    <w:p>
      <w:pPr>
        <w:spacing w:after="0" w:line="136" w:lineRule="exact"/>
        <w:rPr>
          <w:rFonts w:ascii="Arial" w:cs="Arial" w:eastAsia="Arial" w:hAnsi="Arial"/>
          <w:sz w:val="21"/>
          <w:szCs w:val="21"/>
          <w:color w:val="00529B"/>
          <w:vertAlign w:val="superscript"/>
        </w:rPr>
      </w:pPr>
    </w:p>
    <w:p>
      <w:pPr>
        <w:ind w:left="280" w:hanging="272"/>
        <w:spacing w:after="0" w:line="186" w:lineRule="auto"/>
        <w:tabs>
          <w:tab w:leader="none" w:pos="280" w:val="left"/>
        </w:tabs>
        <w:numPr>
          <w:ilvl w:val="0"/>
          <w:numId w:val="90"/>
        </w:numPr>
        <w:rPr>
          <w:rFonts w:ascii="Arial" w:cs="Arial" w:eastAsia="Arial" w:hAnsi="Arial"/>
          <w:sz w:val="21"/>
          <w:szCs w:val="21"/>
          <w:color w:val="00529B"/>
          <w:vertAlign w:val="superscript"/>
        </w:rPr>
      </w:pPr>
      <w:r>
        <w:rPr>
          <w:rFonts w:ascii="Arial" w:cs="Arial" w:eastAsia="Arial" w:hAnsi="Arial"/>
          <w:sz w:val="13"/>
          <w:szCs w:val="13"/>
          <w:color w:val="auto"/>
        </w:rPr>
        <w:t>“AGAINST” the shareholder proposal requesting an Independent Board Chairman Policy (see page 81).</w:t>
      </w:r>
    </w:p>
    <w:p>
      <w:pPr>
        <w:spacing w:after="0" w:line="178"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auto"/>
        </w:rPr>
        <w:t>We are not aware of any matters to be presented at the 2023 Annual Meeting other than those described above. If any matters not described in this proxy statement are properly presented at the meeting, the proxies will use their own judgment to determine how to vote your shares. If the meeting is adjourned or postponed, the proxies can vote your shares at the adjournment or postponement as well.</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Broker Votes</w:t>
      </w:r>
    </w:p>
    <w:p>
      <w:pPr>
        <w:spacing w:after="0" w:line="239"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If your shares are held in street name, under NYSE rules, your broker is not permitted to vote on certain proposals and may not vote on any of the proposals unless you provide voting instructions. Therefore, unless you provide specific voting instructions, your shares may not be represented or voted at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Confidential Voting Policy</w:t>
      </w:r>
    </w:p>
    <w:p>
      <w:pPr>
        <w:spacing w:after="0" w:line="239"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All proxies, ballots and other voting materials are kept confidential, unless disclosure is required by applicable law or expressly requested by you, you include written comments on your proxy card or voting instruction form, or the proxy solicitation is contested. Occidental’s confidential voting policy is posted on Occidental’s website at www.oxy.com/investors/governance and also may be obtained by writing to the Corporate Secretary’s office, 5 Greenway Plaza, Suite 110, Houston, Texas 77046.</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Voting Results</w:t>
      </w:r>
    </w:p>
    <w:p>
      <w:pPr>
        <w:spacing w:after="0" w:line="239" w:lineRule="exact"/>
        <w:rPr>
          <w:sz w:val="20"/>
          <w:szCs w:val="20"/>
          <w:color w:val="auto"/>
        </w:rPr>
      </w:pPr>
    </w:p>
    <w:p>
      <w:pPr>
        <w:ind w:right="240"/>
        <w:spacing w:after="0" w:line="244" w:lineRule="auto"/>
        <w:rPr>
          <w:sz w:val="20"/>
          <w:szCs w:val="20"/>
          <w:color w:val="auto"/>
        </w:rPr>
      </w:pPr>
      <w:r>
        <w:rPr>
          <w:rFonts w:ascii="Arial" w:cs="Arial" w:eastAsia="Arial" w:hAnsi="Arial"/>
          <w:sz w:val="15"/>
          <w:szCs w:val="15"/>
          <w:color w:val="auto"/>
        </w:rPr>
        <w:t>The voting results will be included in a Current Report on Form 8-K filed with the SEC and available through the SEC’s website or Occidental’s website at www.oxy.com, within four business days following the 2023 Annual Meeting, and may also be obtained by writing to the Corporate Secretary’s office at the 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7432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General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Solicitation Expenses</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The expense of this solicitation will be paid by Occidental. Alliance Advisors has been retained to solicit proxies and to assist in the distribution of proxy materials for a fee estimated at $23,500 plus reimbursement of out-of-pocket expenses. Occidental also will reimburse banks, brokers, nominees and related fiduciaries for the expense of forwarding soliciting material to beneficial owners of its common stock. In addition, Occidental’s officers, directors and employees may solicit proxies but will receive no additional or special compensation for such work.</w:t>
      </w:r>
    </w:p>
    <w:p>
      <w:pPr>
        <w:spacing w:after="0" w:line="1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Shareholder Proposals for the 2024 Annual Meeting</w:t>
      </w:r>
    </w:p>
    <w:p>
      <w:pPr>
        <w:spacing w:after="0" w:line="241" w:lineRule="exact"/>
        <w:rPr>
          <w:sz w:val="20"/>
          <w:szCs w:val="20"/>
          <w:color w:val="auto"/>
        </w:rPr>
      </w:pPr>
    </w:p>
    <w:p>
      <w:pPr>
        <w:jc w:val="both"/>
        <w:ind w:right="140"/>
        <w:spacing w:after="0" w:line="238" w:lineRule="auto"/>
        <w:rPr>
          <w:sz w:val="20"/>
          <w:szCs w:val="20"/>
          <w:color w:val="auto"/>
        </w:rPr>
      </w:pPr>
      <w:r>
        <w:rPr>
          <w:rFonts w:ascii="Arial" w:cs="Arial" w:eastAsia="Arial" w:hAnsi="Arial"/>
          <w:sz w:val="15"/>
          <w:szCs w:val="15"/>
          <w:color w:val="auto"/>
        </w:rPr>
        <w:t>Shareholders interested in submitting a proposal for inclusion in the proxy statement and proxy card relating to the 2024 Annual Meeting of Shareholders may do so by following the procedures in Rule 14a-8 under the Exchange Act. To be eligible for inclusion, shareholder proposals must be addressed to Occidental’s Corporate Secretary at Occidental Petroleum Corporation, 5 Greenway Plaza, Suite 110, Houston, Texas 77046, and be received no later than the close of business (5:00 p.m. Central Time) on November 24, 2023.</w:t>
      </w:r>
    </w:p>
    <w:p>
      <w:pPr>
        <w:spacing w:after="0" w:line="180"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Under Occidental’s By-laws, shareholders must follow certain procedures to introduce an item of business at an annual meeting that is not included in the proxy materials. These procedures require that any such item of business must be submitted in writing to the Corporate Secretary at Occidental Petroleum Corporation, 5 Greenway Plaza, Suite 110, Houston, Texas 77046. Notice of the proposed item of business must be received no earlier than January 6, 2024 and no later than the close of business (5:00 p.m. Central Time) on February 5, 2024, and must include the information required by Occidental’s By-laws. However, if the 2024 Annual Meeting is more than 30 days before or after the anniversary of the date of the 2023 Annual Meeting, the notice must be received no later than the close of business on the tenth day following the day on which notice of the date of the 2024 Annual Meeting was mailed or public disclosure of the meeting date was made, whichever occurs first. A copy of the By-laws may be obtained by writing to the Corporate Secretary at the address listed above. The shareholder submitting the proposal or a representative of the shareholder must present the proposal in person at the meeting. The chairman of the meeting may refuse to allow the transaction of any item of business not presented in compliance with Occidental’s By-laws. In addition, the individuals named as proxies may have discretionary voting authority to vote against any such item of business.</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Nominations for the 2024 Annual Meeting</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Nominating Policy</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It is the policy of the Governance Committee to consider nominees to the Board of Directors recommended by shareholders. Pursuant to the Nominating Policy, which is available at www.oxy.com/investors/governance/governance-policies/nominations-for-directors/, shareholder recommendations must be received by the Corporate Secretary of Occidental no earlier than January 6, 2024 and no later than February 5, 2024 to be considered by the Governance Committee. Each recommendation must include the following information:</w:t>
      </w:r>
    </w:p>
    <w:p>
      <w:pPr>
        <w:spacing w:after="0" w:line="180"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As to each person whom the shareholder proposes for election or re-election as a director:</w:t>
      </w:r>
    </w:p>
    <w:p>
      <w:pPr>
        <w:spacing w:after="0" w:line="64" w:lineRule="exact"/>
        <w:rPr>
          <w:rFonts w:ascii="Arial" w:cs="Arial" w:eastAsia="Arial" w:hAnsi="Arial"/>
          <w:sz w:val="15"/>
          <w:szCs w:val="15"/>
          <w:color w:val="auto"/>
        </w:rPr>
      </w:pPr>
    </w:p>
    <w:p>
      <w:pPr>
        <w:ind w:left="560" w:hanging="269"/>
        <w:spacing w:after="0"/>
        <w:tabs>
          <w:tab w:leader="none" w:pos="560" w:val="left"/>
        </w:tabs>
        <w:numPr>
          <w:ilvl w:val="1"/>
          <w:numId w:val="91"/>
        </w:numPr>
        <w:rPr>
          <w:rFonts w:ascii="Arial" w:cs="Arial" w:eastAsia="Arial" w:hAnsi="Arial"/>
          <w:sz w:val="25"/>
          <w:szCs w:val="25"/>
          <w:color w:val="00529B"/>
          <w:vertAlign w:val="superscript"/>
        </w:rPr>
      </w:pPr>
      <w:r>
        <w:rPr>
          <w:rFonts w:ascii="Arial" w:cs="Arial" w:eastAsia="Arial" w:hAnsi="Arial"/>
          <w:sz w:val="15"/>
          <w:szCs w:val="15"/>
          <w:color w:val="auto"/>
        </w:rPr>
        <w:t>The name, age, business address and residence address of the person;</w:t>
      </w:r>
    </w:p>
    <w:p>
      <w:pPr>
        <w:spacing w:after="0" w:line="135" w:lineRule="exact"/>
        <w:rPr>
          <w:rFonts w:ascii="Arial" w:cs="Arial" w:eastAsia="Arial" w:hAnsi="Arial"/>
          <w:sz w:val="25"/>
          <w:szCs w:val="25"/>
          <w:color w:val="00529B"/>
          <w:vertAlign w:val="superscript"/>
        </w:rPr>
      </w:pPr>
    </w:p>
    <w:p>
      <w:pPr>
        <w:ind w:left="560" w:hanging="269"/>
        <w:spacing w:after="0" w:line="186" w:lineRule="auto"/>
        <w:tabs>
          <w:tab w:leader="none" w:pos="560" w:val="left"/>
        </w:tabs>
        <w:numPr>
          <w:ilvl w:val="1"/>
          <w:numId w:val="91"/>
        </w:numPr>
        <w:rPr>
          <w:rFonts w:ascii="Arial" w:cs="Arial" w:eastAsia="Arial" w:hAnsi="Arial"/>
          <w:sz w:val="21"/>
          <w:szCs w:val="21"/>
          <w:color w:val="00529B"/>
          <w:vertAlign w:val="superscript"/>
        </w:rPr>
      </w:pPr>
      <w:r>
        <w:rPr>
          <w:rFonts w:ascii="Arial" w:cs="Arial" w:eastAsia="Arial" w:hAnsi="Arial"/>
          <w:sz w:val="13"/>
          <w:szCs w:val="13"/>
          <w:color w:val="auto"/>
        </w:rPr>
        <w:t>The principal occupation or employment of the person;</w:t>
      </w:r>
    </w:p>
    <w:p>
      <w:pPr>
        <w:spacing w:after="0" w:line="136" w:lineRule="exact"/>
        <w:rPr>
          <w:rFonts w:ascii="Arial" w:cs="Arial" w:eastAsia="Arial" w:hAnsi="Arial"/>
          <w:sz w:val="21"/>
          <w:szCs w:val="21"/>
          <w:color w:val="00529B"/>
          <w:vertAlign w:val="superscript"/>
        </w:rPr>
      </w:pPr>
    </w:p>
    <w:p>
      <w:pPr>
        <w:ind w:left="560" w:hanging="269"/>
        <w:spacing w:after="0" w:line="186" w:lineRule="auto"/>
        <w:tabs>
          <w:tab w:leader="none" w:pos="560" w:val="left"/>
        </w:tabs>
        <w:numPr>
          <w:ilvl w:val="1"/>
          <w:numId w:val="91"/>
        </w:numPr>
        <w:rPr>
          <w:rFonts w:ascii="Arial" w:cs="Arial" w:eastAsia="Arial" w:hAnsi="Arial"/>
          <w:sz w:val="21"/>
          <w:szCs w:val="21"/>
          <w:color w:val="00529B"/>
          <w:vertAlign w:val="superscript"/>
        </w:rPr>
      </w:pPr>
      <w:r>
        <w:rPr>
          <w:rFonts w:ascii="Arial" w:cs="Arial" w:eastAsia="Arial" w:hAnsi="Arial"/>
          <w:sz w:val="13"/>
          <w:szCs w:val="13"/>
          <w:color w:val="auto"/>
        </w:rPr>
        <w:t>The class or series and number of shares of capital stock of Occidental which are owned beneficially or of record by the person; and</w:t>
      </w:r>
    </w:p>
    <w:p>
      <w:pPr>
        <w:spacing w:after="0" w:line="136" w:lineRule="exact"/>
        <w:rPr>
          <w:rFonts w:ascii="Arial" w:cs="Arial" w:eastAsia="Arial" w:hAnsi="Arial"/>
          <w:sz w:val="21"/>
          <w:szCs w:val="21"/>
          <w:color w:val="00529B"/>
          <w:vertAlign w:val="superscript"/>
        </w:rPr>
      </w:pPr>
    </w:p>
    <w:p>
      <w:pPr>
        <w:ind w:left="560" w:right="560" w:hanging="269"/>
        <w:spacing w:after="0" w:line="182" w:lineRule="auto"/>
        <w:tabs>
          <w:tab w:leader="none" w:pos="560" w:val="left"/>
        </w:tabs>
        <w:numPr>
          <w:ilvl w:val="1"/>
          <w:numId w:val="91"/>
        </w:numPr>
        <w:rPr>
          <w:rFonts w:ascii="Arial" w:cs="Arial" w:eastAsia="Arial" w:hAnsi="Arial"/>
          <w:sz w:val="25"/>
          <w:szCs w:val="25"/>
          <w:color w:val="00529B"/>
          <w:vertAlign w:val="superscript"/>
        </w:rPr>
      </w:pPr>
      <w:r>
        <w:rPr>
          <w:rFonts w:ascii="Arial" w:cs="Arial" w:eastAsia="Arial" w:hAnsi="Arial"/>
          <w:sz w:val="15"/>
          <w:szCs w:val="15"/>
          <w:color w:val="auto"/>
        </w:rPr>
        <w:t>Any other information relating to the person that is required to be disclosed in solicitations for proxies for election of directors pursuant to the rules and regulations of the SEC.</w:t>
      </w:r>
    </w:p>
    <w:p>
      <w:pPr>
        <w:spacing w:after="0" w:line="124" w:lineRule="exact"/>
        <w:rPr>
          <w:rFonts w:ascii="Arial" w:cs="Arial" w:eastAsia="Arial" w:hAnsi="Arial"/>
          <w:sz w:val="25"/>
          <w:szCs w:val="25"/>
          <w:color w:val="00529B"/>
          <w:vertAlign w:val="superscript"/>
        </w:rPr>
      </w:pPr>
    </w:p>
    <w:p>
      <w:pPr>
        <w:ind w:left="300" w:hanging="292"/>
        <w:spacing w:after="0"/>
        <w:tabs>
          <w:tab w:leader="none" w:pos="3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As to the shareholder making the recommendation:</w:t>
      </w:r>
    </w:p>
    <w:p>
      <w:pPr>
        <w:spacing w:after="0" w:line="64" w:lineRule="exact"/>
        <w:rPr>
          <w:rFonts w:ascii="Arial" w:cs="Arial" w:eastAsia="Arial" w:hAnsi="Arial"/>
          <w:sz w:val="15"/>
          <w:szCs w:val="15"/>
          <w:color w:val="auto"/>
        </w:rPr>
      </w:pPr>
    </w:p>
    <w:p>
      <w:pPr>
        <w:ind w:left="560" w:hanging="269"/>
        <w:spacing w:after="0"/>
        <w:tabs>
          <w:tab w:leader="none" w:pos="560" w:val="left"/>
        </w:tabs>
        <w:numPr>
          <w:ilvl w:val="1"/>
          <w:numId w:val="91"/>
        </w:numPr>
        <w:rPr>
          <w:rFonts w:ascii="Arial" w:cs="Arial" w:eastAsia="Arial" w:hAnsi="Arial"/>
          <w:sz w:val="25"/>
          <w:szCs w:val="25"/>
          <w:color w:val="00529B"/>
          <w:vertAlign w:val="superscript"/>
        </w:rPr>
      </w:pPr>
      <w:r>
        <w:rPr>
          <w:rFonts w:ascii="Arial" w:cs="Arial" w:eastAsia="Arial" w:hAnsi="Arial"/>
          <w:sz w:val="15"/>
          <w:szCs w:val="15"/>
          <w:color w:val="auto"/>
        </w:rPr>
        <w:t>The name and address of record of such shareholder; and</w:t>
      </w:r>
    </w:p>
    <w:p>
      <w:pPr>
        <w:spacing w:after="0" w:line="135" w:lineRule="exact"/>
        <w:rPr>
          <w:rFonts w:ascii="Arial" w:cs="Arial" w:eastAsia="Arial" w:hAnsi="Arial"/>
          <w:sz w:val="25"/>
          <w:szCs w:val="25"/>
          <w:color w:val="00529B"/>
          <w:vertAlign w:val="superscript"/>
        </w:rPr>
      </w:pPr>
    </w:p>
    <w:p>
      <w:pPr>
        <w:ind w:left="560" w:hanging="269"/>
        <w:spacing w:after="0" w:line="186" w:lineRule="auto"/>
        <w:tabs>
          <w:tab w:leader="none" w:pos="560" w:val="left"/>
        </w:tabs>
        <w:numPr>
          <w:ilvl w:val="1"/>
          <w:numId w:val="91"/>
        </w:numPr>
        <w:rPr>
          <w:rFonts w:ascii="Arial" w:cs="Arial" w:eastAsia="Arial" w:hAnsi="Arial"/>
          <w:sz w:val="21"/>
          <w:szCs w:val="21"/>
          <w:color w:val="00529B"/>
          <w:vertAlign w:val="superscript"/>
        </w:rPr>
      </w:pPr>
      <w:r>
        <w:rPr>
          <w:rFonts w:ascii="Arial" w:cs="Arial" w:eastAsia="Arial" w:hAnsi="Arial"/>
          <w:sz w:val="13"/>
          <w:szCs w:val="13"/>
          <w:color w:val="auto"/>
        </w:rPr>
        <w:t>The class or series and number of shares of common stock of Occidental which are beneficially owned by the shareholder.</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General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shareholder’s recommendation must include the recommended person’s written consent to being named as a nominee and to serving as a director if elected.</w:t>
      </w:r>
    </w:p>
    <w:p>
      <w:pPr>
        <w:spacing w:after="0" w:line="206" w:lineRule="exact"/>
        <w:rPr>
          <w:sz w:val="20"/>
          <w:szCs w:val="20"/>
          <w:color w:val="auto"/>
        </w:rPr>
      </w:pPr>
    </w:p>
    <w:p>
      <w:pPr>
        <w:ind w:right="400"/>
        <w:spacing w:after="0" w:line="244" w:lineRule="auto"/>
        <w:rPr>
          <w:sz w:val="20"/>
          <w:szCs w:val="20"/>
          <w:color w:val="auto"/>
        </w:rPr>
      </w:pPr>
      <w:r>
        <w:rPr>
          <w:rFonts w:ascii="Arial" w:cs="Arial" w:eastAsia="Arial" w:hAnsi="Arial"/>
          <w:sz w:val="15"/>
          <w:szCs w:val="15"/>
          <w:color w:val="auto"/>
        </w:rPr>
        <w:t>In prior years, the Governance Committee has identified director candidates through the use of independent search firms, third-party recommendations, and the recommendations of directors and executive officers. The Governance Committee anticipates that, if a vacancy on the Board were to occur, it would use these sources as well as shareholder recommendations to identify candidates.</w:t>
      </w:r>
    </w:p>
    <w:p>
      <w:pPr>
        <w:spacing w:after="0" w:line="176" w:lineRule="exact"/>
        <w:rPr>
          <w:sz w:val="20"/>
          <w:szCs w:val="20"/>
          <w:color w:val="auto"/>
        </w:rPr>
      </w:pPr>
    </w:p>
    <w:p>
      <w:pPr>
        <w:ind w:right="360"/>
        <w:spacing w:after="0" w:line="264" w:lineRule="auto"/>
        <w:rPr>
          <w:sz w:val="20"/>
          <w:szCs w:val="20"/>
          <w:color w:val="auto"/>
        </w:rPr>
      </w:pPr>
      <w:r>
        <w:rPr>
          <w:rFonts w:ascii="Arial" w:cs="Arial" w:eastAsia="Arial" w:hAnsi="Arial"/>
          <w:sz w:val="15"/>
          <w:szCs w:val="15"/>
          <w:color w:val="auto"/>
        </w:rPr>
        <w:t>In deciding if a candidate recommended by a shareholder or identified by another source is qualified to be a nominee, it is the Governance Committee’s policy to consider:</w:t>
      </w:r>
    </w:p>
    <w:p>
      <w:pPr>
        <w:spacing w:after="0" w:line="161" w:lineRule="exact"/>
        <w:rPr>
          <w:sz w:val="20"/>
          <w:szCs w:val="20"/>
          <w:color w:val="auto"/>
        </w:rPr>
      </w:pPr>
    </w:p>
    <w:p>
      <w:pPr>
        <w:ind w:left="280" w:right="160" w:hanging="272"/>
        <w:spacing w:after="0" w:line="189" w:lineRule="auto"/>
        <w:tabs>
          <w:tab w:leader="none" w:pos="280" w:val="left"/>
        </w:tabs>
        <w:numPr>
          <w:ilvl w:val="0"/>
          <w:numId w:val="92"/>
        </w:numPr>
        <w:rPr>
          <w:rFonts w:ascii="Arial" w:cs="Arial" w:eastAsia="Arial" w:hAnsi="Arial"/>
          <w:sz w:val="25"/>
          <w:szCs w:val="25"/>
          <w:color w:val="00529B"/>
          <w:vertAlign w:val="superscript"/>
        </w:rPr>
      </w:pPr>
      <w:r>
        <w:rPr>
          <w:rFonts w:ascii="Arial" w:cs="Arial" w:eastAsia="Arial" w:hAnsi="Arial"/>
          <w:sz w:val="15"/>
          <w:szCs w:val="15"/>
          <w:color w:val="auto"/>
        </w:rPr>
        <w:t>Whether the candidate is independent as defined in Occidental’s Corporate Governance Policies and as applied with respect to Occidental and the shareholder recommending the nominee, if applicable;</w:t>
      </w:r>
    </w:p>
    <w:p>
      <w:pPr>
        <w:spacing w:after="0" w:line="123" w:lineRule="exact"/>
        <w:rPr>
          <w:rFonts w:ascii="Arial" w:cs="Arial" w:eastAsia="Arial" w:hAnsi="Arial"/>
          <w:sz w:val="25"/>
          <w:szCs w:val="25"/>
          <w:color w:val="00529B"/>
          <w:vertAlign w:val="superscript"/>
        </w:rPr>
      </w:pPr>
    </w:p>
    <w:p>
      <w:pPr>
        <w:ind w:left="280" w:right="240" w:hanging="272"/>
        <w:spacing w:after="0" w:line="189" w:lineRule="auto"/>
        <w:tabs>
          <w:tab w:leader="none" w:pos="280" w:val="left"/>
        </w:tabs>
        <w:numPr>
          <w:ilvl w:val="0"/>
          <w:numId w:val="92"/>
        </w:numPr>
        <w:rPr>
          <w:rFonts w:ascii="Arial" w:cs="Arial" w:eastAsia="Arial" w:hAnsi="Arial"/>
          <w:sz w:val="25"/>
          <w:szCs w:val="25"/>
          <w:color w:val="00529B"/>
          <w:vertAlign w:val="superscript"/>
        </w:rPr>
      </w:pPr>
      <w:r>
        <w:rPr>
          <w:rFonts w:ascii="Arial" w:cs="Arial" w:eastAsia="Arial" w:hAnsi="Arial"/>
          <w:sz w:val="15"/>
          <w:szCs w:val="15"/>
          <w:color w:val="auto"/>
        </w:rPr>
        <w:t>Whether the candidate has the business experience, character, judgment, acumen and time to commit in order to make an ongoing positive contribution to the Board;</w:t>
      </w:r>
    </w:p>
    <w:p>
      <w:pPr>
        <w:spacing w:after="0" w:line="36" w:lineRule="exact"/>
        <w:rPr>
          <w:rFonts w:ascii="Arial" w:cs="Arial" w:eastAsia="Arial" w:hAnsi="Arial"/>
          <w:sz w:val="25"/>
          <w:szCs w:val="25"/>
          <w:color w:val="00529B"/>
          <w:vertAlign w:val="superscript"/>
        </w:rPr>
      </w:pPr>
    </w:p>
    <w:p>
      <w:pPr>
        <w:ind w:left="280" w:hanging="272"/>
        <w:spacing w:after="0"/>
        <w:tabs>
          <w:tab w:leader="none" w:pos="280" w:val="left"/>
        </w:tabs>
        <w:numPr>
          <w:ilvl w:val="0"/>
          <w:numId w:val="92"/>
        </w:numPr>
        <w:rPr>
          <w:rFonts w:ascii="Arial" w:cs="Arial" w:eastAsia="Arial" w:hAnsi="Arial"/>
          <w:sz w:val="25"/>
          <w:szCs w:val="25"/>
          <w:color w:val="00529B"/>
          <w:vertAlign w:val="superscript"/>
        </w:rPr>
      </w:pPr>
      <w:r>
        <w:rPr>
          <w:rFonts w:ascii="Arial" w:cs="Arial" w:eastAsia="Arial" w:hAnsi="Arial"/>
          <w:sz w:val="15"/>
          <w:szCs w:val="15"/>
          <w:color w:val="auto"/>
        </w:rPr>
        <w:t>Whether the candidate would contribute to the Board achieving a diverse and broadly inclusive membership; and</w:t>
      </w:r>
    </w:p>
    <w:p>
      <w:pPr>
        <w:spacing w:after="0" w:line="135" w:lineRule="exact"/>
        <w:rPr>
          <w:rFonts w:ascii="Arial" w:cs="Arial" w:eastAsia="Arial" w:hAnsi="Arial"/>
          <w:sz w:val="25"/>
          <w:szCs w:val="25"/>
          <w:color w:val="00529B"/>
          <w:vertAlign w:val="superscript"/>
        </w:rPr>
      </w:pPr>
    </w:p>
    <w:p>
      <w:pPr>
        <w:ind w:left="280" w:right="400" w:hanging="272"/>
        <w:spacing w:after="0" w:line="182" w:lineRule="auto"/>
        <w:tabs>
          <w:tab w:leader="none" w:pos="280" w:val="left"/>
        </w:tabs>
        <w:numPr>
          <w:ilvl w:val="0"/>
          <w:numId w:val="92"/>
        </w:numPr>
        <w:rPr>
          <w:rFonts w:ascii="Arial" w:cs="Arial" w:eastAsia="Arial" w:hAnsi="Arial"/>
          <w:sz w:val="25"/>
          <w:szCs w:val="25"/>
          <w:color w:val="00529B"/>
          <w:vertAlign w:val="superscript"/>
        </w:rPr>
      </w:pPr>
      <w:r>
        <w:rPr>
          <w:rFonts w:ascii="Arial" w:cs="Arial" w:eastAsia="Arial" w:hAnsi="Arial"/>
          <w:sz w:val="15"/>
          <w:szCs w:val="15"/>
          <w:color w:val="auto"/>
        </w:rPr>
        <w:t>Whether the candidate has the specialized knowledge or expertise, such as financial or audit experience, necessary to satisfy membership requirements for committees where specialized knowledge or expertise may be desirable.</w:t>
      </w:r>
    </w:p>
    <w:p>
      <w:pPr>
        <w:spacing w:after="0" w:line="179"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If there is a vacancy and the Governance Committee believes that a recommended candidate has strong potential for Board service, the Governance Committee will arrange an interview with the candidate. Pursuant to its charter, the Governance Committee will not recommend any candidate to the Board who has not been interviewed by the Governance Committee.</w:t>
      </w:r>
    </w:p>
    <w:p>
      <w:pPr>
        <w:spacing w:after="0" w:line="176" w:lineRule="exact"/>
        <w:rPr>
          <w:sz w:val="20"/>
          <w:szCs w:val="20"/>
          <w:color w:val="auto"/>
        </w:rPr>
      </w:pPr>
    </w:p>
    <w:p>
      <w:pPr>
        <w:ind w:right="200"/>
        <w:spacing w:after="0" w:line="244" w:lineRule="auto"/>
        <w:rPr>
          <w:sz w:val="20"/>
          <w:szCs w:val="20"/>
          <w:color w:val="auto"/>
        </w:rPr>
      </w:pPr>
      <w:r>
        <w:rPr>
          <w:rFonts w:ascii="Arial" w:cs="Arial" w:eastAsia="Arial" w:hAnsi="Arial"/>
          <w:sz w:val="15"/>
          <w:szCs w:val="15"/>
          <w:color w:val="auto"/>
        </w:rPr>
        <w:t>In accordance with its charter, the Governance Committee annually reviews its performance and reports its findings to the Board. The Governance Committee also assists the Board in performing its self-evaluation, which includes an assessment of whether the Board has the necessary diversity of skills, backgrounds and experiences to meet Occidental’s ongoing needs.</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Advance Notice Procedure to Nominate Candidates</w:t>
      </w:r>
    </w:p>
    <w:p>
      <w:pPr>
        <w:spacing w:after="0" w:line="239"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Under Occidental’s By-laws, shareholders may nominate a person for election to the Board at an annual meeting by complying with the advance notice procedures in the By-laws and attending the annual meeting to make the necessary motion. For the 2024 Annual Meeting of Shareholders, the notice must be received no earlier than January 6, 2024 and no later than the close of business (5:00 p.m. Central Time) on February 5, 2024 and include the information required by Article III, Section 2 of the Bylaws. However, if the 2024 Annual Meeting is more than 30 days before or after the anniversary of the date of the 2023 Annual Meeting, the notice must be received by no later than the close of business on the tenth day following the day on which notice of the date of the 2024 Annual Meeting was mailed or such public disclosure was made, whichever occurs first. In addition to satisfying the deadlines in the advance notice provisions of our By-laws, a shareholder who intends to solicit proxies pursuant to Rule 14a-19 under the Exchange Act in support of nominees submitted under these advance notice provisions for the 2024 Annual Meeting must notify our Corporate Secretary in writing no later than March 6, 2024.</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00529B"/>
        </w:rPr>
        <w:t>Proxy Access Procedure to Nominate Candidates</w:t>
      </w:r>
    </w:p>
    <w:p>
      <w:pPr>
        <w:spacing w:after="0" w:line="239"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In 2015, with input from shareholders, the Board amended Occidental’s By-laws to permit a group of up to 20 shareholders, owning 3% or more of Occidental’s outstanding common stock continuously for at least three years to nominate and include in Occidental’s proxy materials directors constituting up to 20% of the Board, but not less than two directors, provided that the shareholder(s) and the nominee(s) meet the requirements in Article III, Section 15 of the By-laws. To be included in the 2024 proxy materials, director nominations pursuant to Article III, Section 15 must be received no earlier than October 25, 2023 and no later than the close of business (5:00 p.m. Central Time)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27432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General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Forward-Looking Statements</w:t>
      </w:r>
    </w:p>
    <w:p>
      <w:pPr>
        <w:spacing w:after="0" w:line="241"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This proxy statement contains “forward-looking statements” within the meaning of the “safe harbor” provisions of the Private Securities Litigation Reform Act of 1995, including but not limited to statements about Occidental’s expectations, beliefs, plans or forecasts. Forward-looking statements involve estimates, expectations, projections, goals, forecasts, assumptions, risks and uncertainties, many of which involve factors or circumstances that are beyond Occidental’s control. Actual results may differ from anticipated results, sometimes materially, and reported or expected results should not be considered an indication of future performance.</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Factors that could cause actual results to differ and that may affect Occidental’s results of operations and financial position appear in Part I, Item 1A “Risk Factors” of Occidental’s Annual Report and in Occidental’s other filings with the SEC.</w:t>
      </w:r>
    </w:p>
    <w:p>
      <w:pPr>
        <w:spacing w:after="0" w:line="161"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auto"/>
        </w:rPr>
        <w:t>Because the factors referred to above could cause actual results or outcomes to differ materially from those expressed or implied in any forward-looking statements, you should not place undue reliance on any such forward-looking statements. Further, any forward-looking statement speaks only as of the date of this communication and, unless legally required, Occidental does not undertake any obligation to update any forward-looking statement, as a result of new information, future events or otherwise.</w:t>
      </w:r>
    </w:p>
    <w:p>
      <w:pPr>
        <w:spacing w:after="0" w:line="180"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In addition, ESG-related statements are aspirational, are not guarantees or promises that related goals or targets may be met, and may be based on standards for measuring progress that are still developing, internal controls and processes that continue to evolve and assumptions that are subject to change in the future. In particular, there are multiple proposed or recently adopted changes to various GHG reporting regulations and protocols, including from the U.S. Environmental Protection Agency, the SEC, the GHG Protocol and certain countries and states, as well as for additional controls, fees or taxes on emissions. Given the potential significance of these changes for estimation and reporting, Occidental may update or modify our reported emissions and our current suite of GHG goals and targets to reflect new regulations and protocols, although we expect to retain our overarching net-zero goals and to continue to implement emissions reduction plans that we believe will complement our investments in DAC, CCUS and other low-carbon technologies and infrastructure.</w:t>
      </w:r>
    </w:p>
    <w:p>
      <w:pPr>
        <w:spacing w:after="0" w:line="178" w:lineRule="exact"/>
        <w:rPr>
          <w:sz w:val="20"/>
          <w:szCs w:val="20"/>
          <w:color w:val="auto"/>
        </w:rPr>
      </w:pPr>
    </w:p>
    <w:p>
      <w:pPr>
        <w:ind w:right="560"/>
        <w:spacing w:after="0" w:line="264" w:lineRule="auto"/>
        <w:rPr>
          <w:sz w:val="20"/>
          <w:szCs w:val="20"/>
          <w:color w:val="auto"/>
        </w:rPr>
      </w:pPr>
      <w:r>
        <w:rPr>
          <w:rFonts w:ascii="Arial" w:cs="Arial" w:eastAsia="Arial" w:hAnsi="Arial"/>
          <w:sz w:val="15"/>
          <w:szCs w:val="15"/>
          <w:color w:val="auto"/>
        </w:rPr>
        <w:t>Website references and references to other Occidental publications throughout this proxy statement are provided for convenience only, and the content on the referenced websites and in the referenced publications is not incorporated by reference into this proxy statement.</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15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Arial" w:cs="Arial" w:eastAsia="Arial" w:hAnsi="Arial"/>
          <w:sz w:val="45"/>
          <w:szCs w:val="45"/>
          <w:b w:val="1"/>
          <w:bCs w:val="1"/>
          <w:color w:val="00529B"/>
        </w:rPr>
        <w:t>ANNEX A</w:t>
      </w:r>
    </w:p>
    <w:p>
      <w:pPr>
        <w:spacing w:after="0" w:line="2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Reconciliations to GAAP</w:t>
      </w: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This proxy statement refers to cash return on capital employed (CROCE), return on capital employed (ROCE) and free cash flow, which are supplemental measures not calculated in accordance with generally accepted accounting principles in the United States (GAAP).</w:t>
      </w:r>
    </w:p>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CROCE is defined by Occidental as cash flows from operating activities before changes in working capital plus any distributions from Western Midstream Partners, LP which are included in cash flows from investing activities divided by average total debt plus stockholders’ equity (average of the beginning and ending totals for the current period). Management believes that CROCE is useful to investors when comparing our profitability and the efficiency with which management has employed capital over time relative to other companies. CROCE is not considered to be an alternative to net income reported in accordance with GAAP.</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529B"/>
        </w:rPr>
        <w:t>CASH RETURN ON CAPITAL EMPLOYED (CROCE)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 in millions</w:t>
            </w:r>
          </w:p>
        </w:tc>
        <w:tc>
          <w:tcPr>
            <w:tcW w:w="2520" w:type="dxa"/>
            <w:vAlign w:val="bottom"/>
            <w:tcBorders>
              <w:bottom w:val="single" w:sz="8" w:color="00529B"/>
            </w:tcBorders>
          </w:tcPr>
          <w:p>
            <w:pPr>
              <w:spacing w:after="0"/>
              <w:rPr>
                <w:sz w:val="16"/>
                <w:szCs w:val="16"/>
                <w:color w:val="auto"/>
              </w:rPr>
            </w:pPr>
          </w:p>
        </w:tc>
        <w:tc>
          <w:tcPr>
            <w:tcW w:w="940" w:type="dxa"/>
            <w:vAlign w:val="bottom"/>
            <w:tcBorders>
              <w:bottom w:val="single" w:sz="8" w:color="00529B"/>
            </w:tcBorders>
            <w:gridSpan w:val="4"/>
          </w:tcPr>
          <w:p>
            <w:pPr>
              <w:jc w:val="right"/>
              <w:ind w:right="100"/>
              <w:spacing w:after="0"/>
              <w:rPr>
                <w:sz w:val="20"/>
                <w:szCs w:val="20"/>
                <w:color w:val="auto"/>
              </w:rPr>
            </w:pPr>
            <w:r>
              <w:rPr>
                <w:rFonts w:ascii="Arial" w:cs="Arial" w:eastAsia="Arial" w:hAnsi="Arial"/>
                <w:sz w:val="13"/>
                <w:szCs w:val="13"/>
                <w:b w:val="1"/>
                <w:bCs w:val="1"/>
                <w:color w:val="00529B"/>
              </w:rPr>
              <w:t>2022</w:t>
            </w:r>
          </w:p>
        </w:tc>
        <w:tc>
          <w:tcPr>
            <w:tcW w:w="760" w:type="dxa"/>
            <w:vAlign w:val="bottom"/>
            <w:tcBorders>
              <w:bottom w:val="single" w:sz="8" w:color="00529B"/>
            </w:tcBorders>
            <w:gridSpan w:val="3"/>
          </w:tcPr>
          <w:p>
            <w:pPr>
              <w:jc w:val="right"/>
              <w:ind w:right="100"/>
              <w:spacing w:after="0"/>
              <w:rPr>
                <w:sz w:val="20"/>
                <w:szCs w:val="20"/>
                <w:color w:val="auto"/>
              </w:rPr>
            </w:pPr>
            <w:r>
              <w:rPr>
                <w:rFonts w:ascii="Arial" w:cs="Arial" w:eastAsia="Arial" w:hAnsi="Arial"/>
                <w:sz w:val="13"/>
                <w:szCs w:val="13"/>
                <w:b w:val="1"/>
                <w:bCs w:val="1"/>
                <w:color w:val="00529B"/>
              </w:rPr>
              <w:t>2021</w:t>
            </w:r>
          </w:p>
        </w:tc>
      </w:tr>
      <w:tr>
        <w:trPr>
          <w:trHeight w:val="212"/>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Cash flow from operating activities (GAAP)</w:t>
            </w:r>
          </w:p>
        </w:tc>
        <w:tc>
          <w:tcPr>
            <w:tcW w:w="25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gridSpan w:val="4"/>
          </w:tcPr>
          <w:p>
            <w:pPr>
              <w:jc w:val="right"/>
              <w:ind w:right="240"/>
              <w:spacing w:after="0"/>
              <w:rPr>
                <w:sz w:val="20"/>
                <w:szCs w:val="20"/>
                <w:color w:val="auto"/>
              </w:rPr>
            </w:pPr>
            <w:r>
              <w:rPr>
                <w:rFonts w:ascii="Arial" w:cs="Arial" w:eastAsia="Arial" w:hAnsi="Arial"/>
                <w:sz w:val="14"/>
                <w:szCs w:val="14"/>
                <w:color w:val="auto"/>
              </w:rPr>
              <w:t>$ 16,810</w:t>
            </w:r>
          </w:p>
        </w:tc>
        <w:tc>
          <w:tcPr>
            <w:tcW w:w="22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r>
      <w:tr>
        <w:trPr>
          <w:trHeight w:val="173"/>
        </w:trPr>
        <w:tc>
          <w:tcPr>
            <w:tcW w:w="7020" w:type="dxa"/>
            <w:vAlign w:val="bottom"/>
          </w:tcPr>
          <w:p>
            <w:pPr>
              <w:ind w:left="280"/>
              <w:spacing w:after="0"/>
              <w:rPr>
                <w:sz w:val="20"/>
                <w:szCs w:val="20"/>
                <w:color w:val="auto"/>
              </w:rPr>
            </w:pPr>
            <w:r>
              <w:rPr>
                <w:rFonts w:ascii="Arial" w:cs="Arial" w:eastAsia="Arial" w:hAnsi="Arial"/>
                <w:sz w:val="14"/>
                <w:szCs w:val="14"/>
                <w:color w:val="auto"/>
              </w:rPr>
              <w:t>Plus: Changes in operating assets and liabilities and other operating, net</w:t>
            </w:r>
          </w:p>
        </w:tc>
        <w:tc>
          <w:tcPr>
            <w:tcW w:w="2520" w:type="dxa"/>
            <w:vAlign w:val="bottom"/>
          </w:tcPr>
          <w:p>
            <w:pPr>
              <w:spacing w:after="0"/>
              <w:rPr>
                <w:sz w:val="15"/>
                <w:szCs w:val="15"/>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color w:val="auto"/>
              </w:rPr>
              <w:t>1,325</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020" w:type="dxa"/>
            <w:vAlign w:val="bottom"/>
            <w:tcBorders>
              <w:bottom w:val="single" w:sz="8" w:color="D1D2D4"/>
            </w:tcBorders>
          </w:tcPr>
          <w:p>
            <w:pPr>
              <w:spacing w:after="0" w:line="20" w:lineRule="exact"/>
              <w:rPr>
                <w:sz w:val="1"/>
                <w:szCs w:val="1"/>
                <w:color w:val="auto"/>
              </w:rPr>
            </w:pPr>
          </w:p>
        </w:tc>
        <w:tc>
          <w:tcPr>
            <w:tcW w:w="252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D1D2D4"/>
            </w:tcBorders>
          </w:tcPr>
          <w:p>
            <w:pPr>
              <w:spacing w:after="0" w:line="20" w:lineRule="exact"/>
              <w:rPr>
                <w:sz w:val="1"/>
                <w:szCs w:val="1"/>
                <w:color w:val="auto"/>
              </w:rPr>
            </w:pPr>
          </w:p>
        </w:tc>
        <w:tc>
          <w:tcPr>
            <w:tcW w:w="80" w:type="dxa"/>
            <w:vAlign w:val="bottom"/>
            <w:tcBorders>
              <w:bottom w:val="single" w:sz="8" w:color="D1D2D4"/>
            </w:tcBorders>
          </w:tcPr>
          <w:p>
            <w:pPr>
              <w:spacing w:after="0" w:line="20" w:lineRule="exact"/>
              <w:rPr>
                <w:sz w:val="1"/>
                <w:szCs w:val="1"/>
                <w:color w:val="auto"/>
              </w:rPr>
            </w:pPr>
          </w:p>
        </w:tc>
        <w:tc>
          <w:tcPr>
            <w:tcW w:w="360" w:type="dxa"/>
            <w:vAlign w:val="bottom"/>
            <w:tcBorders>
              <w:top w:val="single" w:sz="8" w:color="auto"/>
              <w:bottom w:val="single" w:sz="8" w:color="D1D2D4"/>
            </w:tcBorders>
          </w:tcPr>
          <w:p>
            <w:pPr>
              <w:spacing w:after="0" w:line="20" w:lineRule="exact"/>
              <w:rPr>
                <w:sz w:val="1"/>
                <w:szCs w:val="1"/>
                <w:color w:val="auto"/>
              </w:rPr>
            </w:pPr>
          </w:p>
        </w:tc>
        <w:tc>
          <w:tcPr>
            <w:tcW w:w="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r>
      <w:tr>
        <w:trPr>
          <w:trHeight w:val="205"/>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Adjusted cash flow from operating activities (Non-GAAP)</w:t>
            </w:r>
          </w:p>
        </w:tc>
        <w:tc>
          <w:tcPr>
            <w:tcW w:w="252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A</w:t>
            </w:r>
          </w:p>
        </w:tc>
        <w:tc>
          <w:tcPr>
            <w:tcW w:w="940" w:type="dxa"/>
            <w:vAlign w:val="bottom"/>
            <w:tcBorders>
              <w:bottom w:val="single" w:sz="8" w:color="D1D2D4"/>
            </w:tcBorders>
            <w:gridSpan w:val="4"/>
          </w:tcPr>
          <w:p>
            <w:pPr>
              <w:jc w:val="right"/>
              <w:ind w:right="240"/>
              <w:spacing w:after="0"/>
              <w:rPr>
                <w:sz w:val="20"/>
                <w:szCs w:val="20"/>
                <w:color w:val="auto"/>
              </w:rPr>
            </w:pPr>
            <w:r>
              <w:rPr>
                <w:rFonts w:ascii="Arial" w:cs="Arial" w:eastAsia="Arial" w:hAnsi="Arial"/>
                <w:sz w:val="14"/>
                <w:szCs w:val="14"/>
                <w:color w:val="auto"/>
              </w:rPr>
              <w:t>$ 18,135</w:t>
            </w:r>
          </w:p>
        </w:tc>
        <w:tc>
          <w:tcPr>
            <w:tcW w:w="220" w:type="dxa"/>
            <w:vAlign w:val="bottom"/>
            <w:tcBorders>
              <w:bottom w:val="single" w:sz="8" w:color="D1D2D4"/>
            </w:tcBorders>
          </w:tcPr>
          <w:p>
            <w:pPr>
              <w:spacing w:after="0"/>
              <w:rPr>
                <w:sz w:val="17"/>
                <w:szCs w:val="17"/>
                <w:color w:val="auto"/>
              </w:rPr>
            </w:pPr>
          </w:p>
        </w:tc>
        <w:tc>
          <w:tcPr>
            <w:tcW w:w="44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spacing w:after="0"/>
              <w:rPr>
                <w:sz w:val="17"/>
                <w:szCs w:val="17"/>
                <w:color w:val="auto"/>
              </w:rPr>
            </w:pPr>
          </w:p>
        </w:tc>
      </w:tr>
      <w:tr>
        <w:trPr>
          <w:trHeight w:val="209"/>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Debt, net at December 31, 2022</w:t>
            </w:r>
          </w:p>
        </w:tc>
        <w:tc>
          <w:tcPr>
            <w:tcW w:w="2520" w:type="dxa"/>
            <w:vAlign w:val="bottom"/>
            <w:tcBorders>
              <w:bottom w:val="single" w:sz="8" w:color="D1D2D4"/>
            </w:tcBorders>
          </w:tcPr>
          <w:p>
            <w:pPr>
              <w:spacing w:after="0"/>
              <w:rPr>
                <w:sz w:val="18"/>
                <w:szCs w:val="18"/>
                <w:color w:val="auto"/>
              </w:rPr>
            </w:pPr>
          </w:p>
        </w:tc>
        <w:tc>
          <w:tcPr>
            <w:tcW w:w="940" w:type="dxa"/>
            <w:vAlign w:val="bottom"/>
            <w:tcBorders>
              <w:bottom w:val="single" w:sz="8" w:color="D1D2D4"/>
            </w:tcBorders>
            <w:gridSpan w:val="4"/>
          </w:tcPr>
          <w:p>
            <w:pPr>
              <w:jc w:val="right"/>
              <w:ind w:right="240"/>
              <w:spacing w:after="0"/>
              <w:rPr>
                <w:sz w:val="20"/>
                <w:szCs w:val="20"/>
                <w:color w:val="auto"/>
              </w:rPr>
            </w:pPr>
            <w:r>
              <w:rPr>
                <w:rFonts w:ascii="Arial" w:cs="Arial" w:eastAsia="Arial" w:hAnsi="Arial"/>
                <w:sz w:val="14"/>
                <w:szCs w:val="14"/>
                <w:color w:val="auto"/>
              </w:rPr>
              <w:t>$ 19,835</w:t>
            </w:r>
          </w:p>
        </w:tc>
        <w:tc>
          <w:tcPr>
            <w:tcW w:w="22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r>
      <w:tr>
        <w:trPr>
          <w:trHeight w:val="173"/>
        </w:trPr>
        <w:tc>
          <w:tcPr>
            <w:tcW w:w="7020" w:type="dxa"/>
            <w:vAlign w:val="bottom"/>
          </w:tcPr>
          <w:p>
            <w:pPr>
              <w:ind w:left="60"/>
              <w:spacing w:after="0"/>
              <w:rPr>
                <w:sz w:val="20"/>
                <w:szCs w:val="20"/>
                <w:color w:val="auto"/>
              </w:rPr>
            </w:pPr>
            <w:r>
              <w:rPr>
                <w:rFonts w:ascii="Arial" w:cs="Arial" w:eastAsia="Arial" w:hAnsi="Arial"/>
                <w:sz w:val="14"/>
                <w:szCs w:val="14"/>
                <w:color w:val="auto"/>
              </w:rPr>
              <w:t>Total stockholder’s equity at December 31, 2022</w:t>
            </w:r>
          </w:p>
        </w:tc>
        <w:tc>
          <w:tcPr>
            <w:tcW w:w="2520" w:type="dxa"/>
            <w:vAlign w:val="bottom"/>
          </w:tcPr>
          <w:p>
            <w:pPr>
              <w:spacing w:after="0"/>
              <w:rPr>
                <w:sz w:val="15"/>
                <w:szCs w:val="15"/>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color w:val="auto"/>
              </w:rPr>
              <w:t>30,085</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020" w:type="dxa"/>
            <w:vAlign w:val="bottom"/>
            <w:tcBorders>
              <w:bottom w:val="single" w:sz="8" w:color="D1D2D4"/>
            </w:tcBorders>
          </w:tcPr>
          <w:p>
            <w:pPr>
              <w:spacing w:after="0" w:line="20" w:lineRule="exact"/>
              <w:rPr>
                <w:sz w:val="1"/>
                <w:szCs w:val="1"/>
                <w:color w:val="auto"/>
              </w:rPr>
            </w:pPr>
          </w:p>
        </w:tc>
        <w:tc>
          <w:tcPr>
            <w:tcW w:w="252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D1D2D4"/>
            </w:tcBorders>
          </w:tcPr>
          <w:p>
            <w:pPr>
              <w:spacing w:after="0" w:line="20" w:lineRule="exact"/>
              <w:rPr>
                <w:sz w:val="1"/>
                <w:szCs w:val="1"/>
                <w:color w:val="auto"/>
              </w:rPr>
            </w:pPr>
          </w:p>
        </w:tc>
        <w:tc>
          <w:tcPr>
            <w:tcW w:w="80" w:type="dxa"/>
            <w:vAlign w:val="bottom"/>
            <w:tcBorders>
              <w:top w:val="single" w:sz="8" w:color="auto"/>
              <w:bottom w:val="single" w:sz="8" w:color="D1D2D4"/>
            </w:tcBorders>
          </w:tcPr>
          <w:p>
            <w:pPr>
              <w:spacing w:after="0" w:line="20" w:lineRule="exact"/>
              <w:rPr>
                <w:sz w:val="1"/>
                <w:szCs w:val="1"/>
                <w:color w:val="auto"/>
              </w:rPr>
            </w:pPr>
          </w:p>
        </w:tc>
        <w:tc>
          <w:tcPr>
            <w:tcW w:w="360" w:type="dxa"/>
            <w:vAlign w:val="bottom"/>
            <w:tcBorders>
              <w:top w:val="single" w:sz="8" w:color="auto"/>
              <w:bottom w:val="single" w:sz="8" w:color="D1D2D4"/>
            </w:tcBorders>
          </w:tcPr>
          <w:p>
            <w:pPr>
              <w:spacing w:after="0" w:line="20" w:lineRule="exact"/>
              <w:rPr>
                <w:sz w:val="1"/>
                <w:szCs w:val="1"/>
                <w:color w:val="auto"/>
              </w:rPr>
            </w:pPr>
          </w:p>
        </w:tc>
        <w:tc>
          <w:tcPr>
            <w:tcW w:w="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r>
      <w:tr>
        <w:trPr>
          <w:trHeight w:val="205"/>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Total debt and stockholder’s equity at December 31, 2022</w:t>
            </w:r>
          </w:p>
        </w:tc>
        <w:tc>
          <w:tcPr>
            <w:tcW w:w="2520" w:type="dxa"/>
            <w:vAlign w:val="bottom"/>
            <w:tcBorders>
              <w:bottom w:val="single" w:sz="8" w:color="D1D2D4"/>
            </w:tcBorders>
          </w:tcPr>
          <w:p>
            <w:pPr>
              <w:spacing w:after="0"/>
              <w:rPr>
                <w:sz w:val="17"/>
                <w:szCs w:val="17"/>
                <w:color w:val="auto"/>
              </w:rPr>
            </w:pPr>
          </w:p>
        </w:tc>
        <w:tc>
          <w:tcPr>
            <w:tcW w:w="940" w:type="dxa"/>
            <w:vAlign w:val="bottom"/>
            <w:tcBorders>
              <w:bottom w:val="single" w:sz="8" w:color="D1D2D4"/>
            </w:tcBorders>
            <w:gridSpan w:val="4"/>
          </w:tcPr>
          <w:p>
            <w:pPr>
              <w:jc w:val="right"/>
              <w:ind w:right="240"/>
              <w:spacing w:after="0"/>
              <w:rPr>
                <w:sz w:val="20"/>
                <w:szCs w:val="20"/>
                <w:color w:val="auto"/>
              </w:rPr>
            </w:pPr>
            <w:r>
              <w:rPr>
                <w:rFonts w:ascii="Arial" w:cs="Arial" w:eastAsia="Arial" w:hAnsi="Arial"/>
                <w:sz w:val="14"/>
                <w:szCs w:val="14"/>
                <w:color w:val="auto"/>
              </w:rPr>
              <w:t>$ 49,920</w:t>
            </w:r>
          </w:p>
        </w:tc>
        <w:tc>
          <w:tcPr>
            <w:tcW w:w="220" w:type="dxa"/>
            <w:vAlign w:val="bottom"/>
            <w:tcBorders>
              <w:bottom w:val="single" w:sz="8" w:color="D1D2D4"/>
            </w:tcBorders>
          </w:tcPr>
          <w:p>
            <w:pPr>
              <w:spacing w:after="0"/>
              <w:rPr>
                <w:sz w:val="17"/>
                <w:szCs w:val="17"/>
                <w:color w:val="auto"/>
              </w:rPr>
            </w:pPr>
          </w:p>
        </w:tc>
        <w:tc>
          <w:tcPr>
            <w:tcW w:w="44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spacing w:after="0"/>
              <w:rPr>
                <w:sz w:val="17"/>
                <w:szCs w:val="17"/>
                <w:color w:val="auto"/>
              </w:rPr>
            </w:pPr>
          </w:p>
        </w:tc>
      </w:tr>
      <w:tr>
        <w:trPr>
          <w:trHeight w:val="210"/>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Debt, net at December 31, 2021</w:t>
            </w:r>
          </w:p>
        </w:tc>
        <w:tc>
          <w:tcPr>
            <w:tcW w:w="2520" w:type="dxa"/>
            <w:vAlign w:val="bottom"/>
            <w:tcBorders>
              <w:bottom w:val="single" w:sz="8" w:color="D1D2D4"/>
            </w:tcBorders>
          </w:tcPr>
          <w:p>
            <w:pPr>
              <w:spacing w:after="0"/>
              <w:rPr>
                <w:sz w:val="18"/>
                <w:szCs w:val="18"/>
                <w:color w:val="auto"/>
              </w:rPr>
            </w:pPr>
          </w:p>
        </w:tc>
        <w:tc>
          <w:tcPr>
            <w:tcW w:w="26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3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760" w:type="dxa"/>
            <w:vAlign w:val="bottom"/>
            <w:tcBorders>
              <w:bottom w:val="single" w:sz="8" w:color="D1D2D4"/>
            </w:tcBorders>
            <w:gridSpan w:val="3"/>
          </w:tcPr>
          <w:p>
            <w:pPr>
              <w:jc w:val="right"/>
              <w:ind w:right="100"/>
              <w:spacing w:after="0"/>
              <w:rPr>
                <w:sz w:val="20"/>
                <w:szCs w:val="20"/>
                <w:color w:val="auto"/>
              </w:rPr>
            </w:pPr>
            <w:r>
              <w:rPr>
                <w:rFonts w:ascii="Arial" w:cs="Arial" w:eastAsia="Arial" w:hAnsi="Arial"/>
                <w:sz w:val="14"/>
                <w:szCs w:val="14"/>
                <w:color w:val="auto"/>
              </w:rPr>
              <w:t>$ 29,617</w:t>
            </w:r>
          </w:p>
        </w:tc>
      </w:tr>
      <w:tr>
        <w:trPr>
          <w:trHeight w:val="173"/>
        </w:trPr>
        <w:tc>
          <w:tcPr>
            <w:tcW w:w="7020" w:type="dxa"/>
            <w:vAlign w:val="bottom"/>
          </w:tcPr>
          <w:p>
            <w:pPr>
              <w:ind w:left="60"/>
              <w:spacing w:after="0"/>
              <w:rPr>
                <w:sz w:val="20"/>
                <w:szCs w:val="20"/>
                <w:color w:val="auto"/>
              </w:rPr>
            </w:pPr>
            <w:r>
              <w:rPr>
                <w:rFonts w:ascii="Arial" w:cs="Arial" w:eastAsia="Arial" w:hAnsi="Arial"/>
                <w:sz w:val="14"/>
                <w:szCs w:val="14"/>
                <w:color w:val="auto"/>
              </w:rPr>
              <w:t>Total stockholder’s equity at December 31, 2021</w:t>
            </w:r>
          </w:p>
        </w:tc>
        <w:tc>
          <w:tcPr>
            <w:tcW w:w="2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20,327</w:t>
            </w:r>
          </w:p>
        </w:tc>
      </w:tr>
      <w:tr>
        <w:trPr>
          <w:trHeight w:val="21"/>
        </w:trPr>
        <w:tc>
          <w:tcPr>
            <w:tcW w:w="7020" w:type="dxa"/>
            <w:vAlign w:val="bottom"/>
            <w:tcBorders>
              <w:bottom w:val="single" w:sz="8" w:color="D1D2D4"/>
            </w:tcBorders>
          </w:tcPr>
          <w:p>
            <w:pPr>
              <w:spacing w:after="0" w:line="20" w:lineRule="exact"/>
              <w:rPr>
                <w:sz w:val="1"/>
                <w:szCs w:val="1"/>
                <w:color w:val="auto"/>
              </w:rPr>
            </w:pPr>
          </w:p>
        </w:tc>
        <w:tc>
          <w:tcPr>
            <w:tcW w:w="252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D1D2D4"/>
            </w:tcBorders>
          </w:tcPr>
          <w:p>
            <w:pPr>
              <w:spacing w:after="0" w:line="20" w:lineRule="exact"/>
              <w:rPr>
                <w:sz w:val="1"/>
                <w:szCs w:val="1"/>
                <w:color w:val="auto"/>
              </w:rPr>
            </w:pPr>
          </w:p>
        </w:tc>
        <w:tc>
          <w:tcPr>
            <w:tcW w:w="8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D1D2D4"/>
            </w:tcBorders>
          </w:tcPr>
          <w:p>
            <w:pPr>
              <w:spacing w:after="0" w:line="20" w:lineRule="exact"/>
              <w:rPr>
                <w:sz w:val="1"/>
                <w:szCs w:val="1"/>
                <w:color w:val="auto"/>
              </w:rPr>
            </w:pPr>
          </w:p>
        </w:tc>
        <w:tc>
          <w:tcPr>
            <w:tcW w:w="440" w:type="dxa"/>
            <w:vAlign w:val="bottom"/>
            <w:tcBorders>
              <w:top w:val="single" w:sz="8" w:color="auto"/>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r>
      <w:tr>
        <w:trPr>
          <w:trHeight w:val="205"/>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Total debt and stockholder’s equity at December 31, 2021</w:t>
            </w:r>
          </w:p>
        </w:tc>
        <w:tc>
          <w:tcPr>
            <w:tcW w:w="2520" w:type="dxa"/>
            <w:vAlign w:val="bottom"/>
            <w:tcBorders>
              <w:bottom w:val="single" w:sz="8" w:color="D1D2D4"/>
            </w:tcBorders>
          </w:tcPr>
          <w:p>
            <w:pPr>
              <w:spacing w:after="0"/>
              <w:rPr>
                <w:sz w:val="17"/>
                <w:szCs w:val="17"/>
                <w:color w:val="auto"/>
              </w:rPr>
            </w:pPr>
          </w:p>
        </w:tc>
        <w:tc>
          <w:tcPr>
            <w:tcW w:w="260" w:type="dxa"/>
            <w:vAlign w:val="bottom"/>
            <w:tcBorders>
              <w:bottom w:val="single" w:sz="8" w:color="D1D2D4"/>
            </w:tcBorders>
          </w:tcPr>
          <w:p>
            <w:pPr>
              <w:spacing w:after="0"/>
              <w:rPr>
                <w:sz w:val="17"/>
                <w:szCs w:val="17"/>
                <w:color w:val="auto"/>
              </w:rPr>
            </w:pPr>
          </w:p>
        </w:tc>
        <w:tc>
          <w:tcPr>
            <w:tcW w:w="80" w:type="dxa"/>
            <w:vAlign w:val="bottom"/>
            <w:tcBorders>
              <w:bottom w:val="single" w:sz="8" w:color="D1D2D4"/>
            </w:tcBorders>
          </w:tcPr>
          <w:p>
            <w:pPr>
              <w:spacing w:after="0"/>
              <w:rPr>
                <w:sz w:val="17"/>
                <w:szCs w:val="17"/>
                <w:color w:val="auto"/>
              </w:rPr>
            </w:pPr>
          </w:p>
        </w:tc>
        <w:tc>
          <w:tcPr>
            <w:tcW w:w="360" w:type="dxa"/>
            <w:vAlign w:val="bottom"/>
            <w:tcBorders>
              <w:bottom w:val="single" w:sz="8" w:color="D1D2D4"/>
            </w:tcBorders>
          </w:tcPr>
          <w:p>
            <w:pPr>
              <w:spacing w:after="0"/>
              <w:rPr>
                <w:sz w:val="17"/>
                <w:szCs w:val="17"/>
                <w:color w:val="auto"/>
              </w:rPr>
            </w:pPr>
          </w:p>
        </w:tc>
        <w:tc>
          <w:tcPr>
            <w:tcW w:w="240" w:type="dxa"/>
            <w:vAlign w:val="bottom"/>
            <w:tcBorders>
              <w:bottom w:val="single" w:sz="8" w:color="D1D2D4"/>
            </w:tcBorders>
          </w:tcPr>
          <w:p>
            <w:pPr>
              <w:spacing w:after="0"/>
              <w:rPr>
                <w:sz w:val="17"/>
                <w:szCs w:val="17"/>
                <w:color w:val="auto"/>
              </w:rPr>
            </w:pPr>
          </w:p>
        </w:tc>
        <w:tc>
          <w:tcPr>
            <w:tcW w:w="760" w:type="dxa"/>
            <w:vAlign w:val="bottom"/>
            <w:tcBorders>
              <w:bottom w:val="single" w:sz="8" w:color="D1D2D4"/>
            </w:tcBorders>
            <w:gridSpan w:val="3"/>
          </w:tcPr>
          <w:p>
            <w:pPr>
              <w:jc w:val="right"/>
              <w:ind w:right="100"/>
              <w:spacing w:after="0"/>
              <w:rPr>
                <w:sz w:val="20"/>
                <w:szCs w:val="20"/>
                <w:color w:val="auto"/>
              </w:rPr>
            </w:pPr>
            <w:r>
              <w:rPr>
                <w:rFonts w:ascii="Arial" w:cs="Arial" w:eastAsia="Arial" w:hAnsi="Arial"/>
                <w:sz w:val="14"/>
                <w:szCs w:val="14"/>
                <w:color w:val="auto"/>
              </w:rPr>
              <w:t>$ 49,944</w:t>
            </w:r>
          </w:p>
        </w:tc>
      </w:tr>
      <w:tr>
        <w:trPr>
          <w:trHeight w:val="210"/>
        </w:trPr>
        <w:tc>
          <w:tcPr>
            <w:tcW w:w="70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Average capital employed (Non-GAAP)</w:t>
            </w:r>
          </w:p>
        </w:tc>
        <w:tc>
          <w:tcPr>
            <w:tcW w:w="2520" w:type="dxa"/>
            <w:vAlign w:val="bottom"/>
            <w:tcBorders>
              <w:bottom w:val="single" w:sz="8" w:color="D1D2D4"/>
            </w:tcBorders>
          </w:tcPr>
          <w:p>
            <w:pPr>
              <w:jc w:val="right"/>
              <w:ind w:right="88"/>
              <w:spacing w:after="0"/>
              <w:rPr>
                <w:sz w:val="20"/>
                <w:szCs w:val="20"/>
                <w:color w:val="auto"/>
              </w:rPr>
            </w:pPr>
            <w:r>
              <w:rPr>
                <w:rFonts w:ascii="Arial" w:cs="Arial" w:eastAsia="Arial" w:hAnsi="Arial"/>
                <w:sz w:val="14"/>
                <w:szCs w:val="14"/>
                <w:color w:val="auto"/>
              </w:rPr>
              <w:t>B</w:t>
            </w:r>
          </w:p>
        </w:tc>
        <w:tc>
          <w:tcPr>
            <w:tcW w:w="940" w:type="dxa"/>
            <w:vAlign w:val="bottom"/>
            <w:tcBorders>
              <w:bottom w:val="single" w:sz="8" w:color="D1D2D4"/>
            </w:tcBorders>
            <w:gridSpan w:val="4"/>
          </w:tcPr>
          <w:p>
            <w:pPr>
              <w:jc w:val="right"/>
              <w:ind w:right="240"/>
              <w:spacing w:after="0"/>
              <w:rPr>
                <w:sz w:val="20"/>
                <w:szCs w:val="20"/>
                <w:color w:val="auto"/>
              </w:rPr>
            </w:pPr>
            <w:r>
              <w:rPr>
                <w:rFonts w:ascii="Arial" w:cs="Arial" w:eastAsia="Arial" w:hAnsi="Arial"/>
                <w:sz w:val="14"/>
                <w:szCs w:val="14"/>
                <w:color w:val="auto"/>
              </w:rPr>
              <w:t>$ 49,932</w:t>
            </w:r>
          </w:p>
        </w:tc>
        <w:tc>
          <w:tcPr>
            <w:tcW w:w="22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r>
      <w:tr>
        <w:trPr>
          <w:trHeight w:val="220"/>
        </w:trPr>
        <w:tc>
          <w:tcPr>
            <w:tcW w:w="7020" w:type="dxa"/>
            <w:vAlign w:val="bottom"/>
            <w:tcBorders>
              <w:bottom w:val="single" w:sz="8" w:color="00529B"/>
            </w:tcBorders>
          </w:tcPr>
          <w:p>
            <w:pPr>
              <w:ind w:left="60"/>
              <w:spacing w:after="0"/>
              <w:rPr>
                <w:sz w:val="20"/>
                <w:szCs w:val="20"/>
                <w:color w:val="auto"/>
              </w:rPr>
            </w:pPr>
            <w:r>
              <w:rPr>
                <w:rFonts w:ascii="Arial" w:cs="Arial" w:eastAsia="Arial" w:hAnsi="Arial"/>
                <w:sz w:val="14"/>
                <w:szCs w:val="14"/>
                <w:color w:val="auto"/>
              </w:rPr>
              <w:t>CROCE (Non-GAAP)</w:t>
            </w:r>
          </w:p>
        </w:tc>
        <w:tc>
          <w:tcPr>
            <w:tcW w:w="2520" w:type="dxa"/>
            <w:vAlign w:val="bottom"/>
            <w:tcBorders>
              <w:bottom w:val="single" w:sz="8" w:color="00529B"/>
            </w:tcBorders>
          </w:tcPr>
          <w:p>
            <w:pPr>
              <w:jc w:val="right"/>
              <w:ind w:right="88"/>
              <w:spacing w:after="0"/>
              <w:rPr>
                <w:sz w:val="20"/>
                <w:szCs w:val="20"/>
                <w:color w:val="auto"/>
              </w:rPr>
            </w:pPr>
            <w:r>
              <w:rPr>
                <w:rFonts w:ascii="Arial" w:cs="Arial" w:eastAsia="Arial" w:hAnsi="Arial"/>
                <w:sz w:val="14"/>
                <w:szCs w:val="14"/>
                <w:color w:val="auto"/>
              </w:rPr>
              <w:t>A/B</w:t>
            </w:r>
          </w:p>
        </w:tc>
        <w:tc>
          <w:tcPr>
            <w:tcW w:w="940" w:type="dxa"/>
            <w:vAlign w:val="bottom"/>
            <w:tcBorders>
              <w:bottom w:val="single" w:sz="8" w:color="00529B"/>
            </w:tcBorders>
            <w:gridSpan w:val="4"/>
          </w:tcPr>
          <w:p>
            <w:pPr>
              <w:jc w:val="right"/>
              <w:ind w:right="120"/>
              <w:spacing w:after="0"/>
              <w:rPr>
                <w:sz w:val="20"/>
                <w:szCs w:val="20"/>
                <w:color w:val="auto"/>
              </w:rPr>
            </w:pPr>
            <w:r>
              <w:rPr>
                <w:rFonts w:ascii="Arial" w:cs="Arial" w:eastAsia="Arial" w:hAnsi="Arial"/>
                <w:sz w:val="14"/>
                <w:szCs w:val="14"/>
                <w:color w:val="auto"/>
              </w:rPr>
              <w:t>36.3%</w:t>
            </w:r>
          </w:p>
        </w:tc>
        <w:tc>
          <w:tcPr>
            <w:tcW w:w="220" w:type="dxa"/>
            <w:vAlign w:val="bottom"/>
            <w:tcBorders>
              <w:bottom w:val="single" w:sz="8" w:color="00529B"/>
            </w:tcBorders>
          </w:tcPr>
          <w:p>
            <w:pPr>
              <w:spacing w:after="0"/>
              <w:rPr>
                <w:sz w:val="19"/>
                <w:szCs w:val="19"/>
                <w:color w:val="auto"/>
              </w:rPr>
            </w:pPr>
          </w:p>
        </w:tc>
        <w:tc>
          <w:tcPr>
            <w:tcW w:w="440" w:type="dxa"/>
            <w:vAlign w:val="bottom"/>
            <w:tcBorders>
              <w:bottom w:val="single" w:sz="8" w:color="00529B"/>
            </w:tcBorders>
          </w:tcPr>
          <w:p>
            <w:pPr>
              <w:spacing w:after="0"/>
              <w:rPr>
                <w:sz w:val="19"/>
                <w:szCs w:val="19"/>
                <w:color w:val="auto"/>
              </w:rPr>
            </w:pPr>
          </w:p>
        </w:tc>
        <w:tc>
          <w:tcPr>
            <w:tcW w:w="100" w:type="dxa"/>
            <w:vAlign w:val="bottom"/>
            <w:tcBorders>
              <w:bottom w:val="single" w:sz="8" w:color="00529B"/>
            </w:tcBorders>
          </w:tcPr>
          <w:p>
            <w:pPr>
              <w:spacing w:after="0"/>
              <w:rPr>
                <w:sz w:val="19"/>
                <w:szCs w:val="19"/>
                <w:color w:val="auto"/>
              </w:rPr>
            </w:pPr>
          </w:p>
        </w:tc>
      </w:tr>
    </w:tbl>
    <w:p>
      <w:pPr>
        <w:spacing w:after="0" w:line="199"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ROCE is defined by Occidental as net income before interest expense and tax effect on interest expense divided by average total debt plus stockholders’ equity (average of the beginning and ending totals for the current period). Management believes that ROCE is useful to investors when comparing our profitability and the efficiency with which management has employed capital over time relative to other companies. ROCE is not considered to be an alternative to net income reported in accordance with GAAP.</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529B"/>
        </w:rPr>
        <w:t>RETURN ON CAPITAL EMPLOYED (ROCE)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652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 in millions</w:t>
            </w:r>
          </w:p>
        </w:tc>
        <w:tc>
          <w:tcPr>
            <w:tcW w:w="3060" w:type="dxa"/>
            <w:vAlign w:val="bottom"/>
            <w:tcBorders>
              <w:bottom w:val="single" w:sz="8" w:color="00529B"/>
            </w:tcBorders>
          </w:tcPr>
          <w:p>
            <w:pPr>
              <w:spacing w:after="0"/>
              <w:rPr>
                <w:sz w:val="16"/>
                <w:szCs w:val="16"/>
                <w:color w:val="auto"/>
              </w:rPr>
            </w:pPr>
          </w:p>
        </w:tc>
        <w:tc>
          <w:tcPr>
            <w:tcW w:w="240" w:type="dxa"/>
            <w:vAlign w:val="bottom"/>
            <w:tcBorders>
              <w:bottom w:val="single" w:sz="8" w:color="00529B"/>
            </w:tcBorders>
          </w:tcPr>
          <w:p>
            <w:pPr>
              <w:spacing w:after="0"/>
              <w:rPr>
                <w:sz w:val="16"/>
                <w:szCs w:val="16"/>
                <w:color w:val="auto"/>
              </w:rPr>
            </w:pPr>
          </w:p>
        </w:tc>
        <w:tc>
          <w:tcPr>
            <w:tcW w:w="780" w:type="dxa"/>
            <w:vAlign w:val="bottom"/>
            <w:tcBorders>
              <w:bottom w:val="single" w:sz="8" w:color="00529B"/>
            </w:tcBorders>
            <w:gridSpan w:val="4"/>
          </w:tcPr>
          <w:p>
            <w:pPr>
              <w:jc w:val="right"/>
              <w:ind w:right="200"/>
              <w:spacing w:after="0"/>
              <w:rPr>
                <w:sz w:val="20"/>
                <w:szCs w:val="20"/>
                <w:color w:val="auto"/>
              </w:rPr>
            </w:pPr>
            <w:r>
              <w:rPr>
                <w:rFonts w:ascii="Arial" w:cs="Arial" w:eastAsia="Arial" w:hAnsi="Arial"/>
                <w:sz w:val="13"/>
                <w:szCs w:val="13"/>
                <w:b w:val="1"/>
                <w:bCs w:val="1"/>
                <w:color w:val="00529B"/>
              </w:rPr>
              <w:t>2022</w:t>
            </w:r>
          </w:p>
        </w:tc>
        <w:tc>
          <w:tcPr>
            <w:tcW w:w="100" w:type="dxa"/>
            <w:vAlign w:val="bottom"/>
            <w:tcBorders>
              <w:bottom w:val="single" w:sz="8" w:color="00529B"/>
            </w:tcBorders>
          </w:tcPr>
          <w:p>
            <w:pPr>
              <w:spacing w:after="0"/>
              <w:rPr>
                <w:sz w:val="16"/>
                <w:szCs w:val="16"/>
                <w:color w:val="auto"/>
              </w:rPr>
            </w:pPr>
          </w:p>
        </w:tc>
        <w:tc>
          <w:tcPr>
            <w:tcW w:w="540" w:type="dxa"/>
            <w:vAlign w:val="bottom"/>
            <w:tcBorders>
              <w:bottom w:val="single" w:sz="8" w:color="00529B"/>
            </w:tcBorders>
            <w:gridSpan w:val="2"/>
          </w:tcPr>
          <w:p>
            <w:pPr>
              <w:jc w:val="right"/>
              <w:ind w:right="100"/>
              <w:spacing w:after="0"/>
              <w:rPr>
                <w:sz w:val="20"/>
                <w:szCs w:val="20"/>
                <w:color w:val="auto"/>
              </w:rPr>
            </w:pPr>
            <w:r>
              <w:rPr>
                <w:rFonts w:ascii="Arial" w:cs="Arial" w:eastAsia="Arial" w:hAnsi="Arial"/>
                <w:sz w:val="13"/>
                <w:szCs w:val="13"/>
                <w:b w:val="1"/>
                <w:bCs w:val="1"/>
                <w:color w:val="00529B"/>
              </w:rPr>
              <w:t>2021</w:t>
            </w:r>
          </w:p>
        </w:tc>
        <w:tc>
          <w:tcPr>
            <w:tcW w:w="20" w:type="dxa"/>
            <w:vAlign w:val="bottom"/>
          </w:tcPr>
          <w:p>
            <w:pPr>
              <w:spacing w:after="0"/>
              <w:rPr>
                <w:sz w:val="16"/>
                <w:szCs w:val="16"/>
                <w:color w:val="auto"/>
              </w:rPr>
            </w:pPr>
          </w:p>
        </w:tc>
      </w:tr>
      <w:tr>
        <w:trPr>
          <w:trHeight w:val="212"/>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Net Income (GAAP)</w:t>
            </w:r>
          </w:p>
        </w:tc>
        <w:tc>
          <w:tcPr>
            <w:tcW w:w="30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w w:val="97"/>
              </w:rPr>
              <w:t>13,304</w:t>
            </w:r>
          </w:p>
        </w:tc>
        <w:tc>
          <w:tcPr>
            <w:tcW w:w="28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Interest Expense</w:t>
            </w:r>
          </w:p>
        </w:tc>
        <w:tc>
          <w:tcPr>
            <w:tcW w:w="30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rPr>
              <w:t>1,030</w:t>
            </w:r>
          </w:p>
        </w:tc>
        <w:tc>
          <w:tcPr>
            <w:tcW w:w="28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6520" w:type="dxa"/>
            <w:vAlign w:val="bottom"/>
          </w:tcPr>
          <w:p>
            <w:pPr>
              <w:ind w:left="60"/>
              <w:spacing w:after="0"/>
              <w:rPr>
                <w:sz w:val="20"/>
                <w:szCs w:val="20"/>
                <w:color w:val="auto"/>
              </w:rPr>
            </w:pPr>
            <w:r>
              <w:rPr>
                <w:rFonts w:ascii="Arial" w:cs="Arial" w:eastAsia="Arial" w:hAnsi="Arial"/>
                <w:sz w:val="14"/>
                <w:szCs w:val="14"/>
                <w:color w:val="auto"/>
              </w:rPr>
              <w:t>Tax effect on interest expense</w:t>
            </w:r>
          </w:p>
        </w:tc>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6520" w:type="dxa"/>
            <w:vAlign w:val="bottom"/>
            <w:tcBorders>
              <w:bottom w:val="single" w:sz="8" w:color="D1D2D4"/>
            </w:tcBorders>
          </w:tcPr>
          <w:p>
            <w:pPr>
              <w:spacing w:after="0" w:line="20" w:lineRule="exact"/>
              <w:rPr>
                <w:sz w:val="1"/>
                <w:szCs w:val="1"/>
                <w:color w:val="auto"/>
              </w:rPr>
            </w:pPr>
          </w:p>
        </w:tc>
        <w:tc>
          <w:tcPr>
            <w:tcW w:w="306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D1D2D4"/>
            </w:tcBorders>
          </w:tcPr>
          <w:p>
            <w:pPr>
              <w:spacing w:after="0" w:line="20" w:lineRule="exact"/>
              <w:rPr>
                <w:sz w:val="1"/>
                <w:szCs w:val="1"/>
                <w:color w:val="auto"/>
              </w:rPr>
            </w:pPr>
          </w:p>
        </w:tc>
        <w:tc>
          <w:tcPr>
            <w:tcW w:w="280" w:type="dxa"/>
            <w:vAlign w:val="bottom"/>
            <w:tcBorders>
              <w:top w:val="single" w:sz="8" w:color="auto"/>
              <w:bottom w:val="single" w:sz="8" w:color="D1D2D4"/>
            </w:tcBorders>
          </w:tcPr>
          <w:p>
            <w:pPr>
              <w:spacing w:after="0" w:line="20" w:lineRule="exact"/>
              <w:rPr>
                <w:sz w:val="1"/>
                <w:szCs w:val="1"/>
                <w:color w:val="auto"/>
              </w:rPr>
            </w:pPr>
          </w:p>
        </w:tc>
        <w:tc>
          <w:tcPr>
            <w:tcW w:w="60" w:type="dxa"/>
            <w:vAlign w:val="bottom"/>
            <w:tcBorders>
              <w:top w:val="single" w:sz="8" w:color="auto"/>
              <w:bottom w:val="single" w:sz="8" w:color="D1D2D4"/>
            </w:tcBorders>
          </w:tcPr>
          <w:p>
            <w:pPr>
              <w:spacing w:after="0" w:line="20" w:lineRule="exact"/>
              <w:rPr>
                <w:sz w:val="1"/>
                <w:szCs w:val="1"/>
                <w:color w:val="auto"/>
              </w:rPr>
            </w:pPr>
          </w:p>
        </w:tc>
        <w:tc>
          <w:tcPr>
            <w:tcW w:w="28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Net income before interest expense (Non-GAAP)</w:t>
            </w:r>
          </w:p>
        </w:tc>
        <w:tc>
          <w:tcPr>
            <w:tcW w:w="30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A</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w w:val="97"/>
              </w:rPr>
              <w:t>14,118</w:t>
            </w:r>
          </w:p>
        </w:tc>
        <w:tc>
          <w:tcPr>
            <w:tcW w:w="28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spacing w:after="0"/>
              <w:rPr>
                <w:sz w:val="17"/>
                <w:szCs w:val="17"/>
                <w:color w:val="auto"/>
              </w:rPr>
            </w:pPr>
          </w:p>
        </w:tc>
        <w:tc>
          <w:tcPr>
            <w:tcW w:w="44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Current maturities on long-term debt</w:t>
            </w:r>
          </w:p>
        </w:tc>
        <w:tc>
          <w:tcPr>
            <w:tcW w:w="30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rPr>
              <w:t>165</w:t>
            </w:r>
          </w:p>
        </w:tc>
        <w:tc>
          <w:tcPr>
            <w:tcW w:w="28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Long-term debt, net at December 31, 2022</w:t>
            </w:r>
          </w:p>
        </w:tc>
        <w:tc>
          <w:tcPr>
            <w:tcW w:w="30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w w:val="97"/>
              </w:rPr>
              <w:t>19,670</w:t>
            </w:r>
          </w:p>
        </w:tc>
        <w:tc>
          <w:tcPr>
            <w:tcW w:w="28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6520" w:type="dxa"/>
            <w:vAlign w:val="bottom"/>
          </w:tcPr>
          <w:p>
            <w:pPr>
              <w:ind w:left="60"/>
              <w:spacing w:after="0"/>
              <w:rPr>
                <w:sz w:val="20"/>
                <w:szCs w:val="20"/>
                <w:color w:val="auto"/>
              </w:rPr>
            </w:pPr>
            <w:r>
              <w:rPr>
                <w:rFonts w:ascii="Arial" w:cs="Arial" w:eastAsia="Arial" w:hAnsi="Arial"/>
                <w:sz w:val="14"/>
                <w:szCs w:val="14"/>
                <w:color w:val="auto"/>
              </w:rPr>
              <w:t>Total stockholder’s equity at December 31, 2022</w:t>
            </w:r>
          </w:p>
        </w:tc>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color w:val="auto"/>
                <w:w w:val="97"/>
              </w:rPr>
              <w:t>30,085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6520" w:type="dxa"/>
            <w:vAlign w:val="bottom"/>
            <w:tcBorders>
              <w:bottom w:val="single" w:sz="8" w:color="D1D2D4"/>
            </w:tcBorders>
          </w:tcPr>
          <w:p>
            <w:pPr>
              <w:spacing w:after="0" w:line="20" w:lineRule="exact"/>
              <w:rPr>
                <w:sz w:val="1"/>
                <w:szCs w:val="1"/>
                <w:color w:val="auto"/>
              </w:rPr>
            </w:pPr>
          </w:p>
        </w:tc>
        <w:tc>
          <w:tcPr>
            <w:tcW w:w="306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D1D2D4"/>
            </w:tcBorders>
          </w:tcPr>
          <w:p>
            <w:pPr>
              <w:spacing w:after="0" w:line="20" w:lineRule="exact"/>
              <w:rPr>
                <w:sz w:val="1"/>
                <w:szCs w:val="1"/>
                <w:color w:val="auto"/>
              </w:rPr>
            </w:pPr>
          </w:p>
        </w:tc>
        <w:tc>
          <w:tcPr>
            <w:tcW w:w="160" w:type="dxa"/>
            <w:vAlign w:val="bottom"/>
            <w:tcBorders>
              <w:top w:val="single" w:sz="8" w:color="auto"/>
              <w:bottom w:val="single" w:sz="8" w:color="D1D2D4"/>
            </w:tcBorders>
          </w:tcPr>
          <w:p>
            <w:pPr>
              <w:spacing w:after="0" w:line="20" w:lineRule="exact"/>
              <w:rPr>
                <w:sz w:val="1"/>
                <w:szCs w:val="1"/>
                <w:color w:val="auto"/>
              </w:rPr>
            </w:pPr>
          </w:p>
        </w:tc>
        <w:tc>
          <w:tcPr>
            <w:tcW w:w="280" w:type="dxa"/>
            <w:vAlign w:val="bottom"/>
            <w:tcBorders>
              <w:top w:val="single" w:sz="8" w:color="auto"/>
              <w:bottom w:val="single" w:sz="8" w:color="D1D2D4"/>
            </w:tcBorders>
          </w:tcPr>
          <w:p>
            <w:pPr>
              <w:spacing w:after="0" w:line="20" w:lineRule="exact"/>
              <w:rPr>
                <w:sz w:val="1"/>
                <w:szCs w:val="1"/>
                <w:color w:val="auto"/>
              </w:rPr>
            </w:pPr>
          </w:p>
        </w:tc>
        <w:tc>
          <w:tcPr>
            <w:tcW w:w="6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Total debt and stockholder’s equity at December 31, 2022</w:t>
            </w:r>
          </w:p>
        </w:tc>
        <w:tc>
          <w:tcPr>
            <w:tcW w:w="3060" w:type="dxa"/>
            <w:vAlign w:val="bottom"/>
            <w:tcBorders>
              <w:bottom w:val="single" w:sz="8" w:color="D1D2D4"/>
            </w:tcBorders>
          </w:tcPr>
          <w:p>
            <w:pPr>
              <w:spacing w:after="0"/>
              <w:rPr>
                <w:sz w:val="17"/>
                <w:szCs w:val="17"/>
                <w:color w:val="auto"/>
              </w:rPr>
            </w:pP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w w:val="97"/>
              </w:rPr>
              <w:t>49,920</w:t>
            </w:r>
          </w:p>
        </w:tc>
        <w:tc>
          <w:tcPr>
            <w:tcW w:w="28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spacing w:after="0"/>
              <w:rPr>
                <w:sz w:val="17"/>
                <w:szCs w:val="17"/>
                <w:color w:val="auto"/>
              </w:rPr>
            </w:pPr>
          </w:p>
        </w:tc>
        <w:tc>
          <w:tcPr>
            <w:tcW w:w="440" w:type="dxa"/>
            <w:vAlign w:val="bottom"/>
            <w:tcBorders>
              <w:bottom w:val="single" w:sz="8" w:color="D1D2D4"/>
            </w:tcBorders>
          </w:tcPr>
          <w:p>
            <w:pPr>
              <w:spacing w:after="0"/>
              <w:rPr>
                <w:sz w:val="17"/>
                <w:szCs w:val="17"/>
                <w:color w:val="auto"/>
              </w:rPr>
            </w:pPr>
          </w:p>
        </w:tc>
        <w:tc>
          <w:tcPr>
            <w:tcW w:w="100" w:type="dxa"/>
            <w:vAlign w:val="bottom"/>
            <w:tcBorders>
              <w:bottom w:val="single" w:sz="8" w:color="D1D2D4"/>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Current maturities on long-term debt at December 31, 2021</w:t>
            </w:r>
          </w:p>
        </w:tc>
        <w:tc>
          <w:tcPr>
            <w:tcW w:w="30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880" w:type="dxa"/>
            <w:vAlign w:val="bottom"/>
            <w:tcBorders>
              <w:bottom w:val="single" w:sz="8" w:color="D1D2D4"/>
            </w:tcBorders>
            <w:gridSpan w:val="5"/>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1D2D4"/>
            </w:tcBorders>
            <w:gridSpan w:val="2"/>
          </w:tcPr>
          <w:p>
            <w:pPr>
              <w:jc w:val="right"/>
              <w:ind w:right="100"/>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8"/>
                <w:szCs w:val="18"/>
                <w:color w:val="auto"/>
              </w:rPr>
            </w:pPr>
          </w:p>
        </w:tc>
      </w:tr>
      <w:tr>
        <w:trPr>
          <w:trHeight w:val="210"/>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Long-term debt, net at December 31, 2021</w:t>
            </w:r>
          </w:p>
        </w:tc>
        <w:tc>
          <w:tcPr>
            <w:tcW w:w="3060" w:type="dxa"/>
            <w:vAlign w:val="bottom"/>
            <w:tcBorders>
              <w:bottom w:val="single" w:sz="8" w:color="D1D2D4"/>
            </w:tcBorders>
          </w:tcPr>
          <w:p>
            <w:pPr>
              <w:spacing w:after="0"/>
              <w:rPr>
                <w:sz w:val="18"/>
                <w:szCs w:val="18"/>
                <w:color w:val="auto"/>
              </w:rPr>
            </w:pPr>
          </w:p>
        </w:tc>
        <w:tc>
          <w:tcPr>
            <w:tcW w:w="24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60" w:type="dxa"/>
            <w:vAlign w:val="bottom"/>
            <w:tcBorders>
              <w:bottom w:val="single" w:sz="8" w:color="D1D2D4"/>
            </w:tcBorders>
          </w:tcPr>
          <w:p>
            <w:pPr>
              <w:spacing w:after="0"/>
              <w:rPr>
                <w:sz w:val="18"/>
                <w:szCs w:val="18"/>
                <w:color w:val="auto"/>
              </w:rPr>
            </w:pPr>
          </w:p>
        </w:tc>
        <w:tc>
          <w:tcPr>
            <w:tcW w:w="28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540" w:type="dxa"/>
            <w:vAlign w:val="bottom"/>
            <w:tcBorders>
              <w:bottom w:val="single" w:sz="8" w:color="D1D2D4"/>
            </w:tcBorders>
            <w:gridSpan w:val="2"/>
          </w:tcPr>
          <w:p>
            <w:pPr>
              <w:jc w:val="right"/>
              <w:ind w:right="100"/>
              <w:spacing w:after="0"/>
              <w:rPr>
                <w:sz w:val="20"/>
                <w:szCs w:val="20"/>
                <w:color w:val="auto"/>
              </w:rPr>
            </w:pPr>
            <w:r>
              <w:rPr>
                <w:rFonts w:ascii="Arial" w:cs="Arial" w:eastAsia="Arial" w:hAnsi="Arial"/>
                <w:sz w:val="14"/>
                <w:szCs w:val="14"/>
                <w:color w:val="auto"/>
                <w:w w:val="97"/>
              </w:rPr>
              <w:t>29,431</w:t>
            </w:r>
          </w:p>
        </w:tc>
        <w:tc>
          <w:tcPr>
            <w:tcW w:w="20" w:type="dxa"/>
            <w:vAlign w:val="bottom"/>
          </w:tcPr>
          <w:p>
            <w:pPr>
              <w:spacing w:after="0"/>
              <w:rPr>
                <w:sz w:val="18"/>
                <w:szCs w:val="18"/>
                <w:color w:val="auto"/>
              </w:rPr>
            </w:pPr>
          </w:p>
        </w:tc>
      </w:tr>
      <w:tr>
        <w:trPr>
          <w:trHeight w:val="173"/>
        </w:trPr>
        <w:tc>
          <w:tcPr>
            <w:tcW w:w="6520" w:type="dxa"/>
            <w:vAlign w:val="bottom"/>
          </w:tcPr>
          <w:p>
            <w:pPr>
              <w:ind w:left="60"/>
              <w:spacing w:after="0"/>
              <w:rPr>
                <w:sz w:val="20"/>
                <w:szCs w:val="20"/>
                <w:color w:val="auto"/>
              </w:rPr>
            </w:pPr>
            <w:r>
              <w:rPr>
                <w:rFonts w:ascii="Arial" w:cs="Arial" w:eastAsia="Arial" w:hAnsi="Arial"/>
                <w:sz w:val="14"/>
                <w:szCs w:val="14"/>
                <w:color w:val="auto"/>
              </w:rPr>
              <w:t>Total equity at December 31, 2021</w:t>
            </w:r>
          </w:p>
        </w:tc>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20,327</w:t>
            </w:r>
          </w:p>
        </w:tc>
        <w:tc>
          <w:tcPr>
            <w:tcW w:w="20" w:type="dxa"/>
            <w:vAlign w:val="bottom"/>
          </w:tcPr>
          <w:p>
            <w:pPr>
              <w:spacing w:after="0"/>
              <w:rPr>
                <w:sz w:val="15"/>
                <w:szCs w:val="15"/>
                <w:color w:val="auto"/>
              </w:rPr>
            </w:pPr>
          </w:p>
        </w:tc>
      </w:tr>
      <w:tr>
        <w:trPr>
          <w:trHeight w:val="21"/>
        </w:trPr>
        <w:tc>
          <w:tcPr>
            <w:tcW w:w="6520" w:type="dxa"/>
            <w:vAlign w:val="bottom"/>
            <w:tcBorders>
              <w:bottom w:val="single" w:sz="8" w:color="D1D2D4"/>
            </w:tcBorders>
          </w:tcPr>
          <w:p>
            <w:pPr>
              <w:spacing w:after="0" w:line="20" w:lineRule="exact"/>
              <w:rPr>
                <w:sz w:val="1"/>
                <w:szCs w:val="1"/>
                <w:color w:val="auto"/>
              </w:rPr>
            </w:pPr>
          </w:p>
        </w:tc>
        <w:tc>
          <w:tcPr>
            <w:tcW w:w="306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D1D2D4"/>
            </w:tcBorders>
          </w:tcPr>
          <w:p>
            <w:pPr>
              <w:spacing w:after="0" w:line="20" w:lineRule="exact"/>
              <w:rPr>
                <w:sz w:val="1"/>
                <w:szCs w:val="1"/>
                <w:color w:val="auto"/>
              </w:rPr>
            </w:pPr>
          </w:p>
        </w:tc>
        <w:tc>
          <w:tcPr>
            <w:tcW w:w="6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440" w:type="dxa"/>
            <w:vAlign w:val="bottom"/>
            <w:tcBorders>
              <w:top w:val="single" w:sz="8" w:color="auto"/>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Total debt and stockholder’s equity at December 31, 2021</w:t>
            </w:r>
          </w:p>
        </w:tc>
        <w:tc>
          <w:tcPr>
            <w:tcW w:w="3060" w:type="dxa"/>
            <w:vAlign w:val="bottom"/>
            <w:tcBorders>
              <w:bottom w:val="single" w:sz="8" w:color="D1D2D4"/>
            </w:tcBorders>
          </w:tcPr>
          <w:p>
            <w:pPr>
              <w:spacing w:after="0"/>
              <w:rPr>
                <w:sz w:val="17"/>
                <w:szCs w:val="17"/>
                <w:color w:val="auto"/>
              </w:rPr>
            </w:pPr>
          </w:p>
        </w:tc>
        <w:tc>
          <w:tcPr>
            <w:tcW w:w="240" w:type="dxa"/>
            <w:vAlign w:val="bottom"/>
            <w:tcBorders>
              <w:bottom w:val="single" w:sz="8" w:color="D1D2D4"/>
            </w:tcBorders>
          </w:tcPr>
          <w:p>
            <w:pPr>
              <w:spacing w:after="0"/>
              <w:rPr>
                <w:sz w:val="17"/>
                <w:szCs w:val="17"/>
                <w:color w:val="auto"/>
              </w:rPr>
            </w:pPr>
          </w:p>
        </w:tc>
        <w:tc>
          <w:tcPr>
            <w:tcW w:w="880" w:type="dxa"/>
            <w:vAlign w:val="bottom"/>
            <w:tcBorders>
              <w:bottom w:val="single" w:sz="8" w:color="D1D2D4"/>
            </w:tcBorders>
            <w:gridSpan w:val="5"/>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1D2D4"/>
            </w:tcBorders>
            <w:gridSpan w:val="2"/>
          </w:tcPr>
          <w:p>
            <w:pPr>
              <w:jc w:val="right"/>
              <w:ind w:right="100"/>
              <w:spacing w:after="0"/>
              <w:rPr>
                <w:sz w:val="20"/>
                <w:szCs w:val="20"/>
                <w:color w:val="auto"/>
              </w:rPr>
            </w:pPr>
            <w:r>
              <w:rPr>
                <w:rFonts w:ascii="Arial" w:cs="Arial" w:eastAsia="Arial" w:hAnsi="Arial"/>
                <w:sz w:val="14"/>
                <w:szCs w:val="14"/>
                <w:color w:val="auto"/>
                <w:w w:val="97"/>
              </w:rPr>
              <w:t>49,944</w:t>
            </w:r>
          </w:p>
        </w:tc>
        <w:tc>
          <w:tcPr>
            <w:tcW w:w="20" w:type="dxa"/>
            <w:vAlign w:val="bottom"/>
          </w:tcPr>
          <w:p>
            <w:pPr>
              <w:spacing w:after="0"/>
              <w:rPr>
                <w:sz w:val="17"/>
                <w:szCs w:val="17"/>
                <w:color w:val="auto"/>
              </w:rPr>
            </w:pPr>
          </w:p>
        </w:tc>
      </w:tr>
      <w:tr>
        <w:trPr>
          <w:trHeight w:val="210"/>
        </w:trPr>
        <w:tc>
          <w:tcPr>
            <w:tcW w:w="65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Average capital employed (Non-GAAP)</w:t>
            </w:r>
          </w:p>
        </w:tc>
        <w:tc>
          <w:tcPr>
            <w:tcW w:w="3060" w:type="dxa"/>
            <w:vAlign w:val="bottom"/>
            <w:tcBorders>
              <w:bottom w:val="single" w:sz="8" w:color="D1D2D4"/>
            </w:tcBorders>
          </w:tcPr>
          <w:p>
            <w:pPr>
              <w:jc w:val="right"/>
              <w:ind w:right="68"/>
              <w:spacing w:after="0"/>
              <w:rPr>
                <w:sz w:val="20"/>
                <w:szCs w:val="20"/>
                <w:color w:val="auto"/>
              </w:rPr>
            </w:pPr>
            <w:r>
              <w:rPr>
                <w:rFonts w:ascii="Arial" w:cs="Arial" w:eastAsia="Arial" w:hAnsi="Arial"/>
                <w:sz w:val="14"/>
                <w:szCs w:val="14"/>
                <w:color w:val="auto"/>
              </w:rPr>
              <w:t>B</w:t>
            </w:r>
          </w:p>
        </w:tc>
        <w:tc>
          <w:tcPr>
            <w:tcW w:w="24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1D2D4"/>
            </w:tcBorders>
            <w:gridSpan w:val="3"/>
          </w:tcPr>
          <w:p>
            <w:pPr>
              <w:jc w:val="right"/>
              <w:ind w:right="60"/>
              <w:spacing w:after="0"/>
              <w:rPr>
                <w:sz w:val="20"/>
                <w:szCs w:val="20"/>
                <w:color w:val="auto"/>
              </w:rPr>
            </w:pPr>
            <w:r>
              <w:rPr>
                <w:rFonts w:ascii="Arial" w:cs="Arial" w:eastAsia="Arial" w:hAnsi="Arial"/>
                <w:sz w:val="14"/>
                <w:szCs w:val="14"/>
                <w:color w:val="auto"/>
                <w:w w:val="97"/>
              </w:rPr>
              <w:t>49,932</w:t>
            </w:r>
          </w:p>
        </w:tc>
        <w:tc>
          <w:tcPr>
            <w:tcW w:w="28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440" w:type="dxa"/>
            <w:vAlign w:val="bottom"/>
            <w:tcBorders>
              <w:bottom w:val="single" w:sz="8" w:color="D1D2D4"/>
            </w:tcBorders>
          </w:tcPr>
          <w:p>
            <w:pPr>
              <w:spacing w:after="0"/>
              <w:rPr>
                <w:sz w:val="18"/>
                <w:szCs w:val="18"/>
                <w:color w:val="auto"/>
              </w:rPr>
            </w:pPr>
          </w:p>
        </w:tc>
        <w:tc>
          <w:tcPr>
            <w:tcW w:w="10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6520" w:type="dxa"/>
            <w:vAlign w:val="bottom"/>
            <w:tcBorders>
              <w:bottom w:val="single" w:sz="8" w:color="00529B"/>
            </w:tcBorders>
          </w:tcPr>
          <w:p>
            <w:pPr>
              <w:ind w:left="60"/>
              <w:spacing w:after="0"/>
              <w:rPr>
                <w:sz w:val="20"/>
                <w:szCs w:val="20"/>
                <w:color w:val="auto"/>
              </w:rPr>
            </w:pPr>
            <w:r>
              <w:rPr>
                <w:rFonts w:ascii="Arial" w:cs="Arial" w:eastAsia="Arial" w:hAnsi="Arial"/>
                <w:sz w:val="14"/>
                <w:szCs w:val="14"/>
                <w:color w:val="auto"/>
              </w:rPr>
              <w:t>ROCE (Non-GAAP)</w:t>
            </w:r>
          </w:p>
        </w:tc>
        <w:tc>
          <w:tcPr>
            <w:tcW w:w="3060" w:type="dxa"/>
            <w:vAlign w:val="bottom"/>
            <w:tcBorders>
              <w:bottom w:val="single" w:sz="8" w:color="00529B"/>
            </w:tcBorders>
          </w:tcPr>
          <w:p>
            <w:pPr>
              <w:jc w:val="right"/>
              <w:ind w:right="68"/>
              <w:spacing w:after="0"/>
              <w:rPr>
                <w:sz w:val="20"/>
                <w:szCs w:val="20"/>
                <w:color w:val="auto"/>
              </w:rPr>
            </w:pPr>
            <w:r>
              <w:rPr>
                <w:rFonts w:ascii="Arial" w:cs="Arial" w:eastAsia="Arial" w:hAnsi="Arial"/>
                <w:sz w:val="14"/>
                <w:szCs w:val="14"/>
                <w:color w:val="auto"/>
              </w:rPr>
              <w:t>A/B</w:t>
            </w:r>
          </w:p>
        </w:tc>
        <w:tc>
          <w:tcPr>
            <w:tcW w:w="240" w:type="dxa"/>
            <w:vAlign w:val="bottom"/>
            <w:tcBorders>
              <w:bottom w:val="single" w:sz="8" w:color="00529B"/>
            </w:tcBorders>
          </w:tcPr>
          <w:p>
            <w:pPr>
              <w:spacing w:after="0"/>
              <w:rPr>
                <w:sz w:val="19"/>
                <w:szCs w:val="19"/>
                <w:color w:val="auto"/>
              </w:rPr>
            </w:pPr>
          </w:p>
        </w:tc>
        <w:tc>
          <w:tcPr>
            <w:tcW w:w="780" w:type="dxa"/>
            <w:vAlign w:val="bottom"/>
            <w:tcBorders>
              <w:bottom w:val="single" w:sz="8" w:color="00529B"/>
            </w:tcBorders>
            <w:gridSpan w:val="4"/>
          </w:tcPr>
          <w:p>
            <w:pPr>
              <w:jc w:val="right"/>
              <w:ind w:right="200"/>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00529B"/>
            </w:tcBorders>
          </w:tcPr>
          <w:p>
            <w:pPr>
              <w:spacing w:after="0"/>
              <w:rPr>
                <w:sz w:val="19"/>
                <w:szCs w:val="19"/>
                <w:color w:val="auto"/>
              </w:rPr>
            </w:pPr>
          </w:p>
        </w:tc>
        <w:tc>
          <w:tcPr>
            <w:tcW w:w="440" w:type="dxa"/>
            <w:vAlign w:val="bottom"/>
            <w:tcBorders>
              <w:bottom w:val="single" w:sz="8" w:color="00529B"/>
            </w:tcBorders>
          </w:tcPr>
          <w:p>
            <w:pPr>
              <w:spacing w:after="0"/>
              <w:rPr>
                <w:sz w:val="19"/>
                <w:szCs w:val="19"/>
                <w:color w:val="auto"/>
              </w:rPr>
            </w:pPr>
          </w:p>
        </w:tc>
        <w:tc>
          <w:tcPr>
            <w:tcW w:w="100" w:type="dxa"/>
            <w:vAlign w:val="bottom"/>
            <w:tcBorders>
              <w:bottom w:val="single" w:sz="8" w:color="00529B"/>
            </w:tcBorders>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6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520" w:type="dxa"/>
            <w:vAlign w:val="bottom"/>
            <w:tcBorders>
              <w:left w:val="single" w:sz="8" w:color="auto"/>
            </w:tcBorders>
          </w:tcPr>
          <w:p>
            <w:pPr>
              <w:ind w:left="200"/>
              <w:spacing w:after="0"/>
              <w:rPr>
                <w:sz w:val="20"/>
                <w:szCs w:val="20"/>
                <w:color w:val="auto"/>
              </w:rPr>
            </w:pPr>
            <w:r>
              <w:rPr>
                <w:rFonts w:ascii="Arial" w:cs="Arial" w:eastAsia="Arial" w:hAnsi="Arial"/>
                <w:sz w:val="14"/>
                <w:szCs w:val="14"/>
                <w:b w:val="1"/>
                <w:bCs w:val="1"/>
                <w:color w:val="auto"/>
              </w:rPr>
              <w:t>94</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-361315</wp:posOffset>
            </wp:positionV>
            <wp:extent cx="257175" cy="2743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257175" cy="27432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10560"/>
        <w:spacing w:after="0"/>
        <w:rPr>
          <w:sz w:val="20"/>
          <w:szCs w:val="20"/>
          <w:color w:val="auto"/>
        </w:rPr>
      </w:pPr>
      <w:r>
        <w:rPr>
          <w:rFonts w:ascii="Arial" w:cs="Arial" w:eastAsia="Arial" w:hAnsi="Arial"/>
          <w:sz w:val="15"/>
          <w:szCs w:val="15"/>
          <w:color w:val="auto"/>
        </w:rPr>
        <w:t>ANNEX A</w:t>
      </w:r>
    </w:p>
    <w:p>
      <w:pPr>
        <w:spacing w:after="0" w:line="206" w:lineRule="exact"/>
        <w:rPr>
          <w:sz w:val="20"/>
          <w:szCs w:val="20"/>
          <w:color w:val="auto"/>
        </w:rPr>
      </w:pPr>
    </w:p>
    <w:p>
      <w:pPr>
        <w:ind w:right="200"/>
        <w:spacing w:after="0" w:line="234" w:lineRule="auto"/>
        <w:rPr>
          <w:sz w:val="20"/>
          <w:szCs w:val="20"/>
          <w:color w:val="auto"/>
        </w:rPr>
      </w:pPr>
      <w:r>
        <w:rPr>
          <w:rFonts w:ascii="Arial" w:cs="Arial" w:eastAsia="Arial" w:hAnsi="Arial"/>
          <w:sz w:val="15"/>
          <w:szCs w:val="15"/>
          <w:color w:val="auto"/>
        </w:rPr>
        <w:t>Operating cash flow before working capital and free cash flow are non-GAAP measures. Occidental defines operating cash flow before working capital as operating cash from continuing operations less working capital and free cash flow as operating cash flow before working capital less capital expenditures. These non-GAAP measures are not meant to disassociate those items from management’s performance, but rather are meant to provide useful information to investors interested in comparing Occidental’s performance between periods. Reported operating cash flow from continuing operations is considered representative of management’s performance over the long term, and operating cash flow before working capital and free cash flow are not considered to be alternatives to reported operating cash flow in accordance with GAAP.</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529B"/>
        </w:rPr>
        <w:t>FREE CASH FLOW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Borders>
              <w:bottom w:val="single" w:sz="8" w:color="00529B"/>
            </w:tcBorders>
          </w:tcPr>
          <w:p>
            <w:pPr>
              <w:ind w:left="60"/>
              <w:spacing w:after="0"/>
              <w:rPr>
                <w:sz w:val="20"/>
                <w:szCs w:val="20"/>
                <w:color w:val="auto"/>
              </w:rPr>
            </w:pPr>
            <w:r>
              <w:rPr>
                <w:rFonts w:ascii="Arial" w:cs="Arial" w:eastAsia="Arial" w:hAnsi="Arial"/>
                <w:sz w:val="13"/>
                <w:szCs w:val="13"/>
                <w:b w:val="1"/>
                <w:bCs w:val="1"/>
                <w:color w:val="00529B"/>
              </w:rPr>
              <w:t>$ in millions</w:t>
            </w:r>
          </w:p>
        </w:tc>
        <w:tc>
          <w:tcPr>
            <w:tcW w:w="2700" w:type="dxa"/>
            <w:vAlign w:val="bottom"/>
            <w:tcBorders>
              <w:bottom w:val="single" w:sz="8" w:color="00529B"/>
            </w:tcBorders>
          </w:tcPr>
          <w:p>
            <w:pPr>
              <w:spacing w:after="0"/>
              <w:rPr>
                <w:sz w:val="16"/>
                <w:szCs w:val="16"/>
                <w:color w:val="auto"/>
              </w:rPr>
            </w:pPr>
          </w:p>
        </w:tc>
        <w:tc>
          <w:tcPr>
            <w:tcW w:w="560" w:type="dxa"/>
            <w:vAlign w:val="bottom"/>
            <w:tcBorders>
              <w:bottom w:val="single" w:sz="8" w:color="00529B"/>
            </w:tcBorders>
            <w:gridSpan w:val="4"/>
          </w:tcPr>
          <w:p>
            <w:pPr>
              <w:jc w:val="right"/>
              <w:ind w:right="40"/>
              <w:spacing w:after="0"/>
              <w:rPr>
                <w:sz w:val="20"/>
                <w:szCs w:val="20"/>
                <w:color w:val="auto"/>
              </w:rPr>
            </w:pPr>
            <w:r>
              <w:rPr>
                <w:rFonts w:ascii="Arial" w:cs="Arial" w:eastAsia="Arial" w:hAnsi="Arial"/>
                <w:sz w:val="13"/>
                <w:szCs w:val="13"/>
                <w:b w:val="1"/>
                <w:bCs w:val="1"/>
                <w:color w:val="00529B"/>
              </w:rPr>
              <w:t>2022</w:t>
            </w:r>
          </w:p>
        </w:tc>
        <w:tc>
          <w:tcPr>
            <w:tcW w:w="60" w:type="dxa"/>
            <w:vAlign w:val="bottom"/>
            <w:tcBorders>
              <w:bottom w:val="single" w:sz="8" w:color="00529B"/>
            </w:tcBorders>
          </w:tcPr>
          <w:p>
            <w:pPr>
              <w:spacing w:after="0"/>
              <w:rPr>
                <w:sz w:val="16"/>
                <w:szCs w:val="16"/>
                <w:color w:val="auto"/>
              </w:rPr>
            </w:pPr>
          </w:p>
        </w:tc>
      </w:tr>
      <w:tr>
        <w:trPr>
          <w:trHeight w:val="212"/>
        </w:trPr>
        <w:tc>
          <w:tcPr>
            <w:tcW w:w="79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Operating cash flow from continuing operations (GAAP)</w:t>
            </w:r>
          </w:p>
        </w:tc>
        <w:tc>
          <w:tcPr>
            <w:tcW w:w="27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1D2D4"/>
            </w:tcBorders>
            <w:gridSpan w:val="4"/>
          </w:tcPr>
          <w:p>
            <w:pPr>
              <w:jc w:val="right"/>
              <w:ind w:right="40"/>
              <w:spacing w:after="0"/>
              <w:rPr>
                <w:sz w:val="20"/>
                <w:szCs w:val="20"/>
                <w:color w:val="auto"/>
              </w:rPr>
            </w:pPr>
            <w:r>
              <w:rPr>
                <w:rFonts w:ascii="Arial" w:cs="Arial" w:eastAsia="Arial" w:hAnsi="Arial"/>
                <w:sz w:val="14"/>
                <w:szCs w:val="14"/>
                <w:color w:val="auto"/>
              </w:rPr>
              <w:t>16,810</w:t>
            </w:r>
          </w:p>
        </w:tc>
        <w:tc>
          <w:tcPr>
            <w:tcW w:w="60" w:type="dxa"/>
            <w:vAlign w:val="bottom"/>
            <w:tcBorders>
              <w:bottom w:val="single" w:sz="8" w:color="D1D2D4"/>
            </w:tcBorders>
          </w:tcPr>
          <w:p>
            <w:pPr>
              <w:spacing w:after="0"/>
              <w:rPr>
                <w:sz w:val="18"/>
                <w:szCs w:val="18"/>
                <w:color w:val="auto"/>
              </w:rPr>
            </w:pPr>
          </w:p>
        </w:tc>
      </w:tr>
      <w:tr>
        <w:trPr>
          <w:trHeight w:val="173"/>
        </w:trPr>
        <w:tc>
          <w:tcPr>
            <w:tcW w:w="7920" w:type="dxa"/>
            <w:vAlign w:val="bottom"/>
          </w:tcPr>
          <w:p>
            <w:pPr>
              <w:ind w:left="280"/>
              <w:spacing w:after="0"/>
              <w:rPr>
                <w:sz w:val="20"/>
                <w:szCs w:val="20"/>
                <w:color w:val="auto"/>
              </w:rPr>
            </w:pPr>
            <w:r>
              <w:rPr>
                <w:rFonts w:ascii="Arial" w:cs="Arial" w:eastAsia="Arial" w:hAnsi="Arial"/>
                <w:sz w:val="14"/>
                <w:szCs w:val="14"/>
                <w:color w:val="auto"/>
              </w:rPr>
              <w:t>Plus: Working capital and other, net</w:t>
            </w:r>
          </w:p>
        </w:tc>
        <w:tc>
          <w:tcPr>
            <w:tcW w:w="2700" w:type="dxa"/>
            <w:vAlign w:val="bottom"/>
          </w:tcPr>
          <w:p>
            <w:pPr>
              <w:spacing w:after="0"/>
              <w:rPr>
                <w:sz w:val="15"/>
                <w:szCs w:val="15"/>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4"/>
                <w:szCs w:val="14"/>
                <w:color w:val="auto"/>
              </w:rPr>
              <w:t>1,325</w:t>
            </w:r>
          </w:p>
        </w:tc>
        <w:tc>
          <w:tcPr>
            <w:tcW w:w="60" w:type="dxa"/>
            <w:vAlign w:val="bottom"/>
          </w:tcPr>
          <w:p>
            <w:pPr>
              <w:spacing w:after="0"/>
              <w:rPr>
                <w:sz w:val="15"/>
                <w:szCs w:val="15"/>
                <w:color w:val="auto"/>
              </w:rPr>
            </w:pPr>
          </w:p>
        </w:tc>
      </w:tr>
      <w:tr>
        <w:trPr>
          <w:trHeight w:val="20"/>
        </w:trPr>
        <w:tc>
          <w:tcPr>
            <w:tcW w:w="7920" w:type="dxa"/>
            <w:vAlign w:val="bottom"/>
            <w:tcBorders>
              <w:bottom w:val="single" w:sz="8" w:color="D1D2D4"/>
            </w:tcBorders>
          </w:tcPr>
          <w:p>
            <w:pPr>
              <w:spacing w:after="0" w:line="20" w:lineRule="exact"/>
              <w:rPr>
                <w:sz w:val="1"/>
                <w:szCs w:val="1"/>
                <w:color w:val="auto"/>
              </w:rPr>
            </w:pPr>
          </w:p>
        </w:tc>
        <w:tc>
          <w:tcPr>
            <w:tcW w:w="270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60" w:type="dxa"/>
            <w:vAlign w:val="bottom"/>
            <w:tcBorders>
              <w:bottom w:val="single" w:sz="8" w:color="D1D2D4"/>
            </w:tcBorders>
          </w:tcPr>
          <w:p>
            <w:pPr>
              <w:spacing w:after="0" w:line="20" w:lineRule="exact"/>
              <w:rPr>
                <w:sz w:val="1"/>
                <w:szCs w:val="1"/>
                <w:color w:val="auto"/>
              </w:rPr>
            </w:pPr>
          </w:p>
        </w:tc>
        <w:tc>
          <w:tcPr>
            <w:tcW w:w="360" w:type="dxa"/>
            <w:vAlign w:val="bottom"/>
            <w:tcBorders>
              <w:top w:val="single" w:sz="8" w:color="auto"/>
              <w:bottom w:val="single" w:sz="8" w:color="D1D2D4"/>
            </w:tcBorders>
          </w:tcPr>
          <w:p>
            <w:pPr>
              <w:spacing w:after="0" w:line="20" w:lineRule="exact"/>
              <w:rPr>
                <w:sz w:val="1"/>
                <w:szCs w:val="1"/>
                <w:color w:val="auto"/>
              </w:rPr>
            </w:pPr>
          </w:p>
        </w:tc>
        <w:tc>
          <w:tcPr>
            <w:tcW w:w="40" w:type="dxa"/>
            <w:vAlign w:val="bottom"/>
            <w:tcBorders>
              <w:bottom w:val="single" w:sz="8" w:color="D1D2D4"/>
            </w:tcBorders>
          </w:tcPr>
          <w:p>
            <w:pPr>
              <w:spacing w:after="0" w:line="20" w:lineRule="exact"/>
              <w:rPr>
                <w:sz w:val="1"/>
                <w:szCs w:val="1"/>
                <w:color w:val="auto"/>
              </w:rPr>
            </w:pPr>
          </w:p>
        </w:tc>
        <w:tc>
          <w:tcPr>
            <w:tcW w:w="60" w:type="dxa"/>
            <w:vAlign w:val="bottom"/>
            <w:tcBorders>
              <w:bottom w:val="single" w:sz="8" w:color="D1D2D4"/>
            </w:tcBorders>
          </w:tcPr>
          <w:p>
            <w:pPr>
              <w:spacing w:after="0" w:line="20" w:lineRule="exact"/>
              <w:rPr>
                <w:sz w:val="1"/>
                <w:szCs w:val="1"/>
                <w:color w:val="auto"/>
              </w:rPr>
            </w:pPr>
          </w:p>
        </w:tc>
      </w:tr>
      <w:tr>
        <w:trPr>
          <w:trHeight w:val="206"/>
        </w:trPr>
        <w:tc>
          <w:tcPr>
            <w:tcW w:w="7920" w:type="dxa"/>
            <w:vAlign w:val="bottom"/>
            <w:tcBorders>
              <w:bottom w:val="single" w:sz="8" w:color="D1D2D4"/>
            </w:tcBorders>
          </w:tcPr>
          <w:p>
            <w:pPr>
              <w:ind w:left="60"/>
              <w:spacing w:after="0"/>
              <w:rPr>
                <w:sz w:val="20"/>
                <w:szCs w:val="20"/>
                <w:color w:val="auto"/>
              </w:rPr>
            </w:pPr>
            <w:r>
              <w:rPr>
                <w:rFonts w:ascii="Arial" w:cs="Arial" w:eastAsia="Arial" w:hAnsi="Arial"/>
                <w:sz w:val="14"/>
                <w:szCs w:val="14"/>
                <w:color w:val="auto"/>
              </w:rPr>
              <w:t>Operating cash flow from continuing operations before working capital (Non-GAAP)</w:t>
            </w:r>
          </w:p>
        </w:tc>
        <w:tc>
          <w:tcPr>
            <w:tcW w:w="2700" w:type="dxa"/>
            <w:vAlign w:val="bottom"/>
            <w:tcBorders>
              <w:bottom w:val="single" w:sz="8" w:color="D1D2D4"/>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1D2D4"/>
            </w:tcBorders>
            <w:gridSpan w:val="4"/>
          </w:tcPr>
          <w:p>
            <w:pPr>
              <w:jc w:val="right"/>
              <w:ind w:right="40"/>
              <w:spacing w:after="0"/>
              <w:rPr>
                <w:sz w:val="20"/>
                <w:szCs w:val="20"/>
                <w:color w:val="auto"/>
              </w:rPr>
            </w:pPr>
            <w:r>
              <w:rPr>
                <w:rFonts w:ascii="Arial" w:cs="Arial" w:eastAsia="Arial" w:hAnsi="Arial"/>
                <w:sz w:val="14"/>
                <w:szCs w:val="14"/>
                <w:color w:val="auto"/>
              </w:rPr>
              <w:t>18,135</w:t>
            </w:r>
          </w:p>
        </w:tc>
        <w:tc>
          <w:tcPr>
            <w:tcW w:w="60" w:type="dxa"/>
            <w:vAlign w:val="bottom"/>
            <w:tcBorders>
              <w:bottom w:val="single" w:sz="8" w:color="D1D2D4"/>
            </w:tcBorders>
          </w:tcPr>
          <w:p>
            <w:pPr>
              <w:spacing w:after="0"/>
              <w:rPr>
                <w:sz w:val="17"/>
                <w:szCs w:val="17"/>
                <w:color w:val="auto"/>
              </w:rPr>
            </w:pPr>
          </w:p>
        </w:tc>
      </w:tr>
      <w:tr>
        <w:trPr>
          <w:trHeight w:val="173"/>
        </w:trPr>
        <w:tc>
          <w:tcPr>
            <w:tcW w:w="7920" w:type="dxa"/>
            <w:vAlign w:val="bottom"/>
          </w:tcPr>
          <w:p>
            <w:pPr>
              <w:ind w:left="280"/>
              <w:spacing w:after="0"/>
              <w:rPr>
                <w:sz w:val="20"/>
                <w:szCs w:val="20"/>
                <w:color w:val="auto"/>
              </w:rPr>
            </w:pPr>
            <w:r>
              <w:rPr>
                <w:rFonts w:ascii="Arial" w:cs="Arial" w:eastAsia="Arial" w:hAnsi="Arial"/>
                <w:sz w:val="14"/>
                <w:szCs w:val="14"/>
                <w:color w:val="auto"/>
              </w:rPr>
              <w:t>Less: Capital Expenditures (GAAP)</w:t>
            </w:r>
          </w:p>
        </w:tc>
        <w:tc>
          <w:tcPr>
            <w:tcW w:w="2700" w:type="dxa"/>
            <w:vAlign w:val="bottom"/>
          </w:tcPr>
          <w:p>
            <w:pPr>
              <w:spacing w:after="0"/>
              <w:rPr>
                <w:sz w:val="15"/>
                <w:szCs w:val="15"/>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4"/>
                <w:szCs w:val="14"/>
                <w:color w:val="auto"/>
              </w:rPr>
              <w:t>(4,497)</w:t>
            </w:r>
          </w:p>
        </w:tc>
      </w:tr>
      <w:tr>
        <w:trPr>
          <w:trHeight w:val="21"/>
        </w:trPr>
        <w:tc>
          <w:tcPr>
            <w:tcW w:w="7920" w:type="dxa"/>
            <w:vAlign w:val="bottom"/>
            <w:tcBorders>
              <w:bottom w:val="single" w:sz="8" w:color="D1D2D4"/>
            </w:tcBorders>
          </w:tcPr>
          <w:p>
            <w:pPr>
              <w:spacing w:after="0" w:line="20" w:lineRule="exact"/>
              <w:rPr>
                <w:sz w:val="1"/>
                <w:szCs w:val="1"/>
                <w:color w:val="auto"/>
              </w:rPr>
            </w:pPr>
          </w:p>
        </w:tc>
        <w:tc>
          <w:tcPr>
            <w:tcW w:w="2700" w:type="dxa"/>
            <w:vAlign w:val="bottom"/>
            <w:tcBorders>
              <w:bottom w:val="single" w:sz="8" w:color="D1D2D4"/>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60" w:type="dxa"/>
            <w:vAlign w:val="bottom"/>
            <w:tcBorders>
              <w:top w:val="single" w:sz="8" w:color="auto"/>
              <w:bottom w:val="single" w:sz="8" w:color="D1D2D4"/>
            </w:tcBorders>
          </w:tcPr>
          <w:p>
            <w:pPr>
              <w:spacing w:after="0" w:line="20" w:lineRule="exact"/>
              <w:rPr>
                <w:sz w:val="1"/>
                <w:szCs w:val="1"/>
                <w:color w:val="auto"/>
              </w:rPr>
            </w:pPr>
          </w:p>
        </w:tc>
        <w:tc>
          <w:tcPr>
            <w:tcW w:w="360" w:type="dxa"/>
            <w:vAlign w:val="bottom"/>
            <w:tcBorders>
              <w:top w:val="single" w:sz="8" w:color="auto"/>
              <w:bottom w:val="single" w:sz="8" w:color="D1D2D4"/>
            </w:tcBorders>
          </w:tcPr>
          <w:p>
            <w:pPr>
              <w:spacing w:after="0" w:line="20" w:lineRule="exact"/>
              <w:rPr>
                <w:sz w:val="1"/>
                <w:szCs w:val="1"/>
                <w:color w:val="auto"/>
              </w:rPr>
            </w:pPr>
          </w:p>
        </w:tc>
        <w:tc>
          <w:tcPr>
            <w:tcW w:w="40" w:type="dxa"/>
            <w:vAlign w:val="bottom"/>
            <w:tcBorders>
              <w:top w:val="single" w:sz="8" w:color="auto"/>
              <w:bottom w:val="single" w:sz="8" w:color="D1D2D4"/>
            </w:tcBorders>
          </w:tcPr>
          <w:p>
            <w:pPr>
              <w:spacing w:after="0" w:line="20" w:lineRule="exact"/>
              <w:rPr>
                <w:sz w:val="1"/>
                <w:szCs w:val="1"/>
                <w:color w:val="auto"/>
              </w:rPr>
            </w:pPr>
          </w:p>
        </w:tc>
        <w:tc>
          <w:tcPr>
            <w:tcW w:w="60" w:type="dxa"/>
            <w:vAlign w:val="bottom"/>
            <w:tcBorders>
              <w:bottom w:val="single" w:sz="8" w:color="D1D2D4"/>
            </w:tcBorders>
          </w:tcPr>
          <w:p>
            <w:pPr>
              <w:spacing w:after="0" w:line="20" w:lineRule="exact"/>
              <w:rPr>
                <w:sz w:val="1"/>
                <w:szCs w:val="1"/>
                <w:color w:val="auto"/>
              </w:rPr>
            </w:pPr>
          </w:p>
        </w:tc>
      </w:tr>
      <w:tr>
        <w:trPr>
          <w:trHeight w:val="217"/>
        </w:trPr>
        <w:tc>
          <w:tcPr>
            <w:tcW w:w="7920" w:type="dxa"/>
            <w:vAlign w:val="bottom"/>
            <w:tcBorders>
              <w:bottom w:val="single" w:sz="8" w:color="00529B"/>
            </w:tcBorders>
          </w:tcPr>
          <w:p>
            <w:pPr>
              <w:ind w:left="60"/>
              <w:spacing w:after="0"/>
              <w:rPr>
                <w:sz w:val="20"/>
                <w:szCs w:val="20"/>
                <w:color w:val="auto"/>
              </w:rPr>
            </w:pPr>
            <w:r>
              <w:rPr>
                <w:rFonts w:ascii="Arial" w:cs="Arial" w:eastAsia="Arial" w:hAnsi="Arial"/>
                <w:sz w:val="14"/>
                <w:szCs w:val="14"/>
                <w:color w:val="auto"/>
              </w:rPr>
              <w:t>Free Cash Flow (Non-GAAP)</w:t>
            </w:r>
          </w:p>
        </w:tc>
        <w:tc>
          <w:tcPr>
            <w:tcW w:w="2700" w:type="dxa"/>
            <w:vAlign w:val="bottom"/>
            <w:tcBorders>
              <w:bottom w:val="single" w:sz="8" w:color="00529B"/>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529B"/>
            </w:tcBorders>
            <w:gridSpan w:val="4"/>
          </w:tcPr>
          <w:p>
            <w:pPr>
              <w:jc w:val="right"/>
              <w:ind w:right="40"/>
              <w:spacing w:after="0"/>
              <w:rPr>
                <w:sz w:val="20"/>
                <w:szCs w:val="20"/>
                <w:color w:val="auto"/>
              </w:rPr>
            </w:pPr>
            <w:r>
              <w:rPr>
                <w:rFonts w:ascii="Arial" w:cs="Arial" w:eastAsia="Arial" w:hAnsi="Arial"/>
                <w:sz w:val="14"/>
                <w:szCs w:val="14"/>
                <w:color w:val="auto"/>
              </w:rPr>
              <w:t>13,638</w:t>
            </w:r>
          </w:p>
        </w:tc>
        <w:tc>
          <w:tcPr>
            <w:tcW w:w="60" w:type="dxa"/>
            <w:vAlign w:val="bottom"/>
            <w:tcBorders>
              <w:bottom w:val="single" w:sz="8" w:color="00529B"/>
            </w:tcBorders>
          </w:tcPr>
          <w:p>
            <w:pPr>
              <w:spacing w:after="0"/>
              <w:rPr>
                <w:sz w:val="18"/>
                <w:szCs w:val="18"/>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color w:val="00529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-27940</wp:posOffset>
            </wp:positionV>
            <wp:extent cx="6000750" cy="12890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000750" cy="128905"/>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4"/>
          <w:szCs w:val="14"/>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09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53275" cy="91401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53275" cy="914019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109220</wp:posOffset>
            </wp:positionV>
            <wp:extent cx="582930" cy="60833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5829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8"/>
          <w:szCs w:val="8"/>
          <w:i w:val="1"/>
          <w:iCs w:val="1"/>
          <w:color w:val="auto"/>
        </w:rPr>
        <w:t>5 GREENWAY PLAZA, SUITE 110</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9"/>
          <w:szCs w:val="9"/>
          <w:i w:val="1"/>
          <w:iCs w:val="1"/>
          <w:color w:val="auto"/>
        </w:rPr>
        <w:t>HOUSTON, TX 77046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-650875</wp:posOffset>
            </wp:positionV>
            <wp:extent cx="2099945" cy="49720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2099945" cy="49720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i w:val="1"/>
          <w:iCs w:val="1"/>
          <w:color w:val="auto"/>
        </w:rPr>
        <w:t xml:space="preserve">Before The Meeting </w:t>
      </w:r>
      <w:r>
        <w:rPr>
          <w:rFonts w:ascii="Arial" w:cs="Arial" w:eastAsia="Arial" w:hAnsi="Arial"/>
          <w:sz w:val="9"/>
          <w:szCs w:val="9"/>
          <w:color w:val="auto"/>
        </w:rPr>
        <w:t>- Go to</w:t>
      </w:r>
      <w:r>
        <w:rPr>
          <w:rFonts w:ascii="Arial" w:cs="Arial" w:eastAsia="Arial" w:hAnsi="Arial"/>
          <w:sz w:val="9"/>
          <w:szCs w:val="9"/>
          <w:i w:val="1"/>
          <w:iCs w:val="1"/>
          <w:color w:val="auto"/>
        </w:rPr>
        <w:t xml:space="preserve"> </w:t>
      </w:r>
      <w:r>
        <w:rPr>
          <w:rFonts w:ascii="Arial" w:cs="Arial" w:eastAsia="Arial" w:hAnsi="Arial"/>
          <w:sz w:val="9"/>
          <w:szCs w:val="9"/>
          <w:b w:val="1"/>
          <w:bCs w:val="1"/>
          <w:u w:val="single" w:color="auto"/>
          <w:color w:val="auto"/>
        </w:rPr>
        <w:t>www.proxyvote.com</w:t>
      </w:r>
      <w:r>
        <w:rPr>
          <w:rFonts w:ascii="Arial" w:cs="Arial" w:eastAsia="Arial" w:hAnsi="Arial"/>
          <w:sz w:val="9"/>
          <w:szCs w:val="9"/>
          <w:i w:val="1"/>
          <w:iCs w:val="1"/>
          <w:color w:val="auto"/>
        </w:rPr>
        <w:t xml:space="preserve"> </w:t>
      </w:r>
      <w:r>
        <w:rPr>
          <w:rFonts w:ascii="Arial" w:cs="Arial" w:eastAsia="Arial" w:hAnsi="Arial"/>
          <w:sz w:val="9"/>
          <w:szCs w:val="9"/>
          <w:b w:val="1"/>
          <w:bCs w:val="1"/>
          <w:color w:val="auto"/>
        </w:rPr>
        <w:t>or scan the QR Barcode above</w:t>
      </w:r>
    </w:p>
    <w:p>
      <w:pPr>
        <w:spacing w:after="0" w:line="64" w:lineRule="exact"/>
        <w:rPr>
          <w:sz w:val="20"/>
          <w:szCs w:val="20"/>
          <w:color w:val="auto"/>
        </w:rPr>
      </w:pPr>
    </w:p>
    <w:p>
      <w:pPr>
        <w:jc w:val="both"/>
        <w:ind w:right="640"/>
        <w:spacing w:after="0" w:line="229" w:lineRule="auto"/>
        <w:rPr>
          <w:sz w:val="20"/>
          <w:szCs w:val="20"/>
          <w:color w:val="auto"/>
        </w:rPr>
      </w:pPr>
      <w:r>
        <w:rPr>
          <w:rFonts w:ascii="Arial" w:cs="Arial" w:eastAsia="Arial" w:hAnsi="Arial"/>
          <w:sz w:val="9"/>
          <w:szCs w:val="9"/>
          <w:color w:val="auto"/>
        </w:rPr>
        <w:t>Use the Internet to transmit your voting instructions and for electronic delivery of information until 11:59 p.m. Eastern Time on May 4, 2023 and, for participants of the Occidental Petroleum Corporation Savings Plan and the Retirement Savings Program for employees of Oxy Vinyls Canada Co., until 11:59 p.m. Eastern Time on May 2, 2023. Have your proxy card in hand when you access the website and follow the instructions to obtain your records and to create an electronic voting instruction form.</w:t>
      </w:r>
    </w:p>
    <w:p>
      <w:pPr>
        <w:spacing w:after="0" w:line="73"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 xml:space="preserve">During The Meeting </w:t>
      </w:r>
      <w:r>
        <w:rPr>
          <w:rFonts w:ascii="Arial" w:cs="Arial" w:eastAsia="Arial" w:hAnsi="Arial"/>
          <w:sz w:val="9"/>
          <w:szCs w:val="9"/>
          <w:color w:val="auto"/>
        </w:rPr>
        <w:t>- Go to</w:t>
      </w:r>
      <w:r>
        <w:rPr>
          <w:rFonts w:ascii="Arial" w:cs="Arial" w:eastAsia="Arial" w:hAnsi="Arial"/>
          <w:sz w:val="9"/>
          <w:szCs w:val="9"/>
          <w:i w:val="1"/>
          <w:iCs w:val="1"/>
          <w:color w:val="auto"/>
        </w:rPr>
        <w:t xml:space="preserve"> </w:t>
      </w:r>
      <w:r>
        <w:rPr>
          <w:rFonts w:ascii="Arial" w:cs="Arial" w:eastAsia="Arial" w:hAnsi="Arial"/>
          <w:sz w:val="9"/>
          <w:szCs w:val="9"/>
          <w:b w:val="1"/>
          <w:bCs w:val="1"/>
          <w:u w:val="single" w:color="auto"/>
          <w:color w:val="auto"/>
        </w:rPr>
        <w:t>www.virtualshareholdermeeting.com/OXY2023</w:t>
      </w:r>
    </w:p>
    <w:p>
      <w:pPr>
        <w:spacing w:after="0" w:line="86" w:lineRule="exact"/>
        <w:rPr>
          <w:sz w:val="20"/>
          <w:szCs w:val="20"/>
          <w:color w:val="auto"/>
        </w:rPr>
      </w:pPr>
    </w:p>
    <w:p>
      <w:pPr>
        <w:jc w:val="both"/>
        <w:ind w:right="660"/>
        <w:spacing w:after="0" w:line="251" w:lineRule="auto"/>
        <w:rPr>
          <w:sz w:val="20"/>
          <w:szCs w:val="20"/>
          <w:color w:val="auto"/>
        </w:rPr>
      </w:pPr>
      <w:r>
        <w:rPr>
          <w:rFonts w:ascii="Arial" w:cs="Arial" w:eastAsia="Arial" w:hAnsi="Arial"/>
          <w:sz w:val="9"/>
          <w:szCs w:val="9"/>
          <w:color w:val="auto"/>
        </w:rPr>
        <w:t>You may attend the meeting via the Internet and vote during the meeting. Have the sixteen-digit control number that is printed in the box marked by the arrow available and follow the instructions.</w:t>
      </w:r>
    </w:p>
    <w:p>
      <w:pPr>
        <w:spacing w:after="0" w:line="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jc w:val="both"/>
        <w:ind w:right="640"/>
        <w:spacing w:after="0" w:line="227" w:lineRule="auto"/>
        <w:rPr>
          <w:sz w:val="20"/>
          <w:szCs w:val="20"/>
          <w:color w:val="auto"/>
        </w:rPr>
      </w:pPr>
      <w:r>
        <w:rPr>
          <w:rFonts w:ascii="Arial" w:cs="Arial" w:eastAsia="Arial" w:hAnsi="Arial"/>
          <w:sz w:val="9"/>
          <w:szCs w:val="9"/>
          <w:color w:val="auto"/>
        </w:rPr>
        <w:t>Use any touch-tone telephone to transmit your voting instructions until 11:59 p.m. Eastern Time on May 4, 2023 and, for participants of the Occidental Petroleum Corporation Savings Plan and the Retirement Savings Program for employees of Oxy Vinyls Canada Co., until 11:59 p.m. Eastern Time on May 2, 2023. Have your proxy card in hand when you call and then follow the instructions.</w:t>
      </w:r>
    </w:p>
    <w:p>
      <w:pPr>
        <w:spacing w:after="0" w:line="7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jc w:val="both"/>
        <w:ind w:right="640"/>
        <w:spacing w:after="0" w:line="236"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Vote Processing, c/o Broadridge, 51 Mercedes Way, Edgewood, NY 11717.</w:t>
      </w:r>
    </w:p>
    <w:p>
      <w:pPr>
        <w:spacing w:after="0" w:line="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PROXY MATERIALS</w:t>
      </w:r>
    </w:p>
    <w:p>
      <w:pPr>
        <w:jc w:val="both"/>
        <w:ind w:right="660"/>
        <w:spacing w:after="0" w:line="227" w:lineRule="auto"/>
        <w:rPr>
          <w:sz w:val="20"/>
          <w:szCs w:val="20"/>
          <w:color w:val="auto"/>
        </w:rPr>
      </w:pPr>
      <w:r>
        <w:rPr>
          <w:rFonts w:ascii="Arial" w:cs="Arial" w:eastAsia="Arial" w:hAnsi="Arial"/>
          <w:sz w:val="9"/>
          <w:szCs w:val="9"/>
          <w:color w:val="auto"/>
        </w:rPr>
        <w:t>If you would like to reduce the costs incurred by Occidental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ectPr>
          <w:pgSz w:w="11900" w:h="16838" w:orient="portrait"/>
          <w:cols w:equalWidth="0" w:num="2">
            <w:col w:w="4900" w:space="720"/>
            <w:col w:w="5400"/>
          </w:cols>
          <w:pgMar w:left="320" w:top="13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 VOTE, MARK BLOCKS BELOW IN BLUE OR BLACK INK AS FOLLOWS:</w:t>
      </w:r>
    </w:p>
    <w:tbl>
      <w:tblPr>
        <w:tblLayout w:type="fixed"/>
        <w:tblInd w:w="6700" w:type="dxa"/>
        <w:tblCellMar>
          <w:top w:w="0" w:type="dxa"/>
          <w:left w:w="0" w:type="dxa"/>
          <w:bottom w:w="0" w:type="dxa"/>
          <w:right w:w="0" w:type="dxa"/>
        </w:tblCellMar>
      </w:tblPr>
      <w:tr>
        <w:trPr>
          <w:trHeight w:val="137"/>
        </w:trPr>
        <w:tc>
          <w:tcPr>
            <w:tcW w:w="1300" w:type="dxa"/>
            <w:vAlign w:val="bottom"/>
          </w:tcPr>
          <w:p>
            <w:pPr>
              <w:spacing w:after="0" w:line="137" w:lineRule="exact"/>
              <w:rPr>
                <w:sz w:val="20"/>
                <w:szCs w:val="20"/>
                <w:color w:val="auto"/>
              </w:rPr>
            </w:pPr>
            <w:r>
              <w:rPr>
                <w:rFonts w:ascii="Arial" w:cs="Arial" w:eastAsia="Arial" w:hAnsi="Arial"/>
                <w:sz w:val="13"/>
                <w:szCs w:val="13"/>
                <w:color w:val="auto"/>
              </w:rPr>
              <w:t>D99515-P86980</w:t>
            </w:r>
          </w:p>
        </w:tc>
        <w:tc>
          <w:tcPr>
            <w:tcW w:w="3020" w:type="dxa"/>
            <w:vAlign w:val="bottom"/>
          </w:tcPr>
          <w:p>
            <w:pPr>
              <w:jc w:val="right"/>
              <w:spacing w:after="0" w:line="137" w:lineRule="exact"/>
              <w:rPr>
                <w:sz w:val="20"/>
                <w:szCs w:val="20"/>
                <w:color w:val="auto"/>
              </w:rPr>
            </w:pPr>
            <w:r>
              <w:rPr>
                <w:rFonts w:ascii="Arial" w:cs="Arial" w:eastAsia="Arial" w:hAnsi="Arial"/>
                <w:sz w:val="13"/>
                <w:szCs w:val="13"/>
                <w:color w:val="auto"/>
              </w:rPr>
              <w:t>KEEP THIS PORTION FOR YOUR RECORDS</w:t>
            </w:r>
          </w:p>
        </w:tc>
      </w:tr>
      <w:tr>
        <w:trPr>
          <w:trHeight w:val="158"/>
        </w:trPr>
        <w:tc>
          <w:tcPr>
            <w:tcW w:w="1300" w:type="dxa"/>
            <w:vAlign w:val="bottom"/>
          </w:tcPr>
          <w:p>
            <w:pPr>
              <w:spacing w:after="0"/>
              <w:rPr>
                <w:sz w:val="13"/>
                <w:szCs w:val="13"/>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-96520</wp:posOffset>
            </wp:positionV>
            <wp:extent cx="685800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51435</wp:posOffset>
            </wp:positionV>
            <wp:extent cx="6853555" cy="411861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853555" cy="411861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OCCIDENTAL PETROLEUM CORPORATION</w:t>
      </w:r>
    </w:p>
    <w:p>
      <w:pPr>
        <w:sectPr>
          <w:pgSz w:w="11900" w:h="16838" w:orient="portrait"/>
          <w:cols w:equalWidth="0" w:num="1">
            <w:col w:w="11020"/>
          </w:cols>
          <w:pgMar w:left="320" w:top="130" w:right="559" w:bottom="1440" w:gutter="0" w:footer="0" w:header="0"/>
          <w:type w:val="continuous"/>
        </w:sectPr>
      </w:pPr>
    </w:p>
    <w:p>
      <w:pPr>
        <w:spacing w:after="0" w:line="104" w:lineRule="exact"/>
        <w:rPr>
          <w:sz w:val="20"/>
          <w:szCs w:val="20"/>
          <w:color w:val="auto"/>
        </w:rPr>
      </w:pPr>
    </w:p>
    <w:p>
      <w:pPr>
        <w:ind w:left="460" w:right="1740"/>
        <w:spacing w:after="0" w:line="258" w:lineRule="auto"/>
        <w:rPr>
          <w:sz w:val="20"/>
          <w:szCs w:val="20"/>
          <w:color w:val="auto"/>
        </w:rPr>
      </w:pPr>
      <w:r>
        <w:rPr>
          <w:rFonts w:ascii="Arial" w:cs="Arial" w:eastAsia="Arial" w:hAnsi="Arial"/>
          <w:sz w:val="12"/>
          <w:szCs w:val="12"/>
          <w:color w:val="auto"/>
        </w:rPr>
        <w:t>This proxy is solicited on behalf of the Board of Directors of Occidental Petroleum Corporation.</w:t>
      </w:r>
    </w:p>
    <w:p>
      <w:pPr>
        <w:spacing w:after="0" w:line="79" w:lineRule="exact"/>
        <w:rPr>
          <w:sz w:val="20"/>
          <w:szCs w:val="20"/>
          <w:color w:val="auto"/>
        </w:rPr>
      </w:pPr>
    </w:p>
    <w:p>
      <w:pPr>
        <w:ind w:left="460" w:right="1720"/>
        <w:spacing w:after="0" w:line="272" w:lineRule="auto"/>
        <w:rPr>
          <w:sz w:val="20"/>
          <w:szCs w:val="20"/>
          <w:color w:val="auto"/>
        </w:rPr>
      </w:pPr>
      <w:r>
        <w:rPr>
          <w:rFonts w:ascii="Arial" w:cs="Arial" w:eastAsia="Arial" w:hAnsi="Arial"/>
          <w:sz w:val="12"/>
          <w:szCs w:val="12"/>
          <w:b w:val="1"/>
          <w:bCs w:val="1"/>
          <w:color w:val="auto"/>
        </w:rPr>
        <w:t>The Board of Directors recommends a vote “FOR” each nominee listed in Proposal 1.</w:t>
      </w:r>
    </w:p>
    <w:p>
      <w:pPr>
        <w:spacing w:after="0" w:line="94" w:lineRule="exact"/>
        <w:rPr>
          <w:sz w:val="20"/>
          <w:szCs w:val="20"/>
          <w:color w:val="auto"/>
        </w:rPr>
      </w:pPr>
    </w:p>
    <w:p>
      <w:pPr>
        <w:ind w:left="700" w:hanging="232"/>
        <w:spacing w:after="0"/>
        <w:tabs>
          <w:tab w:leader="none" w:pos="7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200" w:type="dxa"/>
            <w:vAlign w:val="bottom"/>
          </w:tcPr>
          <w:p>
            <w:pPr>
              <w:jc w:val="center"/>
              <w:ind w:left="741"/>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1"/>
              <w:spacing w:after="0"/>
              <w:rPr>
                <w:sz w:val="20"/>
                <w:szCs w:val="20"/>
                <w:color w:val="auto"/>
              </w:rPr>
            </w:pPr>
            <w:r>
              <w:rPr>
                <w:rFonts w:ascii="Arial" w:cs="Arial" w:eastAsia="Arial" w:hAnsi="Arial"/>
                <w:sz w:val="13"/>
                <w:szCs w:val="13"/>
                <w:b w:val="1"/>
                <w:bCs w:val="1"/>
                <w:color w:val="auto"/>
                <w:w w:val="96"/>
              </w:rPr>
              <w:t>Abstain</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1a.</w:t>
            </w:r>
          </w:p>
        </w:tc>
        <w:tc>
          <w:tcPr>
            <w:tcW w:w="2020" w:type="dxa"/>
            <w:vAlign w:val="bottom"/>
          </w:tcPr>
          <w:p>
            <w:pPr>
              <w:ind w:left="80"/>
              <w:spacing w:after="0"/>
              <w:rPr>
                <w:sz w:val="20"/>
                <w:szCs w:val="20"/>
                <w:color w:val="auto"/>
              </w:rPr>
            </w:pPr>
            <w:r>
              <w:rPr>
                <w:rFonts w:ascii="Arial" w:cs="Arial" w:eastAsia="Arial" w:hAnsi="Arial"/>
                <w:sz w:val="12"/>
                <w:szCs w:val="12"/>
                <w:color w:val="auto"/>
              </w:rPr>
              <w:t>Vicky A. Bailey</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1b.</w:t>
            </w:r>
          </w:p>
        </w:tc>
        <w:tc>
          <w:tcPr>
            <w:tcW w:w="2020" w:type="dxa"/>
            <w:vAlign w:val="bottom"/>
          </w:tcPr>
          <w:p>
            <w:pPr>
              <w:ind w:left="80"/>
              <w:spacing w:after="0"/>
              <w:rPr>
                <w:sz w:val="20"/>
                <w:szCs w:val="20"/>
                <w:color w:val="auto"/>
              </w:rPr>
            </w:pPr>
            <w:r>
              <w:rPr>
                <w:rFonts w:ascii="Arial" w:cs="Arial" w:eastAsia="Arial" w:hAnsi="Arial"/>
                <w:sz w:val="12"/>
                <w:szCs w:val="12"/>
                <w:color w:val="auto"/>
              </w:rPr>
              <w:t>Andrew Gould</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1c.</w:t>
            </w:r>
          </w:p>
        </w:tc>
        <w:tc>
          <w:tcPr>
            <w:tcW w:w="2020" w:type="dxa"/>
            <w:vAlign w:val="bottom"/>
          </w:tcPr>
          <w:p>
            <w:pPr>
              <w:ind w:left="80"/>
              <w:spacing w:after="0"/>
              <w:rPr>
                <w:sz w:val="20"/>
                <w:szCs w:val="20"/>
                <w:color w:val="auto"/>
              </w:rPr>
            </w:pPr>
            <w:r>
              <w:rPr>
                <w:rFonts w:ascii="Arial" w:cs="Arial" w:eastAsia="Arial" w:hAnsi="Arial"/>
                <w:sz w:val="12"/>
                <w:szCs w:val="12"/>
                <w:color w:val="auto"/>
              </w:rPr>
              <w:t>Carlos M. Gutierrez</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1d.</w:t>
            </w:r>
          </w:p>
        </w:tc>
        <w:tc>
          <w:tcPr>
            <w:tcW w:w="2020" w:type="dxa"/>
            <w:vAlign w:val="bottom"/>
          </w:tcPr>
          <w:p>
            <w:pPr>
              <w:ind w:left="80"/>
              <w:spacing w:after="0"/>
              <w:rPr>
                <w:sz w:val="20"/>
                <w:szCs w:val="20"/>
                <w:color w:val="auto"/>
              </w:rPr>
            </w:pPr>
            <w:r>
              <w:rPr>
                <w:rFonts w:ascii="Arial" w:cs="Arial" w:eastAsia="Arial" w:hAnsi="Arial"/>
                <w:sz w:val="12"/>
                <w:szCs w:val="12"/>
                <w:color w:val="auto"/>
              </w:rPr>
              <w:t>Vicki Hollub</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1e.</w:t>
            </w:r>
          </w:p>
        </w:tc>
        <w:tc>
          <w:tcPr>
            <w:tcW w:w="2020" w:type="dxa"/>
            <w:vAlign w:val="bottom"/>
          </w:tcPr>
          <w:p>
            <w:pPr>
              <w:ind w:left="80"/>
              <w:spacing w:after="0"/>
              <w:rPr>
                <w:sz w:val="20"/>
                <w:szCs w:val="20"/>
                <w:color w:val="auto"/>
              </w:rPr>
            </w:pPr>
            <w:r>
              <w:rPr>
                <w:rFonts w:ascii="Arial" w:cs="Arial" w:eastAsia="Arial" w:hAnsi="Arial"/>
                <w:sz w:val="12"/>
                <w:szCs w:val="12"/>
                <w:color w:val="auto"/>
              </w:rPr>
              <w:t>William R. Klesse</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1f.</w:t>
            </w:r>
          </w:p>
        </w:tc>
        <w:tc>
          <w:tcPr>
            <w:tcW w:w="2020" w:type="dxa"/>
            <w:vAlign w:val="bottom"/>
          </w:tcPr>
          <w:p>
            <w:pPr>
              <w:ind w:left="80"/>
              <w:spacing w:after="0"/>
              <w:rPr>
                <w:sz w:val="20"/>
                <w:szCs w:val="20"/>
                <w:color w:val="auto"/>
              </w:rPr>
            </w:pPr>
            <w:r>
              <w:rPr>
                <w:rFonts w:ascii="Arial" w:cs="Arial" w:eastAsia="Arial" w:hAnsi="Arial"/>
                <w:sz w:val="12"/>
                <w:szCs w:val="12"/>
                <w:color w:val="auto"/>
              </w:rPr>
              <w:t>Jack B. Moore</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1g.</w:t>
            </w:r>
          </w:p>
        </w:tc>
        <w:tc>
          <w:tcPr>
            <w:tcW w:w="2020" w:type="dxa"/>
            <w:vAlign w:val="bottom"/>
          </w:tcPr>
          <w:p>
            <w:pPr>
              <w:ind w:left="80"/>
              <w:spacing w:after="0"/>
              <w:rPr>
                <w:sz w:val="20"/>
                <w:szCs w:val="20"/>
                <w:color w:val="auto"/>
              </w:rPr>
            </w:pPr>
            <w:r>
              <w:rPr>
                <w:rFonts w:ascii="Arial" w:cs="Arial" w:eastAsia="Arial" w:hAnsi="Arial"/>
                <w:sz w:val="12"/>
                <w:szCs w:val="12"/>
                <w:color w:val="auto"/>
              </w:rPr>
              <w:t>Claire O’Neill</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1h.</w:t>
            </w:r>
          </w:p>
        </w:tc>
        <w:tc>
          <w:tcPr>
            <w:tcW w:w="2020" w:type="dxa"/>
            <w:vAlign w:val="bottom"/>
          </w:tcPr>
          <w:p>
            <w:pPr>
              <w:ind w:left="80"/>
              <w:spacing w:after="0"/>
              <w:rPr>
                <w:sz w:val="20"/>
                <w:szCs w:val="20"/>
                <w:color w:val="auto"/>
              </w:rPr>
            </w:pPr>
            <w:r>
              <w:rPr>
                <w:rFonts w:ascii="Arial" w:cs="Arial" w:eastAsia="Arial" w:hAnsi="Arial"/>
                <w:sz w:val="12"/>
                <w:szCs w:val="12"/>
                <w:color w:val="auto"/>
              </w:rPr>
              <w:t>Avedick B. Poladian</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1i.</w:t>
            </w:r>
          </w:p>
        </w:tc>
        <w:tc>
          <w:tcPr>
            <w:tcW w:w="2020" w:type="dxa"/>
            <w:vAlign w:val="bottom"/>
          </w:tcPr>
          <w:p>
            <w:pPr>
              <w:ind w:left="80"/>
              <w:spacing w:after="0"/>
              <w:rPr>
                <w:sz w:val="20"/>
                <w:szCs w:val="20"/>
                <w:color w:val="auto"/>
              </w:rPr>
            </w:pPr>
            <w:r>
              <w:rPr>
                <w:rFonts w:ascii="Arial" w:cs="Arial" w:eastAsia="Arial" w:hAnsi="Arial"/>
                <w:sz w:val="12"/>
                <w:szCs w:val="12"/>
                <w:color w:val="auto"/>
              </w:rPr>
              <w:t>Ken Robinson</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1j.</w:t>
            </w:r>
          </w:p>
        </w:tc>
        <w:tc>
          <w:tcPr>
            <w:tcW w:w="2020" w:type="dxa"/>
            <w:vAlign w:val="bottom"/>
          </w:tcPr>
          <w:p>
            <w:pPr>
              <w:ind w:left="80"/>
              <w:spacing w:after="0"/>
              <w:rPr>
                <w:sz w:val="20"/>
                <w:szCs w:val="20"/>
                <w:color w:val="auto"/>
              </w:rPr>
            </w:pPr>
            <w:r>
              <w:rPr>
                <w:rFonts w:ascii="Arial" w:cs="Arial" w:eastAsia="Arial" w:hAnsi="Arial"/>
                <w:sz w:val="12"/>
                <w:szCs w:val="12"/>
                <w:color w:val="auto"/>
              </w:rPr>
              <w:t>Robert M. Shearer</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a vote of</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4"/>
              </w:rPr>
              <w:t>One</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Two</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Three</w:t>
            </w:r>
          </w:p>
        </w:tc>
        <w:tc>
          <w:tcPr>
            <w:tcW w:w="560" w:type="dxa"/>
            <w:vAlign w:val="bottom"/>
            <w:vMerge w:val="restart"/>
          </w:tcPr>
          <w:p>
            <w:pPr>
              <w:jc w:val="center"/>
              <w:ind w:left="39"/>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72"/>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every “ONE YEAR” for Proposal 2.</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2"/>
                <w:szCs w:val="12"/>
                <w:color w:val="auto"/>
              </w:rPr>
              <w:t>2.   Advisory</w:t>
            </w:r>
          </w:p>
        </w:tc>
        <w:tc>
          <w:tcPr>
            <w:tcW w:w="2200" w:type="dxa"/>
            <w:vAlign w:val="bottom"/>
          </w:tcPr>
          <w:p>
            <w:pPr>
              <w:jc w:val="right"/>
              <w:ind w:right="22"/>
              <w:spacing w:after="0"/>
              <w:rPr>
                <w:sz w:val="20"/>
                <w:szCs w:val="20"/>
                <w:color w:val="auto"/>
              </w:rPr>
            </w:pPr>
            <w:r>
              <w:rPr>
                <w:rFonts w:ascii="Arial" w:cs="Arial" w:eastAsia="Arial" w:hAnsi="Arial"/>
                <w:sz w:val="12"/>
                <w:szCs w:val="12"/>
                <w:color w:val="auto"/>
              </w:rPr>
              <w:t>Vote  on  the  Frequency  of  Future</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60" w:type="dxa"/>
            <w:vAlign w:val="bottom"/>
          </w:tcPr>
          <w:p>
            <w:pPr>
              <w:jc w:val="center"/>
              <w:ind w:left="39"/>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35"/>
        </w:trPr>
        <w:tc>
          <w:tcPr>
            <w:tcW w:w="780" w:type="dxa"/>
            <w:vAlign w:val="bottom"/>
          </w:tcPr>
          <w:p>
            <w:pPr>
              <w:ind w:left="280"/>
              <w:spacing w:after="0" w:line="135" w:lineRule="exact"/>
              <w:rPr>
                <w:sz w:val="20"/>
                <w:szCs w:val="20"/>
                <w:color w:val="auto"/>
              </w:rPr>
            </w:pPr>
            <w:r>
              <w:rPr>
                <w:rFonts w:ascii="Arial" w:cs="Arial" w:eastAsia="Arial" w:hAnsi="Arial"/>
                <w:sz w:val="12"/>
                <w:szCs w:val="12"/>
                <w:color w:val="auto"/>
              </w:rPr>
              <w:t>Advisory</w:t>
            </w:r>
          </w:p>
        </w:tc>
        <w:tc>
          <w:tcPr>
            <w:tcW w:w="22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Votes  to  Approve  Named  Executive</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80" w:type="dxa"/>
            <w:vAlign w:val="bottom"/>
            <w:gridSpan w:val="2"/>
          </w:tcPr>
          <w:p>
            <w:pPr>
              <w:ind w:left="280"/>
              <w:spacing w:after="0"/>
              <w:rPr>
                <w:sz w:val="20"/>
                <w:szCs w:val="20"/>
                <w:color w:val="auto"/>
              </w:rPr>
            </w:pPr>
            <w:r>
              <w:rPr>
                <w:rFonts w:ascii="Arial" w:cs="Arial" w:eastAsia="Arial" w:hAnsi="Arial"/>
                <w:sz w:val="12"/>
                <w:szCs w:val="12"/>
                <w:color w:val="auto"/>
              </w:rPr>
              <w:t>Officer Compensation</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a vote “FOR”</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Abstain</w:t>
            </w:r>
          </w:p>
        </w:tc>
      </w:tr>
      <w:tr>
        <w:trPr>
          <w:trHeight w:val="172"/>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Proposals 3 and 4.</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2"/>
                <w:szCs w:val="12"/>
                <w:color w:val="auto"/>
              </w:rPr>
              <w:t>3.</w:t>
            </w:r>
          </w:p>
        </w:tc>
        <w:tc>
          <w:tcPr>
            <w:tcW w:w="3240" w:type="dxa"/>
            <w:vAlign w:val="bottom"/>
          </w:tcPr>
          <w:p>
            <w:pPr>
              <w:ind w:left="80"/>
              <w:spacing w:after="0"/>
              <w:rPr>
                <w:sz w:val="20"/>
                <w:szCs w:val="20"/>
                <w:color w:val="auto"/>
              </w:rPr>
            </w:pPr>
            <w:r>
              <w:rPr>
                <w:rFonts w:ascii="Arial" w:cs="Arial" w:eastAsia="Arial" w:hAnsi="Arial"/>
                <w:sz w:val="12"/>
                <w:szCs w:val="12"/>
                <w:color w:val="auto"/>
              </w:rPr>
              <w:t>Advisory  Vote  to  Approve  Named  Executive  Officer</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0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53"/>
        </w:trPr>
        <w:tc>
          <w:tcPr>
            <w:tcW w:w="200" w:type="dxa"/>
            <w:vAlign w:val="bottom"/>
          </w:tcPr>
          <w:p>
            <w:pPr>
              <w:spacing w:after="0"/>
              <w:rPr>
                <w:sz w:val="20"/>
                <w:szCs w:val="20"/>
                <w:color w:val="auto"/>
              </w:rPr>
            </w:pPr>
            <w:r>
              <w:rPr>
                <w:rFonts w:ascii="Arial" w:cs="Arial" w:eastAsia="Arial" w:hAnsi="Arial"/>
                <w:sz w:val="12"/>
                <w:szCs w:val="12"/>
                <w:color w:val="auto"/>
              </w:rPr>
              <w:t>4.</w:t>
            </w:r>
          </w:p>
        </w:tc>
        <w:tc>
          <w:tcPr>
            <w:tcW w:w="3240" w:type="dxa"/>
            <w:vAlign w:val="bottom"/>
          </w:tcPr>
          <w:p>
            <w:pPr>
              <w:ind w:left="80"/>
              <w:spacing w:after="0"/>
              <w:rPr>
                <w:sz w:val="20"/>
                <w:szCs w:val="20"/>
                <w:color w:val="auto"/>
              </w:rPr>
            </w:pPr>
            <w:r>
              <w:rPr>
                <w:rFonts w:ascii="Arial" w:cs="Arial" w:eastAsia="Arial" w:hAnsi="Arial"/>
                <w:sz w:val="12"/>
                <w:szCs w:val="12"/>
                <w:color w:val="auto"/>
              </w:rPr>
              <w:t>Ratification  of  Selection  of  KPMG  as  Occidental’s</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0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2"/>
                <w:szCs w:val="12"/>
                <w:color w:val="auto"/>
              </w:rPr>
              <w:t>Independent Auditor</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378" w:lineRule="exact"/>
        <w:rPr>
          <w:sz w:val="20"/>
          <w:szCs w:val="20"/>
          <w:color w:val="auto"/>
        </w:rPr>
      </w:pPr>
    </w:p>
    <w:p>
      <w:pPr>
        <w:ind w:right="180"/>
        <w:spacing w:after="0" w:line="252" w:lineRule="auto"/>
        <w:rPr>
          <w:sz w:val="20"/>
          <w:szCs w:val="20"/>
          <w:color w:val="auto"/>
        </w:rPr>
      </w:pPr>
      <w:r>
        <w:rPr>
          <w:rFonts w:ascii="Arial" w:cs="Arial" w:eastAsia="Arial" w:hAnsi="Arial"/>
          <w:sz w:val="13"/>
          <w:szCs w:val="13"/>
          <w:b w:val="1"/>
          <w:bCs w:val="1"/>
          <w:color w:val="auto"/>
        </w:rPr>
        <w:t>The Board of Directors recommends a vote “AGAINST” For Against Abstain Proposal 5.</w:t>
      </w:r>
    </w:p>
    <w:p>
      <w:pPr>
        <w:spacing w:after="0" w:line="110" w:lineRule="exact"/>
        <w:rPr>
          <w:sz w:val="20"/>
          <w:szCs w:val="20"/>
          <w:color w:val="auto"/>
        </w:rPr>
      </w:pPr>
    </w:p>
    <w:p>
      <w:pPr>
        <w:spacing w:after="0" w:line="138" w:lineRule="exact"/>
        <w:tabs>
          <w:tab w:leader="none" w:pos="260" w:val="left"/>
          <w:tab w:leader="none" w:pos="3560" w:val="left"/>
          <w:tab w:leader="none" w:pos="4140" w:val="left"/>
          <w:tab w:leader="none" w:pos="4740" w:val="left"/>
        </w:tabs>
        <w:rPr>
          <w:sz w:val="20"/>
          <w:szCs w:val="20"/>
          <w:color w:val="auto"/>
        </w:rPr>
      </w:pPr>
      <w:r>
        <w:rPr>
          <w:rFonts w:ascii="Arial" w:cs="Arial" w:eastAsia="Arial" w:hAnsi="Arial"/>
          <w:sz w:val="12"/>
          <w:szCs w:val="12"/>
          <w:color w:val="auto"/>
        </w:rPr>
        <w:t>5.</w:t>
        <w:tab/>
        <w:t>Shareholder Proposal Requesting an Independent Board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9"/>
          <w:szCs w:val="9"/>
          <w:color w:val="auto"/>
        </w:rPr>
        <w: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Chairman Policy</w:t>
      </w:r>
    </w:p>
    <w:p>
      <w:pPr>
        <w:spacing w:after="0" w:line="200" w:lineRule="exact"/>
        <w:rPr>
          <w:sz w:val="20"/>
          <w:szCs w:val="20"/>
          <w:color w:val="auto"/>
        </w:rPr>
      </w:pPr>
    </w:p>
    <w:p>
      <w:pPr>
        <w:sectPr>
          <w:pgSz w:w="11900" w:h="16838" w:orient="portrait"/>
          <w:cols w:equalWidth="0" w:num="2">
            <w:col w:w="5360" w:space="440"/>
            <w:col w:w="5220"/>
          </w:cols>
          <w:pgMar w:left="320" w:top="130" w:right="559" w:bottom="1440" w:gutter="0" w:footer="0" w:header="0"/>
          <w:type w:val="continuous"/>
        </w:sectPr>
      </w:pPr>
    </w:p>
    <w:p>
      <w:pPr>
        <w:spacing w:after="0" w:line="42"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THIS PROXY, WHEN PROPERLY EXECUTED, WILL BE VOTED AS DIRECTED OR, IF NO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DIRECTION IS GIVEN, WILL BE VOTED AS THE BOARD OF DIRECTORS RECOMMENDS.</w:t>
      </w:r>
    </w:p>
    <w:p>
      <w:pPr>
        <w:spacing w:after="0" w:line="350" w:lineRule="exact"/>
        <w:rPr>
          <w:sz w:val="20"/>
          <w:szCs w:val="20"/>
          <w:color w:val="auto"/>
        </w:rPr>
      </w:pPr>
    </w:p>
    <w:p>
      <w:pPr>
        <w:ind w:left="320" w:right="2200"/>
        <w:spacing w:after="0" w:line="258" w:lineRule="auto"/>
        <w:rPr>
          <w:sz w:val="20"/>
          <w:szCs w:val="20"/>
          <w:color w:val="auto"/>
        </w:rPr>
      </w:pPr>
      <w:r>
        <w:rPr>
          <w:rFonts w:ascii="Arial" w:cs="Arial" w:eastAsia="Arial" w:hAnsi="Arial"/>
          <w:sz w:val="12"/>
          <w:szCs w:val="12"/>
          <w:color w:val="auto"/>
        </w:rPr>
        <w:t>Please sign exactly as your name(s) appear(s) on the proxy. If the shares are held in joint tenancy, all persons should sign. Trustees, administrators, etc. should include their title and authority. Corporations should provide the full name of the corporation and the title of the authorized officer signing the proxy.</w:t>
      </w:r>
    </w:p>
    <w:p>
      <w:pPr>
        <w:sectPr>
          <w:pgSz w:w="11900" w:h="16838" w:orient="portrait"/>
          <w:cols w:equalWidth="0" w:num="1">
            <w:col w:w="11020"/>
          </w:cols>
          <w:pgMar w:left="320" w:top="130" w:right="55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320"/>
        <w:spacing w:after="0"/>
        <w:tabs>
          <w:tab w:leader="none" w:pos="2820" w:val="left"/>
          <w:tab w:leader="none" w:pos="5720" w:val="left"/>
          <w:tab w:leader="none" w:pos="82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53275" cy="209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Notice and 2023 Proxy Statement and 2022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6233160</wp:posOffset>
            </wp:positionH>
            <wp:positionV relativeFrom="paragraph">
              <wp:posOffset>1784985</wp:posOffset>
            </wp:positionV>
            <wp:extent cx="779780" cy="336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7978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D99516-P86980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46990</wp:posOffset>
            </wp:positionV>
            <wp:extent cx="6853555" cy="45472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6853555" cy="454723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OCCIDENTAL PETROLEUM CORPORATION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ANNUAL MEETING OF SHAREHOLDERS</w:t>
      </w:r>
    </w:p>
    <w:p>
      <w:pPr>
        <w:ind w:left="3720"/>
        <w:spacing w:after="0"/>
        <w:rPr>
          <w:sz w:val="20"/>
          <w:szCs w:val="20"/>
          <w:color w:val="auto"/>
        </w:rPr>
      </w:pPr>
      <w:r>
        <w:rPr>
          <w:rFonts w:ascii="Arial" w:cs="Arial" w:eastAsia="Arial" w:hAnsi="Arial"/>
          <w:sz w:val="18"/>
          <w:szCs w:val="18"/>
          <w:b w:val="1"/>
          <w:bCs w:val="1"/>
          <w:color w:val="auto"/>
        </w:rPr>
        <w:t>Friday, May 5, 2023 at 9:00 a.m. Central Time</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www.virtualshareholdermeeting.com/OXY2023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proxy card</w:t>
      </w:r>
    </w:p>
    <w:p>
      <w:pPr>
        <w:spacing w:after="0" w:line="77" w:lineRule="exact"/>
        <w:rPr>
          <w:sz w:val="20"/>
          <w:szCs w:val="20"/>
          <w:color w:val="auto"/>
        </w:rPr>
      </w:pPr>
    </w:p>
    <w:p>
      <w:pPr>
        <w:jc w:val="both"/>
        <w:ind w:left="800" w:right="300"/>
        <w:spacing w:after="0"/>
        <w:rPr>
          <w:sz w:val="20"/>
          <w:szCs w:val="20"/>
          <w:color w:val="auto"/>
        </w:rPr>
      </w:pPr>
      <w:r>
        <w:rPr>
          <w:rFonts w:ascii="Arial" w:cs="Arial" w:eastAsia="Arial" w:hAnsi="Arial"/>
          <w:sz w:val="18"/>
          <w:szCs w:val="18"/>
          <w:color w:val="auto"/>
        </w:rPr>
        <w:t>VICKI HOLLUB and NICOLE E. CLARK, and each of them, with full power of substitution, are hereby authorized to represent and to vote the shares of the undersigned in OCCIDENTAL PETROLEUM CORPORATION (“Occidental”) as directed on the reverse side of this proxy card and, in their discretion, on all other matters which may properly come before the Annual Meeting of Shareholders to be held on May 5, 2023, and at any adjournment or postponement thereof (including, if applicable, on any matter which the Board of Directors did not know would be presented at the Annual Meeting of Shareholders by a reasonable time before the proxy solicitation was made), as if the undersigned were present and voting at the meeting.</w:t>
      </w:r>
    </w:p>
    <w:p>
      <w:pPr>
        <w:spacing w:after="0" w:line="144" w:lineRule="exact"/>
        <w:rPr>
          <w:sz w:val="20"/>
          <w:szCs w:val="20"/>
          <w:color w:val="auto"/>
        </w:rPr>
      </w:pPr>
    </w:p>
    <w:p>
      <w:pPr>
        <w:jc w:val="both"/>
        <w:ind w:left="800" w:right="300"/>
        <w:spacing w:after="0"/>
        <w:rPr>
          <w:sz w:val="20"/>
          <w:szCs w:val="20"/>
          <w:color w:val="auto"/>
        </w:rPr>
      </w:pPr>
      <w:r>
        <w:rPr>
          <w:rFonts w:ascii="Arial" w:cs="Arial" w:eastAsia="Arial" w:hAnsi="Arial"/>
          <w:sz w:val="18"/>
          <w:szCs w:val="18"/>
          <w:color w:val="auto"/>
        </w:rPr>
        <w:t xml:space="preserve">The shares represented by this proxy will be voted as directed on the reverse side of this proxy card. </w:t>
      </w:r>
      <w:r>
        <w:rPr>
          <w:rFonts w:ascii="Arial" w:cs="Arial" w:eastAsia="Arial" w:hAnsi="Arial"/>
          <w:sz w:val="18"/>
          <w:szCs w:val="18"/>
          <w:b w:val="1"/>
          <w:bCs w:val="1"/>
          <w:color w:val="auto"/>
        </w:rPr>
        <w:t>Where no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direction is given, such shares will be voted in accordance with the recommendation of the Board of Directors to the extent permitted by law; therefore, if no direction is made, this proxy will be voted FOR the election of each director nominee listed in Proposal 1; every ONE YEAR for Proposal 2; FOR Proposals 3 and 4; AGAINST Proposal 5; and, in the proxies’ discretion, in accordance with the recommendation of the Board of Directors, on any other matters coming before the meeting or any adjournment or postponement thereof. </w:t>
      </w:r>
      <w:r>
        <w:rPr>
          <w:rFonts w:ascii="Arial" w:cs="Arial" w:eastAsia="Arial" w:hAnsi="Arial"/>
          <w:sz w:val="18"/>
          <w:szCs w:val="18"/>
          <w:color w:val="auto"/>
        </w:rPr>
        <w:t>In the event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named on the reverse side of this proxy card is unavailable for election or unable to serve, the shares represented by this proxy may be voted for a substitute nominee selected by the Board of Directors.</w:t>
      </w:r>
    </w:p>
    <w:p>
      <w:pPr>
        <w:spacing w:after="0" w:line="140" w:lineRule="exact"/>
        <w:rPr>
          <w:sz w:val="20"/>
          <w:szCs w:val="20"/>
          <w:color w:val="auto"/>
        </w:rPr>
      </w:pPr>
    </w:p>
    <w:p>
      <w:pPr>
        <w:jc w:val="both"/>
        <w:ind w:left="800" w:right="320"/>
        <w:spacing w:after="0" w:line="271" w:lineRule="auto"/>
        <w:rPr>
          <w:sz w:val="20"/>
          <w:szCs w:val="20"/>
          <w:color w:val="auto"/>
        </w:rPr>
      </w:pPr>
      <w:r>
        <w:rPr>
          <w:rFonts w:ascii="Arial" w:cs="Arial" w:eastAsia="Arial" w:hAnsi="Arial"/>
          <w:sz w:val="18"/>
          <w:szCs w:val="18"/>
          <w:color w:val="auto"/>
        </w:rPr>
        <w:t>Your proxy will be kept confidential in accordance with the confidential voting policy described in the Proxy Statement and available on Occidental’s website.</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53275" cy="215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760"/>
          </w:cols>
          <w:pgMar w:left="320" w:top="130" w:right="8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109220</wp:posOffset>
            </wp:positionV>
            <wp:extent cx="582930" cy="60833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5829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8"/>
          <w:szCs w:val="8"/>
          <w:i w:val="1"/>
          <w:iCs w:val="1"/>
          <w:color w:val="auto"/>
        </w:rPr>
        <w:t>5 GREENWAY PLAZA, SUITE 110</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9"/>
          <w:szCs w:val="9"/>
          <w:i w:val="1"/>
          <w:iCs w:val="1"/>
          <w:color w:val="auto"/>
        </w:rPr>
        <w:t>HOUSTON, TX 77046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r>
        <w:rPr>
          <w:rFonts w:ascii="Arial" w:cs="Arial" w:eastAsia="Arial" w:hAnsi="Arial"/>
          <w:sz w:val="9"/>
          <w:szCs w:val="9"/>
          <w:b w:val="1"/>
          <w:bCs w:val="1"/>
          <w:color w:val="auto"/>
        </w:rPr>
        <w:t xml:space="preserve">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-650875</wp:posOffset>
            </wp:positionV>
            <wp:extent cx="2099945" cy="49720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2099945" cy="497205"/>
                    </a:xfrm>
                    <a:prstGeom prst="rect">
                      <a:avLst/>
                    </a:prstGeom>
                    <a:noFill/>
                  </pic:spPr>
                </pic:pic>
              </a:graphicData>
            </a:graphic>
          </wp:anchor>
        </w:drawing>
      </w:r>
    </w:p>
    <w:p>
      <w:pPr>
        <w:jc w:val="both"/>
        <w:ind w:right="640"/>
        <w:spacing w:after="0" w:line="230" w:lineRule="auto"/>
        <w:rPr>
          <w:sz w:val="20"/>
          <w:szCs w:val="20"/>
          <w:color w:val="auto"/>
        </w:rPr>
      </w:pPr>
      <w:r>
        <w:rPr>
          <w:rFonts w:ascii="Arial" w:cs="Arial" w:eastAsia="Arial" w:hAnsi="Arial"/>
          <w:sz w:val="9"/>
          <w:szCs w:val="9"/>
          <w:color w:val="auto"/>
        </w:rPr>
        <w:t>Use the Internet to transmit your voting instructions and for electronic delivery of information until 11:59 p.m. Eastern Time on May 2, 2023. Have your voting instruction card in hand when you access the website and follow the instructions to obtain your records and to create an electronic voting instruction form.</w:t>
      </w:r>
    </w:p>
    <w:p>
      <w:pPr>
        <w:spacing w:after="0" w:line="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jc w:val="both"/>
        <w:ind w:right="640"/>
        <w:spacing w:after="0" w:line="236" w:lineRule="auto"/>
        <w:rPr>
          <w:sz w:val="20"/>
          <w:szCs w:val="20"/>
          <w:color w:val="auto"/>
        </w:rPr>
      </w:pPr>
      <w:r>
        <w:rPr>
          <w:rFonts w:ascii="Arial" w:cs="Arial" w:eastAsia="Arial" w:hAnsi="Arial"/>
          <w:sz w:val="9"/>
          <w:szCs w:val="9"/>
          <w:color w:val="auto"/>
        </w:rPr>
        <w:t>Use any touch-tone telephone to transmit your voting instructions until 11:59 p.m. Eastern Time on May 2, 2023. Have your voting instruction card in hand when you call and then follow the instructions.</w:t>
      </w:r>
    </w:p>
    <w:p>
      <w:pPr>
        <w:spacing w:after="0" w:line="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jc w:val="both"/>
        <w:ind w:right="640"/>
        <w:spacing w:after="0" w:line="236" w:lineRule="auto"/>
        <w:rPr>
          <w:sz w:val="20"/>
          <w:szCs w:val="20"/>
          <w:color w:val="auto"/>
        </w:rPr>
      </w:pPr>
      <w:r>
        <w:rPr>
          <w:rFonts w:ascii="Arial" w:cs="Arial" w:eastAsia="Arial" w:hAnsi="Arial"/>
          <w:sz w:val="9"/>
          <w:szCs w:val="9"/>
          <w:color w:val="auto"/>
        </w:rPr>
        <w:t>Mark, sign and date your voting instruction card and return it in the postage-paid envelope we have provided or return it to Vote Processing, c/o Broadridge, 51 Mercedes Way, Edgewood, NY 11717.</w:t>
      </w:r>
    </w:p>
    <w:p>
      <w:pPr>
        <w:spacing w:after="0" w:line="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PROXY MATERIALS</w:t>
      </w:r>
    </w:p>
    <w:p>
      <w:pPr>
        <w:jc w:val="both"/>
        <w:ind w:right="640"/>
        <w:spacing w:after="0" w:line="227" w:lineRule="auto"/>
        <w:rPr>
          <w:sz w:val="20"/>
          <w:szCs w:val="20"/>
          <w:color w:val="auto"/>
        </w:rPr>
      </w:pPr>
      <w:r>
        <w:rPr>
          <w:rFonts w:ascii="Arial" w:cs="Arial" w:eastAsia="Arial" w:hAnsi="Arial"/>
          <w:sz w:val="9"/>
          <w:szCs w:val="9"/>
          <w:color w:val="auto"/>
        </w:rPr>
        <w:t>If you would like to reduce the costs incurred by Occidental in mailing proxy materials, you can consent to receiving all future proxy statements, voting instruction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ectPr>
          <w:pgSz w:w="11900" w:h="16838" w:orient="portrait"/>
          <w:cols w:equalWidth="0" w:num="2">
            <w:col w:w="4900" w:space="720"/>
            <w:col w:w="5400"/>
          </w:cols>
          <w:pgMar w:left="320" w:top="13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 VOTE, MARK BLOCKS BELOW IN BLUE OR BLACK INK AS FOLLOWS:</w:t>
      </w:r>
    </w:p>
    <w:tbl>
      <w:tblPr>
        <w:tblLayout w:type="fixed"/>
        <w:tblInd w:w="6720" w:type="dxa"/>
        <w:tblCellMar>
          <w:top w:w="0" w:type="dxa"/>
          <w:left w:w="0" w:type="dxa"/>
          <w:bottom w:w="0" w:type="dxa"/>
          <w:right w:w="0" w:type="dxa"/>
        </w:tblCellMar>
      </w:tblPr>
      <w:tr>
        <w:trPr>
          <w:trHeight w:val="137"/>
        </w:trPr>
        <w:tc>
          <w:tcPr>
            <w:tcW w:w="1280" w:type="dxa"/>
            <w:vAlign w:val="bottom"/>
          </w:tcPr>
          <w:p>
            <w:pPr>
              <w:spacing w:after="0" w:line="137" w:lineRule="exact"/>
              <w:rPr>
                <w:sz w:val="20"/>
                <w:szCs w:val="20"/>
                <w:color w:val="auto"/>
              </w:rPr>
            </w:pPr>
            <w:r>
              <w:rPr>
                <w:rFonts w:ascii="Arial" w:cs="Arial" w:eastAsia="Arial" w:hAnsi="Arial"/>
                <w:sz w:val="13"/>
                <w:szCs w:val="13"/>
                <w:color w:val="auto"/>
              </w:rPr>
              <w:t>D99517-Z84384</w:t>
            </w:r>
          </w:p>
        </w:tc>
        <w:tc>
          <w:tcPr>
            <w:tcW w:w="3020" w:type="dxa"/>
            <w:vAlign w:val="bottom"/>
          </w:tcPr>
          <w:p>
            <w:pPr>
              <w:jc w:val="right"/>
              <w:spacing w:after="0" w:line="137" w:lineRule="exact"/>
              <w:rPr>
                <w:sz w:val="20"/>
                <w:szCs w:val="20"/>
                <w:color w:val="auto"/>
              </w:rPr>
            </w:pPr>
            <w:r>
              <w:rPr>
                <w:rFonts w:ascii="Arial" w:cs="Arial" w:eastAsia="Arial" w:hAnsi="Arial"/>
                <w:sz w:val="13"/>
                <w:szCs w:val="13"/>
                <w:color w:val="auto"/>
              </w:rPr>
              <w:t>KEEP THIS PORTION FOR YOUR RECORDS</w:t>
            </w:r>
          </w:p>
        </w:tc>
      </w:tr>
      <w:tr>
        <w:trPr>
          <w:trHeight w:val="158"/>
        </w:trPr>
        <w:tc>
          <w:tcPr>
            <w:tcW w:w="1280" w:type="dxa"/>
            <w:vAlign w:val="bottom"/>
          </w:tcPr>
          <w:p>
            <w:pPr>
              <w:spacing w:after="0"/>
              <w:rPr>
                <w:sz w:val="13"/>
                <w:szCs w:val="13"/>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-96520</wp:posOffset>
            </wp:positionV>
            <wp:extent cx="685800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51435</wp:posOffset>
            </wp:positionV>
            <wp:extent cx="6853555" cy="429006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853555" cy="42900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OCCIDENTAL PETROLEUM CORPORATION</w:t>
      </w:r>
    </w:p>
    <w:p>
      <w:pPr>
        <w:sectPr>
          <w:pgSz w:w="11900" w:h="16838" w:orient="portrait"/>
          <w:cols w:equalWidth="0" w:num="1">
            <w:col w:w="11020"/>
          </w:cols>
          <w:pgMar w:left="320" w:top="130" w:right="559" w:bottom="1440" w:gutter="0" w:footer="0" w:header="0"/>
          <w:type w:val="continuous"/>
        </w:sectPr>
      </w:pPr>
    </w:p>
    <w:p>
      <w:pPr>
        <w:spacing w:after="0" w:line="104" w:lineRule="exact"/>
        <w:rPr>
          <w:sz w:val="20"/>
          <w:szCs w:val="20"/>
          <w:color w:val="auto"/>
        </w:rPr>
      </w:pPr>
    </w:p>
    <w:p>
      <w:pPr>
        <w:ind w:left="460" w:right="1740"/>
        <w:spacing w:after="0" w:line="258" w:lineRule="auto"/>
        <w:rPr>
          <w:sz w:val="20"/>
          <w:szCs w:val="20"/>
          <w:color w:val="auto"/>
        </w:rPr>
      </w:pPr>
      <w:r>
        <w:rPr>
          <w:rFonts w:ascii="Arial" w:cs="Arial" w:eastAsia="Arial" w:hAnsi="Arial"/>
          <w:sz w:val="12"/>
          <w:szCs w:val="12"/>
          <w:color w:val="auto"/>
        </w:rPr>
        <w:t>This proxy is solicited on behalf of the Board of Directors of Occidental Petroleum Corporation.</w:t>
      </w:r>
    </w:p>
    <w:p>
      <w:pPr>
        <w:spacing w:after="0" w:line="79" w:lineRule="exact"/>
        <w:rPr>
          <w:sz w:val="20"/>
          <w:szCs w:val="20"/>
          <w:color w:val="auto"/>
        </w:rPr>
      </w:pPr>
    </w:p>
    <w:p>
      <w:pPr>
        <w:ind w:left="460" w:right="1720"/>
        <w:spacing w:after="0" w:line="272" w:lineRule="auto"/>
        <w:rPr>
          <w:sz w:val="20"/>
          <w:szCs w:val="20"/>
          <w:color w:val="auto"/>
        </w:rPr>
      </w:pPr>
      <w:r>
        <w:rPr>
          <w:rFonts w:ascii="Arial" w:cs="Arial" w:eastAsia="Arial" w:hAnsi="Arial"/>
          <w:sz w:val="12"/>
          <w:szCs w:val="12"/>
          <w:b w:val="1"/>
          <w:bCs w:val="1"/>
          <w:color w:val="auto"/>
        </w:rPr>
        <w:t>The Board of Directors recommends a vote “FOR” each nominee listed in Proposal 1.</w:t>
      </w:r>
    </w:p>
    <w:p>
      <w:pPr>
        <w:spacing w:after="0" w:line="94" w:lineRule="exact"/>
        <w:rPr>
          <w:sz w:val="20"/>
          <w:szCs w:val="20"/>
          <w:color w:val="auto"/>
        </w:rPr>
      </w:pPr>
    </w:p>
    <w:p>
      <w:pPr>
        <w:ind w:left="700" w:hanging="232"/>
        <w:spacing w:after="0"/>
        <w:tabs>
          <w:tab w:leader="none" w:pos="7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200" w:type="dxa"/>
            <w:vAlign w:val="bottom"/>
          </w:tcPr>
          <w:p>
            <w:pPr>
              <w:jc w:val="center"/>
              <w:ind w:left="741"/>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1"/>
              <w:spacing w:after="0"/>
              <w:rPr>
                <w:sz w:val="20"/>
                <w:szCs w:val="20"/>
                <w:color w:val="auto"/>
              </w:rPr>
            </w:pPr>
            <w:r>
              <w:rPr>
                <w:rFonts w:ascii="Arial" w:cs="Arial" w:eastAsia="Arial" w:hAnsi="Arial"/>
                <w:sz w:val="13"/>
                <w:szCs w:val="13"/>
                <w:b w:val="1"/>
                <w:bCs w:val="1"/>
                <w:color w:val="auto"/>
                <w:w w:val="96"/>
              </w:rPr>
              <w:t>Abstain</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1a.</w:t>
            </w:r>
          </w:p>
        </w:tc>
        <w:tc>
          <w:tcPr>
            <w:tcW w:w="2020" w:type="dxa"/>
            <w:vAlign w:val="bottom"/>
          </w:tcPr>
          <w:p>
            <w:pPr>
              <w:ind w:left="80"/>
              <w:spacing w:after="0"/>
              <w:rPr>
                <w:sz w:val="20"/>
                <w:szCs w:val="20"/>
                <w:color w:val="auto"/>
              </w:rPr>
            </w:pPr>
            <w:r>
              <w:rPr>
                <w:rFonts w:ascii="Arial" w:cs="Arial" w:eastAsia="Arial" w:hAnsi="Arial"/>
                <w:sz w:val="12"/>
                <w:szCs w:val="12"/>
                <w:color w:val="auto"/>
              </w:rPr>
              <w:t>Vicky A. Bailey</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1b.</w:t>
            </w:r>
          </w:p>
        </w:tc>
        <w:tc>
          <w:tcPr>
            <w:tcW w:w="2020" w:type="dxa"/>
            <w:vAlign w:val="bottom"/>
          </w:tcPr>
          <w:p>
            <w:pPr>
              <w:ind w:left="80"/>
              <w:spacing w:after="0"/>
              <w:rPr>
                <w:sz w:val="20"/>
                <w:szCs w:val="20"/>
                <w:color w:val="auto"/>
              </w:rPr>
            </w:pPr>
            <w:r>
              <w:rPr>
                <w:rFonts w:ascii="Arial" w:cs="Arial" w:eastAsia="Arial" w:hAnsi="Arial"/>
                <w:sz w:val="12"/>
                <w:szCs w:val="12"/>
                <w:color w:val="auto"/>
              </w:rPr>
              <w:t>Andrew Gould</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1c.</w:t>
            </w:r>
          </w:p>
        </w:tc>
        <w:tc>
          <w:tcPr>
            <w:tcW w:w="2020" w:type="dxa"/>
            <w:vAlign w:val="bottom"/>
          </w:tcPr>
          <w:p>
            <w:pPr>
              <w:ind w:left="80"/>
              <w:spacing w:after="0"/>
              <w:rPr>
                <w:sz w:val="20"/>
                <w:szCs w:val="20"/>
                <w:color w:val="auto"/>
              </w:rPr>
            </w:pPr>
            <w:r>
              <w:rPr>
                <w:rFonts w:ascii="Arial" w:cs="Arial" w:eastAsia="Arial" w:hAnsi="Arial"/>
                <w:sz w:val="12"/>
                <w:szCs w:val="12"/>
                <w:color w:val="auto"/>
              </w:rPr>
              <w:t>Carlos M. Gutierrez</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1d.</w:t>
            </w:r>
          </w:p>
        </w:tc>
        <w:tc>
          <w:tcPr>
            <w:tcW w:w="2020" w:type="dxa"/>
            <w:vAlign w:val="bottom"/>
          </w:tcPr>
          <w:p>
            <w:pPr>
              <w:ind w:left="80"/>
              <w:spacing w:after="0"/>
              <w:rPr>
                <w:sz w:val="20"/>
                <w:szCs w:val="20"/>
                <w:color w:val="auto"/>
              </w:rPr>
            </w:pPr>
            <w:r>
              <w:rPr>
                <w:rFonts w:ascii="Arial" w:cs="Arial" w:eastAsia="Arial" w:hAnsi="Arial"/>
                <w:sz w:val="12"/>
                <w:szCs w:val="12"/>
                <w:color w:val="auto"/>
              </w:rPr>
              <w:t>Vicki Hollub</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1e.</w:t>
            </w:r>
          </w:p>
        </w:tc>
        <w:tc>
          <w:tcPr>
            <w:tcW w:w="2020" w:type="dxa"/>
            <w:vAlign w:val="bottom"/>
          </w:tcPr>
          <w:p>
            <w:pPr>
              <w:ind w:left="80"/>
              <w:spacing w:after="0"/>
              <w:rPr>
                <w:sz w:val="20"/>
                <w:szCs w:val="20"/>
                <w:color w:val="auto"/>
              </w:rPr>
            </w:pPr>
            <w:r>
              <w:rPr>
                <w:rFonts w:ascii="Arial" w:cs="Arial" w:eastAsia="Arial" w:hAnsi="Arial"/>
                <w:sz w:val="12"/>
                <w:szCs w:val="12"/>
                <w:color w:val="auto"/>
              </w:rPr>
              <w:t>William R. Klesse</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1f.</w:t>
            </w:r>
          </w:p>
        </w:tc>
        <w:tc>
          <w:tcPr>
            <w:tcW w:w="2020" w:type="dxa"/>
            <w:vAlign w:val="bottom"/>
          </w:tcPr>
          <w:p>
            <w:pPr>
              <w:ind w:left="80"/>
              <w:spacing w:after="0"/>
              <w:rPr>
                <w:sz w:val="20"/>
                <w:szCs w:val="20"/>
                <w:color w:val="auto"/>
              </w:rPr>
            </w:pPr>
            <w:r>
              <w:rPr>
                <w:rFonts w:ascii="Arial" w:cs="Arial" w:eastAsia="Arial" w:hAnsi="Arial"/>
                <w:sz w:val="12"/>
                <w:szCs w:val="12"/>
                <w:color w:val="auto"/>
              </w:rPr>
              <w:t>Jack B. Moore</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1g.</w:t>
            </w:r>
          </w:p>
        </w:tc>
        <w:tc>
          <w:tcPr>
            <w:tcW w:w="2020" w:type="dxa"/>
            <w:vAlign w:val="bottom"/>
          </w:tcPr>
          <w:p>
            <w:pPr>
              <w:ind w:left="80"/>
              <w:spacing w:after="0"/>
              <w:rPr>
                <w:sz w:val="20"/>
                <w:szCs w:val="20"/>
                <w:color w:val="auto"/>
              </w:rPr>
            </w:pPr>
            <w:r>
              <w:rPr>
                <w:rFonts w:ascii="Arial" w:cs="Arial" w:eastAsia="Arial" w:hAnsi="Arial"/>
                <w:sz w:val="12"/>
                <w:szCs w:val="12"/>
                <w:color w:val="auto"/>
              </w:rPr>
              <w:t>Claire O’Neill</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1h.</w:t>
            </w:r>
          </w:p>
        </w:tc>
        <w:tc>
          <w:tcPr>
            <w:tcW w:w="2020" w:type="dxa"/>
            <w:vAlign w:val="bottom"/>
          </w:tcPr>
          <w:p>
            <w:pPr>
              <w:ind w:left="80"/>
              <w:spacing w:after="0"/>
              <w:rPr>
                <w:sz w:val="20"/>
                <w:szCs w:val="20"/>
                <w:color w:val="auto"/>
              </w:rPr>
            </w:pPr>
            <w:r>
              <w:rPr>
                <w:rFonts w:ascii="Arial" w:cs="Arial" w:eastAsia="Arial" w:hAnsi="Arial"/>
                <w:sz w:val="12"/>
                <w:szCs w:val="12"/>
                <w:color w:val="auto"/>
              </w:rPr>
              <w:t>Avedick B. Poladian</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1i.</w:t>
            </w:r>
          </w:p>
        </w:tc>
        <w:tc>
          <w:tcPr>
            <w:tcW w:w="2020" w:type="dxa"/>
            <w:vAlign w:val="bottom"/>
          </w:tcPr>
          <w:p>
            <w:pPr>
              <w:ind w:left="80"/>
              <w:spacing w:after="0"/>
              <w:rPr>
                <w:sz w:val="20"/>
                <w:szCs w:val="20"/>
                <w:color w:val="auto"/>
              </w:rPr>
            </w:pPr>
            <w:r>
              <w:rPr>
                <w:rFonts w:ascii="Arial" w:cs="Arial" w:eastAsia="Arial" w:hAnsi="Arial"/>
                <w:sz w:val="12"/>
                <w:szCs w:val="12"/>
                <w:color w:val="auto"/>
              </w:rPr>
              <w:t>Ken Robinson</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1j.</w:t>
            </w:r>
          </w:p>
        </w:tc>
        <w:tc>
          <w:tcPr>
            <w:tcW w:w="2020" w:type="dxa"/>
            <w:vAlign w:val="bottom"/>
          </w:tcPr>
          <w:p>
            <w:pPr>
              <w:ind w:left="80"/>
              <w:spacing w:after="0"/>
              <w:rPr>
                <w:sz w:val="20"/>
                <w:szCs w:val="20"/>
                <w:color w:val="auto"/>
              </w:rPr>
            </w:pPr>
            <w:r>
              <w:rPr>
                <w:rFonts w:ascii="Arial" w:cs="Arial" w:eastAsia="Arial" w:hAnsi="Arial"/>
                <w:sz w:val="12"/>
                <w:szCs w:val="12"/>
                <w:color w:val="auto"/>
              </w:rPr>
              <w:t>Robert M. Shearer</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a vote of</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4"/>
              </w:rPr>
              <w:t>One</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Two</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Three</w:t>
            </w:r>
          </w:p>
        </w:tc>
        <w:tc>
          <w:tcPr>
            <w:tcW w:w="560" w:type="dxa"/>
            <w:vAlign w:val="bottom"/>
            <w:vMerge w:val="restart"/>
          </w:tcPr>
          <w:p>
            <w:pPr>
              <w:jc w:val="center"/>
              <w:ind w:left="39"/>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72"/>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every “ONE YEAR” for Proposal 2.</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2"/>
                <w:szCs w:val="12"/>
                <w:color w:val="auto"/>
              </w:rPr>
              <w:t>2.   Advisory</w:t>
            </w:r>
          </w:p>
        </w:tc>
        <w:tc>
          <w:tcPr>
            <w:tcW w:w="2200" w:type="dxa"/>
            <w:vAlign w:val="bottom"/>
          </w:tcPr>
          <w:p>
            <w:pPr>
              <w:jc w:val="right"/>
              <w:ind w:right="22"/>
              <w:spacing w:after="0"/>
              <w:rPr>
                <w:sz w:val="20"/>
                <w:szCs w:val="20"/>
                <w:color w:val="auto"/>
              </w:rPr>
            </w:pPr>
            <w:r>
              <w:rPr>
                <w:rFonts w:ascii="Arial" w:cs="Arial" w:eastAsia="Arial" w:hAnsi="Arial"/>
                <w:sz w:val="12"/>
                <w:szCs w:val="12"/>
                <w:color w:val="auto"/>
              </w:rPr>
              <w:t>Vote  on  the  Frequency  of  Future</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60" w:type="dxa"/>
            <w:vAlign w:val="bottom"/>
          </w:tcPr>
          <w:p>
            <w:pPr>
              <w:jc w:val="center"/>
              <w:ind w:left="39"/>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35"/>
        </w:trPr>
        <w:tc>
          <w:tcPr>
            <w:tcW w:w="780" w:type="dxa"/>
            <w:vAlign w:val="bottom"/>
          </w:tcPr>
          <w:p>
            <w:pPr>
              <w:ind w:left="280"/>
              <w:spacing w:after="0" w:line="135" w:lineRule="exact"/>
              <w:rPr>
                <w:sz w:val="20"/>
                <w:szCs w:val="20"/>
                <w:color w:val="auto"/>
              </w:rPr>
            </w:pPr>
            <w:r>
              <w:rPr>
                <w:rFonts w:ascii="Arial" w:cs="Arial" w:eastAsia="Arial" w:hAnsi="Arial"/>
                <w:sz w:val="12"/>
                <w:szCs w:val="12"/>
                <w:color w:val="auto"/>
              </w:rPr>
              <w:t>Advisory</w:t>
            </w:r>
          </w:p>
        </w:tc>
        <w:tc>
          <w:tcPr>
            <w:tcW w:w="22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Votes  to  Approve  Named  Executive</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80" w:type="dxa"/>
            <w:vAlign w:val="bottom"/>
            <w:gridSpan w:val="2"/>
          </w:tcPr>
          <w:p>
            <w:pPr>
              <w:ind w:left="280"/>
              <w:spacing w:after="0"/>
              <w:rPr>
                <w:sz w:val="20"/>
                <w:szCs w:val="20"/>
                <w:color w:val="auto"/>
              </w:rPr>
            </w:pPr>
            <w:r>
              <w:rPr>
                <w:rFonts w:ascii="Arial" w:cs="Arial" w:eastAsia="Arial" w:hAnsi="Arial"/>
                <w:sz w:val="12"/>
                <w:szCs w:val="12"/>
                <w:color w:val="auto"/>
              </w:rPr>
              <w:t>Officer Compensation</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a vote “FOR”</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Abstain</w:t>
            </w:r>
          </w:p>
        </w:tc>
      </w:tr>
      <w:tr>
        <w:trPr>
          <w:trHeight w:val="172"/>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Proposals 3 and 4.</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2"/>
                <w:szCs w:val="12"/>
                <w:color w:val="auto"/>
              </w:rPr>
              <w:t>3.</w:t>
            </w:r>
          </w:p>
        </w:tc>
        <w:tc>
          <w:tcPr>
            <w:tcW w:w="3240" w:type="dxa"/>
            <w:vAlign w:val="bottom"/>
          </w:tcPr>
          <w:p>
            <w:pPr>
              <w:ind w:left="80"/>
              <w:spacing w:after="0"/>
              <w:rPr>
                <w:sz w:val="20"/>
                <w:szCs w:val="20"/>
                <w:color w:val="auto"/>
              </w:rPr>
            </w:pPr>
            <w:r>
              <w:rPr>
                <w:rFonts w:ascii="Arial" w:cs="Arial" w:eastAsia="Arial" w:hAnsi="Arial"/>
                <w:sz w:val="12"/>
                <w:szCs w:val="12"/>
                <w:color w:val="auto"/>
              </w:rPr>
              <w:t>Advisory  Vote  to  Approve  Named  Executive  Officer</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0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53"/>
        </w:trPr>
        <w:tc>
          <w:tcPr>
            <w:tcW w:w="200" w:type="dxa"/>
            <w:vAlign w:val="bottom"/>
          </w:tcPr>
          <w:p>
            <w:pPr>
              <w:spacing w:after="0"/>
              <w:rPr>
                <w:sz w:val="20"/>
                <w:szCs w:val="20"/>
                <w:color w:val="auto"/>
              </w:rPr>
            </w:pPr>
            <w:r>
              <w:rPr>
                <w:rFonts w:ascii="Arial" w:cs="Arial" w:eastAsia="Arial" w:hAnsi="Arial"/>
                <w:sz w:val="12"/>
                <w:szCs w:val="12"/>
                <w:color w:val="auto"/>
              </w:rPr>
              <w:t>4.</w:t>
            </w:r>
          </w:p>
        </w:tc>
        <w:tc>
          <w:tcPr>
            <w:tcW w:w="3240" w:type="dxa"/>
            <w:vAlign w:val="bottom"/>
          </w:tcPr>
          <w:p>
            <w:pPr>
              <w:ind w:left="80"/>
              <w:spacing w:after="0"/>
              <w:rPr>
                <w:sz w:val="20"/>
                <w:szCs w:val="20"/>
                <w:color w:val="auto"/>
              </w:rPr>
            </w:pPr>
            <w:r>
              <w:rPr>
                <w:rFonts w:ascii="Arial" w:cs="Arial" w:eastAsia="Arial" w:hAnsi="Arial"/>
                <w:sz w:val="12"/>
                <w:szCs w:val="12"/>
                <w:color w:val="auto"/>
              </w:rPr>
              <w:t>Ratification  of  Selection  of  KPMG  as  Occidental’s</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0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2"/>
                <w:szCs w:val="12"/>
                <w:color w:val="auto"/>
              </w:rPr>
              <w:t>Independent Auditor</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378" w:lineRule="exact"/>
        <w:rPr>
          <w:sz w:val="20"/>
          <w:szCs w:val="20"/>
          <w:color w:val="auto"/>
        </w:rPr>
      </w:pPr>
    </w:p>
    <w:p>
      <w:pPr>
        <w:ind w:right="180"/>
        <w:spacing w:after="0" w:line="252" w:lineRule="auto"/>
        <w:rPr>
          <w:sz w:val="20"/>
          <w:szCs w:val="20"/>
          <w:color w:val="auto"/>
        </w:rPr>
      </w:pPr>
      <w:r>
        <w:rPr>
          <w:rFonts w:ascii="Arial" w:cs="Arial" w:eastAsia="Arial" w:hAnsi="Arial"/>
          <w:sz w:val="13"/>
          <w:szCs w:val="13"/>
          <w:b w:val="1"/>
          <w:bCs w:val="1"/>
          <w:color w:val="auto"/>
        </w:rPr>
        <w:t>The Board of Directors recommends a vote “AGAINST” For Against Abstain Proposal 5.</w:t>
      </w:r>
    </w:p>
    <w:p>
      <w:pPr>
        <w:spacing w:after="0" w:line="110" w:lineRule="exact"/>
        <w:rPr>
          <w:sz w:val="20"/>
          <w:szCs w:val="20"/>
          <w:color w:val="auto"/>
        </w:rPr>
      </w:pPr>
    </w:p>
    <w:p>
      <w:pPr>
        <w:spacing w:after="0" w:line="138" w:lineRule="exact"/>
        <w:tabs>
          <w:tab w:leader="none" w:pos="260" w:val="left"/>
          <w:tab w:leader="none" w:pos="3560" w:val="left"/>
          <w:tab w:leader="none" w:pos="4140" w:val="left"/>
          <w:tab w:leader="none" w:pos="4740" w:val="left"/>
        </w:tabs>
        <w:rPr>
          <w:sz w:val="20"/>
          <w:szCs w:val="20"/>
          <w:color w:val="auto"/>
        </w:rPr>
      </w:pPr>
      <w:r>
        <w:rPr>
          <w:rFonts w:ascii="Arial" w:cs="Arial" w:eastAsia="Arial" w:hAnsi="Arial"/>
          <w:sz w:val="12"/>
          <w:szCs w:val="12"/>
          <w:color w:val="auto"/>
        </w:rPr>
        <w:t>5.</w:t>
        <w:tab/>
        <w:t>Shareholder Proposal Requesting an Independent Board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9"/>
          <w:szCs w:val="9"/>
          <w:color w:val="auto"/>
        </w:rPr>
        <w: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Chairman Policy</w:t>
      </w:r>
    </w:p>
    <w:p>
      <w:pPr>
        <w:spacing w:after="0" w:line="134" w:lineRule="exact"/>
        <w:rPr>
          <w:sz w:val="20"/>
          <w:szCs w:val="20"/>
          <w:color w:val="auto"/>
        </w:rPr>
      </w:pPr>
    </w:p>
    <w:p>
      <w:pPr>
        <w:sectPr>
          <w:pgSz w:w="11900" w:h="16838" w:orient="portrait"/>
          <w:cols w:equalWidth="0" w:num="2">
            <w:col w:w="5360" w:space="440"/>
            <w:col w:w="5220"/>
          </w:cols>
          <w:pgMar w:left="320" w:top="130" w:right="559" w:bottom="1440" w:gutter="0" w:footer="0" w:header="0"/>
          <w:type w:val="continuous"/>
        </w:sectPr>
      </w:pPr>
    </w:p>
    <w:p>
      <w:pPr>
        <w:ind w:left="5800"/>
        <w:spacing w:after="0"/>
        <w:rPr>
          <w:sz w:val="20"/>
          <w:szCs w:val="20"/>
          <w:color w:val="auto"/>
        </w:rPr>
      </w:pPr>
      <w:r>
        <w:rPr>
          <w:rFonts w:ascii="Arial" w:cs="Arial" w:eastAsia="Arial" w:hAnsi="Arial"/>
          <w:sz w:val="12"/>
          <w:szCs w:val="12"/>
          <w:b w:val="1"/>
          <w:bCs w:val="1"/>
          <w:color w:val="auto"/>
        </w:rPr>
        <w:t>THIS PROXY, WHEN PROPERLY EXECUTED, WILL BE VOTED AS DIRECTED OR, IF NO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DIRECTION IS GIVEN, WILL BE VOTED AS THE BOARD OF DIRECTORS RECOMMENDS.</w:t>
      </w:r>
    </w:p>
    <w:p>
      <w:pPr>
        <w:spacing w:after="0" w:line="105"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THE RESULTS OF THE VOTING WILL BE HELD IN STRICT CONFIDENCE BY THE</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TRUSTEE.</w:t>
      </w:r>
    </w:p>
    <w:p>
      <w:pPr>
        <w:spacing w:after="0" w:line="338" w:lineRule="exact"/>
        <w:rPr>
          <w:sz w:val="20"/>
          <w:szCs w:val="20"/>
          <w:color w:val="auto"/>
        </w:rPr>
      </w:pPr>
    </w:p>
    <w:p>
      <w:pPr>
        <w:ind w:left="320" w:right="2200"/>
        <w:spacing w:after="0" w:line="258" w:lineRule="auto"/>
        <w:rPr>
          <w:sz w:val="20"/>
          <w:szCs w:val="20"/>
          <w:color w:val="auto"/>
        </w:rPr>
      </w:pPr>
      <w:r>
        <w:rPr>
          <w:rFonts w:ascii="Arial" w:cs="Arial" w:eastAsia="Arial" w:hAnsi="Arial"/>
          <w:sz w:val="12"/>
          <w:szCs w:val="12"/>
          <w:color w:val="auto"/>
        </w:rPr>
        <w:t>Please sign exactly as your name(s) appear(s) on the proxy. If the shares are held in joint tenancy, all persons should sign. Trustees, administrators, etc. should include their title and authority. Corporations should provide the full name of the corporation and the title of the authorized officer signing the proxy.</w:t>
      </w:r>
    </w:p>
    <w:p>
      <w:pPr>
        <w:spacing w:after="0" w:line="200" w:lineRule="exact"/>
        <w:rPr>
          <w:sz w:val="20"/>
          <w:szCs w:val="20"/>
          <w:color w:val="auto"/>
        </w:rPr>
      </w:pPr>
    </w:p>
    <w:p>
      <w:pPr>
        <w:spacing w:after="0" w:line="290" w:lineRule="exact"/>
        <w:rPr>
          <w:sz w:val="20"/>
          <w:szCs w:val="20"/>
          <w:color w:val="auto"/>
        </w:rPr>
      </w:pPr>
    </w:p>
    <w:p>
      <w:pPr>
        <w:ind w:left="320"/>
        <w:spacing w:after="0"/>
        <w:tabs>
          <w:tab w:leader="none" w:pos="2820" w:val="left"/>
          <w:tab w:leader="none" w:pos="5720" w:val="left"/>
          <w:tab w:leader="none" w:pos="82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53275" cy="209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Notice and 2023 Proxy Statement and 2022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6233160</wp:posOffset>
            </wp:positionH>
            <wp:positionV relativeFrom="paragraph">
              <wp:posOffset>1784985</wp:posOffset>
            </wp:positionV>
            <wp:extent cx="779780" cy="336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7978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D99518-Z84384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46990</wp:posOffset>
            </wp:positionV>
            <wp:extent cx="6853555" cy="439293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6853555" cy="4392930"/>
                    </a:xfrm>
                    <a:prstGeom prst="rect">
                      <a:avLst/>
                    </a:prstGeom>
                    <a:noFill/>
                  </pic:spPr>
                </pic:pic>
              </a:graphicData>
            </a:graphic>
          </wp:anchor>
        </w:drawing>
      </w:r>
    </w:p>
    <w:p>
      <w:pPr>
        <w:spacing w:after="0" w:line="23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OCCIDENTAL PETROLEUM CORPORATION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ANNUAL MEETING OF SHAREHOLDERS</w:t>
      </w:r>
    </w:p>
    <w:p>
      <w:pPr>
        <w:ind w:left="3720"/>
        <w:spacing w:after="0"/>
        <w:rPr>
          <w:sz w:val="20"/>
          <w:szCs w:val="20"/>
          <w:color w:val="auto"/>
        </w:rPr>
      </w:pPr>
      <w:r>
        <w:rPr>
          <w:rFonts w:ascii="Arial" w:cs="Arial" w:eastAsia="Arial" w:hAnsi="Arial"/>
          <w:sz w:val="18"/>
          <w:szCs w:val="18"/>
          <w:b w:val="1"/>
          <w:bCs w:val="1"/>
          <w:color w:val="auto"/>
        </w:rPr>
        <w:t>Friday, May 5, 2023 at 9:00 a.m. Central Time</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www.virtualshareholdermeeting.com/OXY2023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voting instruction card</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 THE BANK OF NEW YORK MELLON,</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TRUSTEE OF THE OCCIDENTAL PETROLEUM CORPORATION SAVINGS PLAN (THE “PLAN”):</w:t>
      </w:r>
    </w:p>
    <w:p>
      <w:pPr>
        <w:spacing w:after="0" w:line="153" w:lineRule="exact"/>
        <w:rPr>
          <w:sz w:val="20"/>
          <w:szCs w:val="20"/>
          <w:color w:val="auto"/>
        </w:rPr>
      </w:pPr>
    </w:p>
    <w:p>
      <w:pPr>
        <w:jc w:val="both"/>
        <w:ind w:left="800" w:right="300"/>
        <w:spacing w:after="0"/>
        <w:rPr>
          <w:sz w:val="20"/>
          <w:szCs w:val="20"/>
          <w:color w:val="auto"/>
        </w:rPr>
      </w:pPr>
      <w:r>
        <w:rPr>
          <w:rFonts w:ascii="Arial" w:cs="Arial" w:eastAsia="Arial" w:hAnsi="Arial"/>
          <w:sz w:val="18"/>
          <w:szCs w:val="18"/>
          <w:color w:val="auto"/>
        </w:rPr>
        <w:t>I acknowledge receipt of the Notice of Annual Meeting of Shareholders of Occidental Petroleum Corporation (“Occidental”) to be held on May 5, 2023, and the Proxy Statement furnished in connection with the solicitation of proxies by Occidental’s Board of Directors. I understand that the Trustee will vote the shares which are held for my account pursuant to the Plan in the manner indicated on the reverse side of this card and, in your discretion, on all other matters which may properly come before such meeting and at any adjournment or postponement thereof (including, if applicable, on any matter which the Board of Directors did not know would be presented at the Annual Meeting of Shareholders by a reasonable time before the proxy solicitation was made).</w:t>
      </w:r>
    </w:p>
    <w:p>
      <w:pPr>
        <w:spacing w:after="0" w:line="144" w:lineRule="exact"/>
        <w:rPr>
          <w:sz w:val="20"/>
          <w:szCs w:val="20"/>
          <w:color w:val="auto"/>
        </w:rPr>
      </w:pPr>
    </w:p>
    <w:p>
      <w:pPr>
        <w:jc w:val="both"/>
        <w:ind w:left="800" w:right="300"/>
        <w:spacing w:after="0" w:line="247" w:lineRule="auto"/>
        <w:rPr>
          <w:sz w:val="20"/>
          <w:szCs w:val="20"/>
          <w:color w:val="auto"/>
        </w:rPr>
      </w:pPr>
      <w:r>
        <w:rPr>
          <w:rFonts w:ascii="Arial" w:cs="Arial" w:eastAsia="Arial" w:hAnsi="Arial"/>
          <w:sz w:val="18"/>
          <w:szCs w:val="18"/>
          <w:color w:val="auto"/>
        </w:rPr>
        <w:t>My vote for the election of directors is indicated on the reverse side. Nominees are: Vicky A. Bailey, Andrew Gould, Carlos M. Gutierrez, Vicki Hollub, William R. Klesse, Jack B. Moore, Claire O’Neill, Avedick B. Poladian, Ken Robinson and Robert M. Shearer. In the event any of the foregoing nominees are unavailable for election or unable to serve, shares represented by this card may be voted for a substitute nominee selected by the Board of Directors.</w:t>
      </w:r>
    </w:p>
    <w:p>
      <w:pPr>
        <w:spacing w:after="0" w:line="147" w:lineRule="exact"/>
        <w:rPr>
          <w:sz w:val="20"/>
          <w:szCs w:val="20"/>
          <w:color w:val="auto"/>
        </w:rPr>
      </w:pPr>
    </w:p>
    <w:p>
      <w:pPr>
        <w:jc w:val="both"/>
        <w:ind w:left="800" w:right="320"/>
        <w:spacing w:after="0" w:line="257" w:lineRule="auto"/>
        <w:rPr>
          <w:sz w:val="20"/>
          <w:szCs w:val="20"/>
          <w:color w:val="auto"/>
        </w:rPr>
      </w:pPr>
      <w:r>
        <w:rPr>
          <w:rFonts w:ascii="Arial" w:cs="Arial" w:eastAsia="Arial" w:hAnsi="Arial"/>
          <w:sz w:val="18"/>
          <w:szCs w:val="18"/>
          <w:b w:val="1"/>
          <w:bCs w:val="1"/>
          <w:color w:val="auto"/>
        </w:rPr>
        <w:t>I understand that in the event I do not return this card, or it is not received by May 2, 2023, any shares held for my account in the Plan will be voted by you, as Trustee, in accordance with the direction of the Plan’s Administrative Committee.</w:t>
      </w:r>
    </w:p>
    <w:p>
      <w:pPr>
        <w:spacing w:after="0" w:line="11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53275" cy="209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760"/>
          </w:cols>
          <w:pgMar w:left="320" w:top="130" w:right="8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109220</wp:posOffset>
            </wp:positionV>
            <wp:extent cx="582930" cy="60833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5829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8"/>
          <w:szCs w:val="8"/>
          <w:i w:val="1"/>
          <w:iCs w:val="1"/>
          <w:color w:val="auto"/>
        </w:rPr>
        <w:t>5 GREENWAY PLAZA, SUITE 110</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9"/>
          <w:szCs w:val="9"/>
          <w:i w:val="1"/>
          <w:iCs w:val="1"/>
          <w:color w:val="auto"/>
        </w:rPr>
        <w:t>HOUSTON, TX 77046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r>
        <w:rPr>
          <w:rFonts w:ascii="Arial" w:cs="Arial" w:eastAsia="Arial" w:hAnsi="Arial"/>
          <w:sz w:val="9"/>
          <w:szCs w:val="9"/>
          <w:b w:val="1"/>
          <w:bCs w:val="1"/>
          <w:color w:val="auto"/>
        </w:rPr>
        <w:t xml:space="preserve">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-650875</wp:posOffset>
            </wp:positionV>
            <wp:extent cx="2099945" cy="49720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2099945" cy="497205"/>
                    </a:xfrm>
                    <a:prstGeom prst="rect">
                      <a:avLst/>
                    </a:prstGeom>
                    <a:noFill/>
                  </pic:spPr>
                </pic:pic>
              </a:graphicData>
            </a:graphic>
          </wp:anchor>
        </w:drawing>
      </w:r>
    </w:p>
    <w:p>
      <w:pPr>
        <w:jc w:val="both"/>
        <w:ind w:right="640"/>
        <w:spacing w:after="0" w:line="230" w:lineRule="auto"/>
        <w:rPr>
          <w:sz w:val="20"/>
          <w:szCs w:val="20"/>
          <w:color w:val="auto"/>
        </w:rPr>
      </w:pPr>
      <w:r>
        <w:rPr>
          <w:rFonts w:ascii="Arial" w:cs="Arial" w:eastAsia="Arial" w:hAnsi="Arial"/>
          <w:sz w:val="9"/>
          <w:szCs w:val="9"/>
          <w:color w:val="auto"/>
        </w:rPr>
        <w:t>Use the Internet to transmit your voting instructions and for electronic delivery of information until 11:59 p.m. Eastern Time on May 2, 2023. Have your voting instruction card in hand when you access the website and follow the instructions to obtain your records and to create an electronic voting instruction form.</w:t>
      </w:r>
    </w:p>
    <w:p>
      <w:pPr>
        <w:spacing w:after="0" w:line="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jc w:val="both"/>
        <w:ind w:right="640"/>
        <w:spacing w:after="0" w:line="236" w:lineRule="auto"/>
        <w:rPr>
          <w:sz w:val="20"/>
          <w:szCs w:val="20"/>
          <w:color w:val="auto"/>
        </w:rPr>
      </w:pPr>
      <w:r>
        <w:rPr>
          <w:rFonts w:ascii="Arial" w:cs="Arial" w:eastAsia="Arial" w:hAnsi="Arial"/>
          <w:sz w:val="9"/>
          <w:szCs w:val="9"/>
          <w:color w:val="auto"/>
        </w:rPr>
        <w:t>Use any touch-tone telephone to transmit your voting instructions until 11:59 p.m. Eastern Time on May 2, 2023. Have your voting instruction card in hand when you call and then follow the instructions.</w:t>
      </w:r>
    </w:p>
    <w:p>
      <w:pPr>
        <w:spacing w:after="0" w:line="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jc w:val="both"/>
        <w:ind w:right="640"/>
        <w:spacing w:after="0" w:line="236" w:lineRule="auto"/>
        <w:rPr>
          <w:sz w:val="20"/>
          <w:szCs w:val="20"/>
          <w:color w:val="auto"/>
        </w:rPr>
      </w:pPr>
      <w:r>
        <w:rPr>
          <w:rFonts w:ascii="Arial" w:cs="Arial" w:eastAsia="Arial" w:hAnsi="Arial"/>
          <w:sz w:val="9"/>
          <w:szCs w:val="9"/>
          <w:color w:val="auto"/>
        </w:rPr>
        <w:t>Mark, sign and date your voting instruction card and return it in the postage-paid envelope we have provided or return it to Vote Processing, c/o Broadridge, 51 Mercedes Way, Edgewood, NY 11717.</w:t>
      </w:r>
    </w:p>
    <w:p>
      <w:pPr>
        <w:spacing w:after="0" w:line="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PROXY MATERIALS</w:t>
      </w:r>
    </w:p>
    <w:p>
      <w:pPr>
        <w:jc w:val="both"/>
        <w:ind w:right="640"/>
        <w:spacing w:after="0" w:line="227" w:lineRule="auto"/>
        <w:rPr>
          <w:sz w:val="20"/>
          <w:szCs w:val="20"/>
          <w:color w:val="auto"/>
        </w:rPr>
      </w:pPr>
      <w:r>
        <w:rPr>
          <w:rFonts w:ascii="Arial" w:cs="Arial" w:eastAsia="Arial" w:hAnsi="Arial"/>
          <w:sz w:val="9"/>
          <w:szCs w:val="9"/>
          <w:color w:val="auto"/>
        </w:rPr>
        <w:t>If you would like to reduce the costs incurred by Occidental in mailing proxy materials, you can consent to receiving all future proxy statements, voting instruction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ectPr>
          <w:pgSz w:w="11900" w:h="16838" w:orient="portrait"/>
          <w:cols w:equalWidth="0" w:num="2">
            <w:col w:w="4900" w:space="720"/>
            <w:col w:w="5400"/>
          </w:cols>
          <w:pgMar w:left="320" w:top="13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 VOTE, MARK BLOCKS BELOW IN BLUE OR BLACK INK AS FOLLOWS:</w:t>
      </w:r>
    </w:p>
    <w:tbl>
      <w:tblPr>
        <w:tblLayout w:type="fixed"/>
        <w:tblInd w:w="6720" w:type="dxa"/>
        <w:tblCellMar>
          <w:top w:w="0" w:type="dxa"/>
          <w:left w:w="0" w:type="dxa"/>
          <w:bottom w:w="0" w:type="dxa"/>
          <w:right w:w="0" w:type="dxa"/>
        </w:tblCellMar>
      </w:tblPr>
      <w:tr>
        <w:trPr>
          <w:trHeight w:val="137"/>
        </w:trPr>
        <w:tc>
          <w:tcPr>
            <w:tcW w:w="1280" w:type="dxa"/>
            <w:vAlign w:val="bottom"/>
          </w:tcPr>
          <w:p>
            <w:pPr>
              <w:spacing w:after="0" w:line="137" w:lineRule="exact"/>
              <w:rPr>
                <w:sz w:val="20"/>
                <w:szCs w:val="20"/>
                <w:color w:val="auto"/>
              </w:rPr>
            </w:pPr>
            <w:r>
              <w:rPr>
                <w:rFonts w:ascii="Arial" w:cs="Arial" w:eastAsia="Arial" w:hAnsi="Arial"/>
                <w:sz w:val="13"/>
                <w:szCs w:val="13"/>
                <w:color w:val="auto"/>
              </w:rPr>
              <w:t>D99519-Z84385</w:t>
            </w:r>
          </w:p>
        </w:tc>
        <w:tc>
          <w:tcPr>
            <w:tcW w:w="3020" w:type="dxa"/>
            <w:vAlign w:val="bottom"/>
          </w:tcPr>
          <w:p>
            <w:pPr>
              <w:jc w:val="right"/>
              <w:spacing w:after="0" w:line="137" w:lineRule="exact"/>
              <w:rPr>
                <w:sz w:val="20"/>
                <w:szCs w:val="20"/>
                <w:color w:val="auto"/>
              </w:rPr>
            </w:pPr>
            <w:r>
              <w:rPr>
                <w:rFonts w:ascii="Arial" w:cs="Arial" w:eastAsia="Arial" w:hAnsi="Arial"/>
                <w:sz w:val="13"/>
                <w:szCs w:val="13"/>
                <w:color w:val="auto"/>
              </w:rPr>
              <w:t>KEEP THIS PORTION FOR YOUR RECORDS</w:t>
            </w:r>
          </w:p>
        </w:tc>
      </w:tr>
      <w:tr>
        <w:trPr>
          <w:trHeight w:val="158"/>
        </w:trPr>
        <w:tc>
          <w:tcPr>
            <w:tcW w:w="1280" w:type="dxa"/>
            <w:vAlign w:val="bottom"/>
          </w:tcPr>
          <w:p>
            <w:pPr>
              <w:spacing w:after="0"/>
              <w:rPr>
                <w:sz w:val="13"/>
                <w:szCs w:val="13"/>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-96520</wp:posOffset>
            </wp:positionV>
            <wp:extent cx="685800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51435</wp:posOffset>
            </wp:positionV>
            <wp:extent cx="6853555" cy="411861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6853555" cy="411861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OCCIDENTAL PETROLEUM CORPORATION</w:t>
      </w:r>
    </w:p>
    <w:p>
      <w:pPr>
        <w:sectPr>
          <w:pgSz w:w="11900" w:h="16838" w:orient="portrait"/>
          <w:cols w:equalWidth="0" w:num="1">
            <w:col w:w="11020"/>
          </w:cols>
          <w:pgMar w:left="320" w:top="130" w:right="559" w:bottom="1440" w:gutter="0" w:footer="0" w:header="0"/>
          <w:type w:val="continuous"/>
        </w:sectPr>
      </w:pPr>
    </w:p>
    <w:p>
      <w:pPr>
        <w:spacing w:after="0" w:line="104" w:lineRule="exact"/>
        <w:rPr>
          <w:sz w:val="20"/>
          <w:szCs w:val="20"/>
          <w:color w:val="auto"/>
        </w:rPr>
      </w:pPr>
    </w:p>
    <w:p>
      <w:pPr>
        <w:ind w:left="460" w:right="1740"/>
        <w:spacing w:after="0" w:line="258" w:lineRule="auto"/>
        <w:rPr>
          <w:sz w:val="20"/>
          <w:szCs w:val="20"/>
          <w:color w:val="auto"/>
        </w:rPr>
      </w:pPr>
      <w:r>
        <w:rPr>
          <w:rFonts w:ascii="Arial" w:cs="Arial" w:eastAsia="Arial" w:hAnsi="Arial"/>
          <w:sz w:val="12"/>
          <w:szCs w:val="12"/>
          <w:color w:val="auto"/>
        </w:rPr>
        <w:t>This proxy is solicited on behalf of the Board of Directors of Occidental Petroleum Corporation.</w:t>
      </w:r>
    </w:p>
    <w:p>
      <w:pPr>
        <w:spacing w:after="0" w:line="79" w:lineRule="exact"/>
        <w:rPr>
          <w:sz w:val="20"/>
          <w:szCs w:val="20"/>
          <w:color w:val="auto"/>
        </w:rPr>
      </w:pPr>
    </w:p>
    <w:p>
      <w:pPr>
        <w:ind w:left="460" w:right="1720"/>
        <w:spacing w:after="0" w:line="272" w:lineRule="auto"/>
        <w:rPr>
          <w:sz w:val="20"/>
          <w:szCs w:val="20"/>
          <w:color w:val="auto"/>
        </w:rPr>
      </w:pPr>
      <w:r>
        <w:rPr>
          <w:rFonts w:ascii="Arial" w:cs="Arial" w:eastAsia="Arial" w:hAnsi="Arial"/>
          <w:sz w:val="12"/>
          <w:szCs w:val="12"/>
          <w:b w:val="1"/>
          <w:bCs w:val="1"/>
          <w:color w:val="auto"/>
        </w:rPr>
        <w:t>The Board of Directors recommends a vote “FOR” each nominee listed in Proposal 1.</w:t>
      </w:r>
    </w:p>
    <w:p>
      <w:pPr>
        <w:spacing w:after="0" w:line="94" w:lineRule="exact"/>
        <w:rPr>
          <w:sz w:val="20"/>
          <w:szCs w:val="20"/>
          <w:color w:val="auto"/>
        </w:rPr>
      </w:pPr>
    </w:p>
    <w:p>
      <w:pPr>
        <w:ind w:left="700" w:hanging="232"/>
        <w:spacing w:after="0"/>
        <w:tabs>
          <w:tab w:leader="none" w:pos="700" w:val="left"/>
        </w:tabs>
        <w:numPr>
          <w:ilvl w:val="0"/>
          <w:numId w:val="95"/>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200" w:type="dxa"/>
            <w:vAlign w:val="bottom"/>
          </w:tcPr>
          <w:p>
            <w:pPr>
              <w:jc w:val="center"/>
              <w:ind w:left="741"/>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1"/>
              <w:spacing w:after="0"/>
              <w:rPr>
                <w:sz w:val="20"/>
                <w:szCs w:val="20"/>
                <w:color w:val="auto"/>
              </w:rPr>
            </w:pPr>
            <w:r>
              <w:rPr>
                <w:rFonts w:ascii="Arial" w:cs="Arial" w:eastAsia="Arial" w:hAnsi="Arial"/>
                <w:sz w:val="13"/>
                <w:szCs w:val="13"/>
                <w:b w:val="1"/>
                <w:bCs w:val="1"/>
                <w:color w:val="auto"/>
                <w:w w:val="96"/>
              </w:rPr>
              <w:t>Abstain</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1a.</w:t>
            </w:r>
          </w:p>
        </w:tc>
        <w:tc>
          <w:tcPr>
            <w:tcW w:w="2020" w:type="dxa"/>
            <w:vAlign w:val="bottom"/>
          </w:tcPr>
          <w:p>
            <w:pPr>
              <w:ind w:left="80"/>
              <w:spacing w:after="0"/>
              <w:rPr>
                <w:sz w:val="20"/>
                <w:szCs w:val="20"/>
                <w:color w:val="auto"/>
              </w:rPr>
            </w:pPr>
            <w:r>
              <w:rPr>
                <w:rFonts w:ascii="Arial" w:cs="Arial" w:eastAsia="Arial" w:hAnsi="Arial"/>
                <w:sz w:val="12"/>
                <w:szCs w:val="12"/>
                <w:color w:val="auto"/>
              </w:rPr>
              <w:t>Vicky A. Bailey</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1b.</w:t>
            </w:r>
          </w:p>
        </w:tc>
        <w:tc>
          <w:tcPr>
            <w:tcW w:w="2020" w:type="dxa"/>
            <w:vAlign w:val="bottom"/>
          </w:tcPr>
          <w:p>
            <w:pPr>
              <w:ind w:left="80"/>
              <w:spacing w:after="0"/>
              <w:rPr>
                <w:sz w:val="20"/>
                <w:szCs w:val="20"/>
                <w:color w:val="auto"/>
              </w:rPr>
            </w:pPr>
            <w:r>
              <w:rPr>
                <w:rFonts w:ascii="Arial" w:cs="Arial" w:eastAsia="Arial" w:hAnsi="Arial"/>
                <w:sz w:val="12"/>
                <w:szCs w:val="12"/>
                <w:color w:val="auto"/>
              </w:rPr>
              <w:t>Andrew Gould</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1c.</w:t>
            </w:r>
          </w:p>
        </w:tc>
        <w:tc>
          <w:tcPr>
            <w:tcW w:w="2020" w:type="dxa"/>
            <w:vAlign w:val="bottom"/>
          </w:tcPr>
          <w:p>
            <w:pPr>
              <w:ind w:left="80"/>
              <w:spacing w:after="0"/>
              <w:rPr>
                <w:sz w:val="20"/>
                <w:szCs w:val="20"/>
                <w:color w:val="auto"/>
              </w:rPr>
            </w:pPr>
            <w:r>
              <w:rPr>
                <w:rFonts w:ascii="Arial" w:cs="Arial" w:eastAsia="Arial" w:hAnsi="Arial"/>
                <w:sz w:val="12"/>
                <w:szCs w:val="12"/>
                <w:color w:val="auto"/>
              </w:rPr>
              <w:t>Carlos M. Gutierrez</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1d.</w:t>
            </w:r>
          </w:p>
        </w:tc>
        <w:tc>
          <w:tcPr>
            <w:tcW w:w="2020" w:type="dxa"/>
            <w:vAlign w:val="bottom"/>
          </w:tcPr>
          <w:p>
            <w:pPr>
              <w:ind w:left="80"/>
              <w:spacing w:after="0"/>
              <w:rPr>
                <w:sz w:val="20"/>
                <w:szCs w:val="20"/>
                <w:color w:val="auto"/>
              </w:rPr>
            </w:pPr>
            <w:r>
              <w:rPr>
                <w:rFonts w:ascii="Arial" w:cs="Arial" w:eastAsia="Arial" w:hAnsi="Arial"/>
                <w:sz w:val="12"/>
                <w:szCs w:val="12"/>
                <w:color w:val="auto"/>
              </w:rPr>
              <w:t>Vicki Hollub</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1e.</w:t>
            </w:r>
          </w:p>
        </w:tc>
        <w:tc>
          <w:tcPr>
            <w:tcW w:w="2020" w:type="dxa"/>
            <w:vAlign w:val="bottom"/>
          </w:tcPr>
          <w:p>
            <w:pPr>
              <w:ind w:left="80"/>
              <w:spacing w:after="0"/>
              <w:rPr>
                <w:sz w:val="20"/>
                <w:szCs w:val="20"/>
                <w:color w:val="auto"/>
              </w:rPr>
            </w:pPr>
            <w:r>
              <w:rPr>
                <w:rFonts w:ascii="Arial" w:cs="Arial" w:eastAsia="Arial" w:hAnsi="Arial"/>
                <w:sz w:val="12"/>
                <w:szCs w:val="12"/>
                <w:color w:val="auto"/>
              </w:rPr>
              <w:t>William R. Klesse</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1f.</w:t>
            </w:r>
          </w:p>
        </w:tc>
        <w:tc>
          <w:tcPr>
            <w:tcW w:w="2020" w:type="dxa"/>
            <w:vAlign w:val="bottom"/>
          </w:tcPr>
          <w:p>
            <w:pPr>
              <w:ind w:left="80"/>
              <w:spacing w:after="0"/>
              <w:rPr>
                <w:sz w:val="20"/>
                <w:szCs w:val="20"/>
                <w:color w:val="auto"/>
              </w:rPr>
            </w:pPr>
            <w:r>
              <w:rPr>
                <w:rFonts w:ascii="Arial" w:cs="Arial" w:eastAsia="Arial" w:hAnsi="Arial"/>
                <w:sz w:val="12"/>
                <w:szCs w:val="12"/>
                <w:color w:val="auto"/>
              </w:rPr>
              <w:t>Jack B. Moore</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1g.</w:t>
            </w:r>
          </w:p>
        </w:tc>
        <w:tc>
          <w:tcPr>
            <w:tcW w:w="2020" w:type="dxa"/>
            <w:vAlign w:val="bottom"/>
          </w:tcPr>
          <w:p>
            <w:pPr>
              <w:ind w:left="80"/>
              <w:spacing w:after="0"/>
              <w:rPr>
                <w:sz w:val="20"/>
                <w:szCs w:val="20"/>
                <w:color w:val="auto"/>
              </w:rPr>
            </w:pPr>
            <w:r>
              <w:rPr>
                <w:rFonts w:ascii="Arial" w:cs="Arial" w:eastAsia="Arial" w:hAnsi="Arial"/>
                <w:sz w:val="12"/>
                <w:szCs w:val="12"/>
                <w:color w:val="auto"/>
              </w:rPr>
              <w:t>Claire O’Neill</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1h.</w:t>
            </w:r>
          </w:p>
        </w:tc>
        <w:tc>
          <w:tcPr>
            <w:tcW w:w="2020" w:type="dxa"/>
            <w:vAlign w:val="bottom"/>
          </w:tcPr>
          <w:p>
            <w:pPr>
              <w:ind w:left="80"/>
              <w:spacing w:after="0"/>
              <w:rPr>
                <w:sz w:val="20"/>
                <w:szCs w:val="20"/>
                <w:color w:val="auto"/>
              </w:rPr>
            </w:pPr>
            <w:r>
              <w:rPr>
                <w:rFonts w:ascii="Arial" w:cs="Arial" w:eastAsia="Arial" w:hAnsi="Arial"/>
                <w:sz w:val="12"/>
                <w:szCs w:val="12"/>
                <w:color w:val="auto"/>
              </w:rPr>
              <w:t>Avedick B. Poladian</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1i.</w:t>
            </w:r>
          </w:p>
        </w:tc>
        <w:tc>
          <w:tcPr>
            <w:tcW w:w="2020" w:type="dxa"/>
            <w:vAlign w:val="bottom"/>
          </w:tcPr>
          <w:p>
            <w:pPr>
              <w:ind w:left="80"/>
              <w:spacing w:after="0"/>
              <w:rPr>
                <w:sz w:val="20"/>
                <w:szCs w:val="20"/>
                <w:color w:val="auto"/>
              </w:rPr>
            </w:pPr>
            <w:r>
              <w:rPr>
                <w:rFonts w:ascii="Arial" w:cs="Arial" w:eastAsia="Arial" w:hAnsi="Arial"/>
                <w:sz w:val="12"/>
                <w:szCs w:val="12"/>
                <w:color w:val="auto"/>
              </w:rPr>
              <w:t>Ken Robinson</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240" w:type="dxa"/>
            <w:vAlign w:val="bottom"/>
          </w:tcPr>
          <w:p>
            <w:pPr>
              <w:spacing w:after="0"/>
              <w:rPr>
                <w:sz w:val="20"/>
                <w:szCs w:val="20"/>
                <w:color w:val="auto"/>
              </w:rPr>
            </w:pPr>
            <w:r>
              <w:rPr>
                <w:rFonts w:ascii="Arial" w:cs="Arial" w:eastAsia="Arial" w:hAnsi="Arial"/>
                <w:sz w:val="12"/>
                <w:szCs w:val="12"/>
                <w:color w:val="auto"/>
              </w:rPr>
              <w:t>1j.</w:t>
            </w:r>
          </w:p>
        </w:tc>
        <w:tc>
          <w:tcPr>
            <w:tcW w:w="2020" w:type="dxa"/>
            <w:vAlign w:val="bottom"/>
          </w:tcPr>
          <w:p>
            <w:pPr>
              <w:ind w:left="80"/>
              <w:spacing w:after="0"/>
              <w:rPr>
                <w:sz w:val="20"/>
                <w:szCs w:val="20"/>
                <w:color w:val="auto"/>
              </w:rPr>
            </w:pPr>
            <w:r>
              <w:rPr>
                <w:rFonts w:ascii="Arial" w:cs="Arial" w:eastAsia="Arial" w:hAnsi="Arial"/>
                <w:sz w:val="12"/>
                <w:szCs w:val="12"/>
                <w:color w:val="auto"/>
              </w:rPr>
              <w:t>Robert M. Shearer</w:t>
            </w:r>
          </w:p>
        </w:tc>
        <w:tc>
          <w:tcPr>
            <w:tcW w:w="1200" w:type="dxa"/>
            <w:vAlign w:val="bottom"/>
          </w:tcPr>
          <w:p>
            <w:pPr>
              <w:jc w:val="center"/>
              <w:ind w:left="721"/>
              <w:spacing w:after="0" w:line="121" w:lineRule="exact"/>
              <w:rPr>
                <w:sz w:val="20"/>
                <w:szCs w:val="20"/>
                <w:color w:val="auto"/>
              </w:rPr>
            </w:pPr>
            <w:r>
              <w:rPr>
                <w:rFonts w:ascii="MS PGothic" w:cs="MS PGothic" w:eastAsia="MS PGothic" w:hAnsi="MS PGothic"/>
                <w:sz w:val="12"/>
                <w:szCs w:val="12"/>
                <w:color w:val="auto"/>
                <w:w w:val="82"/>
              </w:rPr>
              <w:t>☐</w:t>
            </w:r>
          </w:p>
        </w:tc>
        <w:tc>
          <w:tcPr>
            <w:tcW w:w="6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1"/>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a vote of</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4"/>
              </w:rPr>
              <w:t>One</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Two</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Three</w:t>
            </w:r>
          </w:p>
        </w:tc>
        <w:tc>
          <w:tcPr>
            <w:tcW w:w="560" w:type="dxa"/>
            <w:vAlign w:val="bottom"/>
            <w:vMerge w:val="restart"/>
          </w:tcPr>
          <w:p>
            <w:pPr>
              <w:jc w:val="center"/>
              <w:ind w:left="39"/>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72"/>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every “ONE YEAR” for Proposal 2.</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2"/>
                <w:szCs w:val="12"/>
                <w:color w:val="auto"/>
              </w:rPr>
              <w:t>2.   Advisory</w:t>
            </w:r>
          </w:p>
        </w:tc>
        <w:tc>
          <w:tcPr>
            <w:tcW w:w="2200" w:type="dxa"/>
            <w:vAlign w:val="bottom"/>
          </w:tcPr>
          <w:p>
            <w:pPr>
              <w:jc w:val="right"/>
              <w:ind w:right="22"/>
              <w:spacing w:after="0"/>
              <w:rPr>
                <w:sz w:val="20"/>
                <w:szCs w:val="20"/>
                <w:color w:val="auto"/>
              </w:rPr>
            </w:pPr>
            <w:r>
              <w:rPr>
                <w:rFonts w:ascii="Arial" w:cs="Arial" w:eastAsia="Arial" w:hAnsi="Arial"/>
                <w:sz w:val="12"/>
                <w:szCs w:val="12"/>
                <w:color w:val="auto"/>
              </w:rPr>
              <w:t>Vote  on  the  Frequency  of  Future</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60" w:type="dxa"/>
            <w:vAlign w:val="bottom"/>
          </w:tcPr>
          <w:p>
            <w:pPr>
              <w:jc w:val="center"/>
              <w:ind w:left="39"/>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35"/>
        </w:trPr>
        <w:tc>
          <w:tcPr>
            <w:tcW w:w="780" w:type="dxa"/>
            <w:vAlign w:val="bottom"/>
          </w:tcPr>
          <w:p>
            <w:pPr>
              <w:ind w:left="280"/>
              <w:spacing w:after="0" w:line="135" w:lineRule="exact"/>
              <w:rPr>
                <w:sz w:val="20"/>
                <w:szCs w:val="20"/>
                <w:color w:val="auto"/>
              </w:rPr>
            </w:pPr>
            <w:r>
              <w:rPr>
                <w:rFonts w:ascii="Arial" w:cs="Arial" w:eastAsia="Arial" w:hAnsi="Arial"/>
                <w:sz w:val="12"/>
                <w:szCs w:val="12"/>
                <w:color w:val="auto"/>
              </w:rPr>
              <w:t>Advisory</w:t>
            </w:r>
          </w:p>
        </w:tc>
        <w:tc>
          <w:tcPr>
            <w:tcW w:w="22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Votes  to  Approve  Named  Executive</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80" w:type="dxa"/>
            <w:vAlign w:val="bottom"/>
            <w:gridSpan w:val="2"/>
          </w:tcPr>
          <w:p>
            <w:pPr>
              <w:ind w:left="280"/>
              <w:spacing w:after="0"/>
              <w:rPr>
                <w:sz w:val="20"/>
                <w:szCs w:val="20"/>
                <w:color w:val="auto"/>
              </w:rPr>
            </w:pPr>
            <w:r>
              <w:rPr>
                <w:rFonts w:ascii="Arial" w:cs="Arial" w:eastAsia="Arial" w:hAnsi="Arial"/>
                <w:sz w:val="12"/>
                <w:szCs w:val="12"/>
                <w:color w:val="auto"/>
              </w:rPr>
              <w:t>Officer Compensation</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a vote “FOR”</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Abstain</w:t>
            </w:r>
          </w:p>
        </w:tc>
      </w:tr>
      <w:tr>
        <w:trPr>
          <w:trHeight w:val="172"/>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Proposals 3 and 4.</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2"/>
                <w:szCs w:val="12"/>
                <w:color w:val="auto"/>
              </w:rPr>
              <w:t>3.</w:t>
            </w:r>
          </w:p>
        </w:tc>
        <w:tc>
          <w:tcPr>
            <w:tcW w:w="3240" w:type="dxa"/>
            <w:vAlign w:val="bottom"/>
          </w:tcPr>
          <w:p>
            <w:pPr>
              <w:ind w:left="80"/>
              <w:spacing w:after="0"/>
              <w:rPr>
                <w:sz w:val="20"/>
                <w:szCs w:val="20"/>
                <w:color w:val="auto"/>
              </w:rPr>
            </w:pPr>
            <w:r>
              <w:rPr>
                <w:rFonts w:ascii="Arial" w:cs="Arial" w:eastAsia="Arial" w:hAnsi="Arial"/>
                <w:sz w:val="12"/>
                <w:szCs w:val="12"/>
                <w:color w:val="auto"/>
              </w:rPr>
              <w:t>Advisory  Vote  to  Approve  Named  Executive  Officer</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0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53"/>
        </w:trPr>
        <w:tc>
          <w:tcPr>
            <w:tcW w:w="200" w:type="dxa"/>
            <w:vAlign w:val="bottom"/>
          </w:tcPr>
          <w:p>
            <w:pPr>
              <w:spacing w:after="0"/>
              <w:rPr>
                <w:sz w:val="20"/>
                <w:szCs w:val="20"/>
                <w:color w:val="auto"/>
              </w:rPr>
            </w:pPr>
            <w:r>
              <w:rPr>
                <w:rFonts w:ascii="Arial" w:cs="Arial" w:eastAsia="Arial" w:hAnsi="Arial"/>
                <w:sz w:val="12"/>
                <w:szCs w:val="12"/>
                <w:color w:val="auto"/>
              </w:rPr>
              <w:t>4.</w:t>
            </w:r>
          </w:p>
        </w:tc>
        <w:tc>
          <w:tcPr>
            <w:tcW w:w="3240" w:type="dxa"/>
            <w:vAlign w:val="bottom"/>
          </w:tcPr>
          <w:p>
            <w:pPr>
              <w:ind w:left="80"/>
              <w:spacing w:after="0"/>
              <w:rPr>
                <w:sz w:val="20"/>
                <w:szCs w:val="20"/>
                <w:color w:val="auto"/>
              </w:rPr>
            </w:pPr>
            <w:r>
              <w:rPr>
                <w:rFonts w:ascii="Arial" w:cs="Arial" w:eastAsia="Arial" w:hAnsi="Arial"/>
                <w:sz w:val="12"/>
                <w:szCs w:val="12"/>
                <w:color w:val="auto"/>
              </w:rPr>
              <w:t>Ratification  of  Selection  of  KPMG  as  Occidental’s</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0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2"/>
                <w:szCs w:val="12"/>
                <w:color w:val="auto"/>
              </w:rPr>
              <w:t>Independent Auditor</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378" w:lineRule="exact"/>
        <w:rPr>
          <w:sz w:val="20"/>
          <w:szCs w:val="20"/>
          <w:color w:val="auto"/>
        </w:rPr>
      </w:pPr>
    </w:p>
    <w:p>
      <w:pPr>
        <w:ind w:right="180"/>
        <w:spacing w:after="0" w:line="252" w:lineRule="auto"/>
        <w:rPr>
          <w:sz w:val="20"/>
          <w:szCs w:val="20"/>
          <w:color w:val="auto"/>
        </w:rPr>
      </w:pPr>
      <w:r>
        <w:rPr>
          <w:rFonts w:ascii="Arial" w:cs="Arial" w:eastAsia="Arial" w:hAnsi="Arial"/>
          <w:sz w:val="13"/>
          <w:szCs w:val="13"/>
          <w:b w:val="1"/>
          <w:bCs w:val="1"/>
          <w:color w:val="auto"/>
        </w:rPr>
        <w:t>The Board of Directors recommends a vote “AGAINST” For Against Abstain Proposal 5.</w:t>
      </w:r>
    </w:p>
    <w:p>
      <w:pPr>
        <w:spacing w:after="0" w:line="110" w:lineRule="exact"/>
        <w:rPr>
          <w:sz w:val="20"/>
          <w:szCs w:val="20"/>
          <w:color w:val="auto"/>
        </w:rPr>
      </w:pPr>
    </w:p>
    <w:p>
      <w:pPr>
        <w:spacing w:after="0" w:line="138" w:lineRule="exact"/>
        <w:tabs>
          <w:tab w:leader="none" w:pos="260" w:val="left"/>
          <w:tab w:leader="none" w:pos="3560" w:val="left"/>
          <w:tab w:leader="none" w:pos="4140" w:val="left"/>
          <w:tab w:leader="none" w:pos="4740" w:val="left"/>
        </w:tabs>
        <w:rPr>
          <w:sz w:val="20"/>
          <w:szCs w:val="20"/>
          <w:color w:val="auto"/>
        </w:rPr>
      </w:pPr>
      <w:r>
        <w:rPr>
          <w:rFonts w:ascii="Arial" w:cs="Arial" w:eastAsia="Arial" w:hAnsi="Arial"/>
          <w:sz w:val="12"/>
          <w:szCs w:val="12"/>
          <w:color w:val="auto"/>
        </w:rPr>
        <w:t>5.</w:t>
        <w:tab/>
        <w:t>Shareholder Proposal Requesting an Independent Board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9"/>
          <w:szCs w:val="9"/>
          <w:color w:val="auto"/>
        </w:rPr>
        <w: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Chairman Policy</w:t>
      </w:r>
    </w:p>
    <w:p>
      <w:pPr>
        <w:spacing w:after="0" w:line="200" w:lineRule="exact"/>
        <w:rPr>
          <w:sz w:val="20"/>
          <w:szCs w:val="20"/>
          <w:color w:val="auto"/>
        </w:rPr>
      </w:pPr>
    </w:p>
    <w:p>
      <w:pPr>
        <w:sectPr>
          <w:pgSz w:w="11900" w:h="16838" w:orient="portrait"/>
          <w:cols w:equalWidth="0" w:num="2">
            <w:col w:w="5360" w:space="440"/>
            <w:col w:w="5220"/>
          </w:cols>
          <w:pgMar w:left="320" w:top="130" w:right="559" w:bottom="1440" w:gutter="0" w:footer="0" w:header="0"/>
          <w:type w:val="continuous"/>
        </w:sectPr>
      </w:pPr>
    </w:p>
    <w:p>
      <w:pPr>
        <w:spacing w:after="0" w:line="42"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THIS PROXY, WHEN PROPERLY EXECUTED, WILL BE VOTED AS DIRECTED OR, IF NO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DIRECTION IS GIVEN, WILL BE VOTED AS THE BOARD OF DIRECTORS RECOMMENDS.</w:t>
      </w:r>
    </w:p>
    <w:p>
      <w:pPr>
        <w:spacing w:after="0" w:line="350" w:lineRule="exact"/>
        <w:rPr>
          <w:sz w:val="20"/>
          <w:szCs w:val="20"/>
          <w:color w:val="auto"/>
        </w:rPr>
      </w:pPr>
    </w:p>
    <w:p>
      <w:pPr>
        <w:ind w:left="320" w:right="2200"/>
        <w:spacing w:after="0" w:line="258" w:lineRule="auto"/>
        <w:rPr>
          <w:sz w:val="20"/>
          <w:szCs w:val="20"/>
          <w:color w:val="auto"/>
        </w:rPr>
      </w:pPr>
      <w:r>
        <w:rPr>
          <w:rFonts w:ascii="Arial" w:cs="Arial" w:eastAsia="Arial" w:hAnsi="Arial"/>
          <w:sz w:val="12"/>
          <w:szCs w:val="12"/>
          <w:color w:val="auto"/>
        </w:rPr>
        <w:t>Please sign exactly as your name(s) appear(s) on the proxy. If the shares are held in joint tenancy, all persons should sign. Trustees, administrators, etc. should include their title and authority. Corporations should provide the full name of the corporation and the title of the authorized officer signing the proxy.</w:t>
      </w:r>
    </w:p>
    <w:p>
      <w:pPr>
        <w:spacing w:after="0" w:line="200" w:lineRule="exact"/>
        <w:rPr>
          <w:sz w:val="20"/>
          <w:szCs w:val="20"/>
          <w:color w:val="auto"/>
        </w:rPr>
      </w:pPr>
    </w:p>
    <w:p>
      <w:pPr>
        <w:spacing w:after="0" w:line="290" w:lineRule="exact"/>
        <w:rPr>
          <w:sz w:val="20"/>
          <w:szCs w:val="20"/>
          <w:color w:val="auto"/>
        </w:rPr>
      </w:pPr>
    </w:p>
    <w:p>
      <w:pPr>
        <w:ind w:left="320"/>
        <w:spacing w:after="0"/>
        <w:tabs>
          <w:tab w:leader="none" w:pos="2820" w:val="left"/>
          <w:tab w:leader="none" w:pos="5720" w:val="left"/>
          <w:tab w:leader="none" w:pos="82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53275" cy="215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Notice and 2023 Proxy Statement and 2022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6233160</wp:posOffset>
            </wp:positionH>
            <wp:positionV relativeFrom="paragraph">
              <wp:posOffset>1784985</wp:posOffset>
            </wp:positionV>
            <wp:extent cx="779780" cy="342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7978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D99520-Z84385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46990</wp:posOffset>
            </wp:positionV>
            <wp:extent cx="6853555" cy="4453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6853555" cy="4453255"/>
                    </a:xfrm>
                    <a:prstGeom prst="rect">
                      <a:avLst/>
                    </a:prstGeom>
                    <a:noFill/>
                  </pic:spPr>
                </pic:pic>
              </a:graphicData>
            </a:graphic>
          </wp:anchor>
        </w:drawing>
      </w:r>
    </w:p>
    <w:p>
      <w:pPr>
        <w:spacing w:after="0" w:line="23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OCCIDENTAL PETROLEUM CORPORATION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ANNUAL MEETING OF SHAREHOLDERS</w:t>
      </w:r>
    </w:p>
    <w:p>
      <w:pPr>
        <w:ind w:left="3720"/>
        <w:spacing w:after="0"/>
        <w:rPr>
          <w:sz w:val="20"/>
          <w:szCs w:val="20"/>
          <w:color w:val="auto"/>
        </w:rPr>
      </w:pPr>
      <w:r>
        <w:rPr>
          <w:rFonts w:ascii="Arial" w:cs="Arial" w:eastAsia="Arial" w:hAnsi="Arial"/>
          <w:sz w:val="18"/>
          <w:szCs w:val="18"/>
          <w:b w:val="1"/>
          <w:bCs w:val="1"/>
          <w:color w:val="auto"/>
        </w:rPr>
        <w:t>Friday, May 5, 2023 at 9:00 a.m. Central Time</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www.virtualshareholdermeeting.com/OXY2023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voting instruction card</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 THE TRUSTEE OF THE RETIREMENT SAVINGS PROGRAM</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EMPLOYEES OF OXY VINYLS CANADA CO. (THE “PROGRAM”):</w:t>
      </w:r>
    </w:p>
    <w:p>
      <w:pPr>
        <w:spacing w:after="0" w:line="167" w:lineRule="exact"/>
        <w:rPr>
          <w:sz w:val="20"/>
          <w:szCs w:val="20"/>
          <w:color w:val="auto"/>
        </w:rPr>
      </w:pPr>
    </w:p>
    <w:p>
      <w:pPr>
        <w:jc w:val="both"/>
        <w:ind w:left="800" w:right="300"/>
        <w:spacing w:after="0"/>
        <w:rPr>
          <w:sz w:val="20"/>
          <w:szCs w:val="20"/>
          <w:color w:val="auto"/>
        </w:rPr>
      </w:pPr>
      <w:r>
        <w:rPr>
          <w:rFonts w:ascii="Arial" w:cs="Arial" w:eastAsia="Arial" w:hAnsi="Arial"/>
          <w:sz w:val="18"/>
          <w:szCs w:val="18"/>
          <w:color w:val="auto"/>
        </w:rPr>
        <w:t>I acknowledge receipt of the Notice of Annual Meeting of Shareholders of Occidental Petroleum Corporation (“Occidental”) to be held on May 5, 2023, and the Proxy Statement furnished in connection with the solicitation of proxies by Occidental’s Board of Directors. You are directed to vote the shares which are held for my account pursuant to the Program in the manner indicated on the reverse side of this card and, in your discretion, on all other matters which may properly come before such meeting and at any adjournment or postponement thereof (including, if applicable, on any matter which the Board of Directors did not know would be presented at the Annual Meeting of Shareholders by a reasonable time before the proxy solicitation was made).</w:t>
      </w:r>
    </w:p>
    <w:p>
      <w:pPr>
        <w:spacing w:after="0" w:line="144" w:lineRule="exact"/>
        <w:rPr>
          <w:sz w:val="20"/>
          <w:szCs w:val="20"/>
          <w:color w:val="auto"/>
        </w:rPr>
      </w:pPr>
    </w:p>
    <w:p>
      <w:pPr>
        <w:jc w:val="both"/>
        <w:ind w:left="800" w:right="300"/>
        <w:spacing w:after="0" w:line="247" w:lineRule="auto"/>
        <w:rPr>
          <w:sz w:val="20"/>
          <w:szCs w:val="20"/>
          <w:color w:val="auto"/>
        </w:rPr>
      </w:pPr>
      <w:r>
        <w:rPr>
          <w:rFonts w:ascii="Arial" w:cs="Arial" w:eastAsia="Arial" w:hAnsi="Arial"/>
          <w:sz w:val="18"/>
          <w:szCs w:val="18"/>
          <w:color w:val="auto"/>
        </w:rPr>
        <w:t>My vote for the election of directors is indicated on the reverse side. Nominees are: Vicky A. Bailey, Andrew Gould, Carlos M. Gutierrez, Vicki Hollub, William R. Klesse, Jack B. Moore, Claire O’Neill, Avedick B. Poladian, Ken Robinson and Robert M. Shearer. In the event any of the foregoing nominees are unavailable for election or unable to serve, shares represented by this card may be voted for a substitute nominee selected by the Board of Directors.</w:t>
      </w:r>
    </w:p>
    <w:p>
      <w:pPr>
        <w:spacing w:after="0" w:line="133" w:lineRule="exact"/>
        <w:rPr>
          <w:sz w:val="20"/>
          <w:szCs w:val="20"/>
          <w:color w:val="auto"/>
        </w:rPr>
      </w:pPr>
    </w:p>
    <w:p>
      <w:pPr>
        <w:jc w:val="both"/>
        <w:ind w:left="800" w:right="300"/>
        <w:spacing w:after="0" w:line="257" w:lineRule="auto"/>
        <w:rPr>
          <w:sz w:val="20"/>
          <w:szCs w:val="20"/>
          <w:color w:val="auto"/>
        </w:rPr>
      </w:pPr>
      <w:r>
        <w:rPr>
          <w:rFonts w:ascii="Arial" w:cs="Arial" w:eastAsia="Arial" w:hAnsi="Arial"/>
          <w:sz w:val="18"/>
          <w:szCs w:val="18"/>
          <w:b w:val="1"/>
          <w:bCs w:val="1"/>
          <w:color w:val="auto"/>
        </w:rPr>
        <w:t>I understand that in the event I do not return this card, or it is not received by May 2, 2023, any shares held for my account in the Program will be voted by you in accordance with the direction of the Program’s Retirement Committee.</w:t>
      </w:r>
    </w:p>
    <w:p>
      <w:pPr>
        <w:spacing w:after="0" w:line="13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53275" cy="209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sectPr>
      <w:pgSz w:w="11900" w:h="16838" w:orient="portrait"/>
      <w:cols w:equalWidth="0" w:num="1">
        <w:col w:w="10760"/>
      </w:cols>
      <w:pgMar w:left="320" w:top="13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bullet"/>
      <w:start w:val="1"/>
    </w:lvl>
  </w:abstractNum>
  <w:abstractNum w:abstractNumId="6">
    <w:nsid w:val="1BA026FA"/>
    <w:multiLevelType w:val="hybridMultilevel"/>
    <w:lvl w:ilvl="0">
      <w:lvlJc w:val="left"/>
      <w:lvlText w:val="2"/>
      <w:numFmt w:val="bullet"/>
      <w:start w:val="1"/>
    </w:lvl>
  </w:abstractNum>
  <w:abstractNum w:abstractNumId="7">
    <w:nsid w:val="79A1DEAA"/>
    <w:multiLevelType w:val="hybridMultilevel"/>
    <w:lvl w:ilvl="0">
      <w:lvlJc w:val="left"/>
      <w:lvlText w:val="5"/>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lvl>
    <w:lvl w:ilvl="1">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9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decimal"/>
      <w:start w:val="1"/>
    </w:lvl>
    <w:lvl w:ilvl="1">
      <w:lvlJc w:val="left"/>
      <w:lvlText w:val="►"/>
      <w:numFmt w:val="bullet"/>
      <w:start w:val="1"/>
    </w:lvl>
  </w:abstractNum>
  <w:abstractNum w:abstractNumId="50">
    <w:nsid w:val="1EBA5D23"/>
    <w:multiLevelType w:val="hybridMultilevel"/>
    <w:lvl w:ilvl="0">
      <w:lvlJc w:val="left"/>
      <w:lvlText w:val="(%1)"/>
      <w:numFmt w:val="decimal"/>
      <w:start w:val="3"/>
    </w:lvl>
    <w:lvl w:ilvl="1">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o"/>
      <w:numFmt w:val="bullet"/>
      <w:start w:val="1"/>
    </w:lvl>
  </w:abstractNum>
  <w:abstractNum w:abstractNumId="56">
    <w:nsid w:val="613EFDC5"/>
    <w:multiLevelType w:val="hybridMultilevel"/>
    <w:lvl w:ilvl="0">
      <w:lvlJc w:val="left"/>
      <w:lvlText w:val="o"/>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6"/>
    </w:lvl>
  </w:abstractNum>
  <w:abstractNum w:abstractNumId="63">
    <w:nsid w:val="3B0FD379"/>
    <w:multiLevelType w:val="hybridMultilevel"/>
    <w:lvl w:ilvl="0">
      <w:lvlJc w:val="left"/>
      <w:lvlText w:val="%1"/>
      <w:numFmt w:val="decimal"/>
      <w:start w:val="1"/>
    </w:lvl>
    <w:lvl w:ilvl="1">
      <w:lvlJc w:val="left"/>
      <w:lvlText w:val="(%2)"/>
      <w:numFmt w:val="lowerLetter"/>
      <w:start w:val="1"/>
    </w:lvl>
  </w:abstractNum>
  <w:abstractNum w:abstractNumId="64">
    <w:nsid w:val="68EB2F63"/>
    <w:multiLevelType w:val="hybridMultilevel"/>
    <w:lvl w:ilvl="0">
      <w:lvlJc w:val="left"/>
      <w:lvlText w:val="(%1)"/>
      <w:numFmt w:val="decimal"/>
      <w:start w:val="7"/>
    </w:lvl>
    <w:lvl w:ilvl="1">
      <w:lvlJc w:val="left"/>
      <w:lvlText w:val="%2"/>
      <w:numFmt w:val="lowerLetter"/>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decimal"/>
      <w:start w:val="3"/>
    </w:lvl>
  </w:abstractNum>
  <w:abstractNum w:abstractNumId="77">
    <w:nsid w:val="885E1B"/>
    <w:multiLevelType w:val="hybridMultilevel"/>
    <w:lvl w:ilvl="0">
      <w:lvlJc w:val="left"/>
      <w:lvlText w:val="(%1)"/>
      <w:numFmt w:val="decimal"/>
      <w:start w:val="4"/>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decimal"/>
      <w:start w:val="1"/>
    </w:lvl>
    <w:lvl w:ilvl="1">
      <w:lvlJc w:val="left"/>
      <w:lvlText w:val="(%2)"/>
      <w:numFmt w:val="lowerLetter"/>
      <w:start w:val="3"/>
    </w:lvl>
  </w:abstractNum>
  <w:abstractNum w:abstractNumId="80">
    <w:nsid w:val="1716703B"/>
    <w:multiLevelType w:val="hybridMultilevel"/>
    <w:lvl w:ilvl="0">
      <w:lvlJc w:val="left"/>
      <w:lvlText w:val="(%1)"/>
      <w:numFmt w:val="decimal"/>
      <w:start w:val="5"/>
    </w:lvl>
    <w:lvl w:ilvl="1">
      <w:lvlJc w:val="left"/>
      <w:lvlText w:val="%2"/>
      <w:numFmt w:val="lowerLetter"/>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2"/>
    </w:lvl>
  </w:abstractNum>
  <w:abstractNum w:abstractNumId="88">
    <w:nsid w:val="39EE015C"/>
    <w:multiLevelType w:val="hybridMultilevel"/>
    <w:lvl w:ilvl="0">
      <w:lvlJc w:val="left"/>
      <w:lvlText w:val="%1."/>
      <w:numFmt w:val="decimal"/>
      <w:start w:val="14"/>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decimal"/>
      <w:start w:val="1"/>
    </w:lvl>
    <w:lvl w:ilvl="1">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jpe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jpe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jpe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jpe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jpe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pn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jpe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jpe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jpe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pn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jpe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jpe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2023-03-23T20:06:43Z</dcterms:created>
  <dcterms:modified xsi:type="dcterms:W3CDTF">2023-03-23T20:06:43Z</dcterms:modified>
</cp:coreProperties>
</file>