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15"/>
          <w:szCs w:val="15"/>
          <w:color w:val="auto"/>
        </w:rPr>
        <w:t>United States</w:t>
      </w:r>
    </w:p>
    <w:p>
      <w:pPr>
        <w:spacing w:after="0" w:line="72" w:lineRule="exact"/>
        <w:rPr>
          <w:sz w:val="24"/>
          <w:szCs w:val="24"/>
          <w:color w:val="auto"/>
        </w:rPr>
      </w:pPr>
    </w:p>
    <w:p>
      <w:pPr>
        <w:jc w:val="center"/>
        <w:ind w:right="-1120"/>
        <w:spacing w:after="0"/>
        <w:rPr>
          <w:sz w:val="20"/>
          <w:szCs w:val="20"/>
          <w:color w:val="auto"/>
        </w:rPr>
      </w:pPr>
      <w:r>
        <w:rPr>
          <w:rFonts w:ascii="Arial" w:cs="Arial" w:eastAsia="Arial" w:hAnsi="Arial"/>
          <w:sz w:val="15"/>
          <w:szCs w:val="15"/>
          <w:color w:val="auto"/>
        </w:rPr>
        <w:t>SECURITIES AND EXCHANGE COMMISSION</w:t>
      </w:r>
    </w:p>
    <w:p>
      <w:pPr>
        <w:spacing w:after="0" w:line="72" w:lineRule="exact"/>
        <w:rPr>
          <w:sz w:val="24"/>
          <w:szCs w:val="24"/>
          <w:color w:val="auto"/>
        </w:rPr>
      </w:pPr>
    </w:p>
    <w:p>
      <w:pPr>
        <w:jc w:val="center"/>
        <w:ind w:right="-1120"/>
        <w:spacing w:after="0"/>
        <w:rPr>
          <w:sz w:val="20"/>
          <w:szCs w:val="20"/>
          <w:color w:val="auto"/>
        </w:rPr>
      </w:pPr>
      <w:r>
        <w:rPr>
          <w:rFonts w:ascii="Arial" w:cs="Arial" w:eastAsia="Arial" w:hAnsi="Arial"/>
          <w:sz w:val="15"/>
          <w:szCs w:val="15"/>
          <w:color w:val="auto"/>
        </w:rPr>
        <w:t>Washington, D.C. 20549</w:t>
      </w:r>
    </w:p>
    <w:p>
      <w:pPr>
        <w:spacing w:after="0" w:line="201" w:lineRule="exact"/>
        <w:rPr>
          <w:sz w:val="24"/>
          <w:szCs w:val="24"/>
          <w:color w:val="auto"/>
        </w:rPr>
      </w:pPr>
    </w:p>
    <w:p>
      <w:pPr>
        <w:ind w:left="5220"/>
        <w:spacing w:after="0"/>
        <w:rPr>
          <w:sz w:val="20"/>
          <w:szCs w:val="20"/>
          <w:color w:val="auto"/>
        </w:rPr>
      </w:pPr>
      <w:r>
        <w:rPr>
          <w:rFonts w:ascii="Arial" w:cs="Arial" w:eastAsia="Arial" w:hAnsi="Arial"/>
          <w:sz w:val="15"/>
          <w:szCs w:val="15"/>
          <w:color w:val="auto"/>
        </w:rPr>
        <w:t>FORM 11-K</w:t>
      </w:r>
    </w:p>
    <w:p>
      <w:pPr>
        <w:spacing w:after="0" w:line="201" w:lineRule="exact"/>
        <w:rPr>
          <w:sz w:val="24"/>
          <w:szCs w:val="24"/>
          <w:color w:val="auto"/>
        </w:rPr>
      </w:pPr>
    </w:p>
    <w:p>
      <w:pPr>
        <w:spacing w:after="0"/>
        <w:rPr>
          <w:sz w:val="20"/>
          <w:szCs w:val="20"/>
          <w:color w:val="auto"/>
        </w:rPr>
      </w:pPr>
      <w:r>
        <w:rPr>
          <w:rFonts w:ascii="Arial" w:cs="Arial" w:eastAsia="Arial" w:hAnsi="Arial"/>
          <w:sz w:val="15"/>
          <w:szCs w:val="15"/>
          <w:color w:val="auto"/>
        </w:rPr>
        <w:t>(Mark One)</w:t>
      </w:r>
    </w:p>
    <w:p>
      <w:pPr>
        <w:spacing w:after="0" w:line="317" w:lineRule="exact"/>
        <w:rPr>
          <w:sz w:val="24"/>
          <w:szCs w:val="24"/>
          <w:color w:val="auto"/>
        </w:rPr>
      </w:pPr>
    </w:p>
    <w:p>
      <w:pPr>
        <w:ind w:left="860" w:hanging="840"/>
        <w:spacing w:after="0"/>
        <w:tabs>
          <w:tab w:leader="none" w:pos="860" w:val="left"/>
        </w:tabs>
        <w:numPr>
          <w:ilvl w:val="0"/>
          <w:numId w:val="1"/>
        </w:numPr>
        <w:rPr>
          <w:rFonts w:ascii="Arial" w:cs="Arial" w:eastAsia="Arial" w:hAnsi="Arial"/>
          <w:sz w:val="15"/>
          <w:szCs w:val="15"/>
          <w:color w:val="auto"/>
        </w:rPr>
      </w:pPr>
      <w:r>
        <w:rPr>
          <w:rFonts w:ascii="Arial" w:cs="Arial" w:eastAsia="Arial" w:hAnsi="Arial"/>
          <w:sz w:val="15"/>
          <w:szCs w:val="15"/>
          <w:color w:val="auto"/>
        </w:rPr>
        <w:t>ANNUAL REPORT PURSUANT TO SECTION 15(d) OF THE SECURITIES EXCHANGE ACT OF 1934</w:t>
      </w:r>
    </w:p>
    <w:p>
      <w:pPr>
        <w:spacing w:after="0" w:line="200" w:lineRule="exact"/>
        <w:rPr>
          <w:sz w:val="24"/>
          <w:szCs w:val="24"/>
          <w:color w:val="auto"/>
        </w:rPr>
      </w:pPr>
    </w:p>
    <w:p>
      <w:pPr>
        <w:spacing w:after="0" w:line="298" w:lineRule="exact"/>
        <w:rPr>
          <w:sz w:val="24"/>
          <w:szCs w:val="24"/>
          <w:color w:val="auto"/>
        </w:rPr>
      </w:pPr>
    </w:p>
    <w:p>
      <w:pPr>
        <w:jc w:val="center"/>
        <w:ind w:right="-1120"/>
        <w:spacing w:after="0"/>
        <w:rPr>
          <w:sz w:val="20"/>
          <w:szCs w:val="20"/>
          <w:color w:val="auto"/>
        </w:rPr>
      </w:pPr>
      <w:r>
        <w:rPr>
          <w:rFonts w:ascii="Arial" w:cs="Arial" w:eastAsia="Arial" w:hAnsi="Arial"/>
          <w:sz w:val="15"/>
          <w:szCs w:val="15"/>
          <w:color w:val="auto"/>
        </w:rPr>
        <w:t>For the fiscal year ended December 31, 2025</w:t>
      </w:r>
    </w:p>
    <w:p>
      <w:pPr>
        <w:spacing w:after="0" w:line="201" w:lineRule="exact"/>
        <w:rPr>
          <w:sz w:val="24"/>
          <w:szCs w:val="24"/>
          <w:color w:val="auto"/>
        </w:rPr>
      </w:pPr>
    </w:p>
    <w:p>
      <w:pPr>
        <w:ind w:left="5500"/>
        <w:spacing w:after="0"/>
        <w:rPr>
          <w:sz w:val="20"/>
          <w:szCs w:val="20"/>
          <w:color w:val="auto"/>
        </w:rPr>
      </w:pPr>
      <w:r>
        <w:rPr>
          <w:rFonts w:ascii="Arial" w:cs="Arial" w:eastAsia="Arial" w:hAnsi="Arial"/>
          <w:sz w:val="15"/>
          <w:szCs w:val="15"/>
          <w:color w:val="auto"/>
        </w:rPr>
        <w:t>OR</w:t>
      </w:r>
    </w:p>
    <w:p>
      <w:pPr>
        <w:spacing w:after="0" w:line="330" w:lineRule="exact"/>
        <w:rPr>
          <w:sz w:val="24"/>
          <w:szCs w:val="24"/>
          <w:color w:val="auto"/>
        </w:rPr>
      </w:pPr>
    </w:p>
    <w:p>
      <w:pPr>
        <w:ind w:left="20"/>
        <w:spacing w:after="0"/>
        <w:tabs>
          <w:tab w:leader="none" w:pos="180" w:val="left"/>
          <w:tab w:leader="none" w:pos="840" w:val="left"/>
        </w:tabs>
        <w:rPr>
          <w:sz w:val="20"/>
          <w:szCs w:val="20"/>
          <w:color w:val="auto"/>
        </w:rPr>
      </w:pPr>
      <w:r>
        <w:rPr>
          <w:rFonts w:ascii="Arial" w:cs="Arial" w:eastAsia="Arial" w:hAnsi="Arial"/>
          <w:sz w:val="15"/>
          <w:szCs w:val="15"/>
          <w:color w:val="auto"/>
        </w:rPr>
        <w:t>[</w:t>
        <w:tab/>
        <w:t>]</w:t>
      </w:r>
      <w:r>
        <w:rPr>
          <w:sz w:val="20"/>
          <w:szCs w:val="20"/>
          <w:color w:val="auto"/>
        </w:rPr>
        <w:tab/>
      </w:r>
      <w:r>
        <w:rPr>
          <w:rFonts w:ascii="Arial" w:cs="Arial" w:eastAsia="Arial" w:hAnsi="Arial"/>
          <w:sz w:val="15"/>
          <w:szCs w:val="15"/>
          <w:color w:val="auto"/>
        </w:rPr>
        <w:t>TRANSITION REPORT PURSUANT TO SECTION 15(d) OF THE SECURITIES EXCHANGE ACT OF 1934</w:t>
      </w:r>
    </w:p>
    <w:p>
      <w:pPr>
        <w:spacing w:after="0" w:line="200" w:lineRule="exact"/>
        <w:rPr>
          <w:sz w:val="24"/>
          <w:szCs w:val="24"/>
          <w:color w:val="auto"/>
        </w:rPr>
      </w:pPr>
    </w:p>
    <w:p>
      <w:pPr>
        <w:spacing w:after="0" w:line="298" w:lineRule="exact"/>
        <w:rPr>
          <w:sz w:val="24"/>
          <w:szCs w:val="24"/>
          <w:color w:val="auto"/>
        </w:rPr>
      </w:pPr>
    </w:p>
    <w:p>
      <w:pPr>
        <w:spacing w:after="0"/>
        <w:rPr>
          <w:sz w:val="20"/>
          <w:szCs w:val="20"/>
          <w:color w:val="auto"/>
        </w:rPr>
      </w:pPr>
      <w:r>
        <w:rPr>
          <w:rFonts w:ascii="Arial" w:cs="Arial" w:eastAsia="Arial" w:hAnsi="Arial"/>
          <w:sz w:val="15"/>
          <w:szCs w:val="15"/>
          <w:color w:val="auto"/>
        </w:rPr>
        <w:t>For the transition period from ____________ to ______________</w:t>
      </w:r>
    </w:p>
    <w:p>
      <w:pPr>
        <w:spacing w:after="0" w:line="188" w:lineRule="exact"/>
        <w:rPr>
          <w:sz w:val="24"/>
          <w:szCs w:val="24"/>
          <w:color w:val="auto"/>
        </w:rPr>
      </w:pPr>
    </w:p>
    <w:p>
      <w:pPr>
        <w:spacing w:after="0"/>
        <w:rPr>
          <w:sz w:val="20"/>
          <w:szCs w:val="20"/>
          <w:color w:val="auto"/>
        </w:rPr>
      </w:pPr>
      <w:r>
        <w:rPr>
          <w:rFonts w:ascii="Arial" w:cs="Arial" w:eastAsia="Arial" w:hAnsi="Arial"/>
          <w:sz w:val="15"/>
          <w:szCs w:val="15"/>
          <w:color w:val="auto"/>
        </w:rPr>
        <w:t>Commission file number: 1-9210</w:t>
      </w:r>
    </w:p>
    <w:p>
      <w:pPr>
        <w:spacing w:after="0" w:line="330" w:lineRule="exact"/>
        <w:rPr>
          <w:sz w:val="24"/>
          <w:szCs w:val="24"/>
          <w:color w:val="auto"/>
        </w:rPr>
      </w:pPr>
    </w:p>
    <w:p>
      <w:pPr>
        <w:ind w:left="3980" w:right="2519" w:hanging="3122"/>
        <w:spacing w:after="0" w:line="663" w:lineRule="auto"/>
        <w:tabs>
          <w:tab w:leader="none" w:pos="1084" w:val="left"/>
        </w:tabs>
        <w:numPr>
          <w:ilvl w:val="0"/>
          <w:numId w:val="2"/>
        </w:numPr>
        <w:rPr>
          <w:rFonts w:ascii="Arial" w:cs="Arial" w:eastAsia="Arial" w:hAnsi="Arial"/>
          <w:sz w:val="15"/>
          <w:szCs w:val="15"/>
          <w:color w:val="auto"/>
        </w:rPr>
      </w:pPr>
      <w:r>
        <w:rPr>
          <w:rFonts w:ascii="Arial" w:cs="Arial" w:eastAsia="Arial" w:hAnsi="Arial"/>
          <w:sz w:val="15"/>
          <w:szCs w:val="15"/>
          <w:color w:val="auto"/>
        </w:rPr>
        <w:t>Full title of the plan and the address of the plan, if different from that of the issuer named below: Occidental Petroleum Corporation Savings Plan</w:t>
      </w:r>
    </w:p>
    <w:p>
      <w:pPr>
        <w:spacing w:after="0" w:line="1" w:lineRule="exact"/>
        <w:rPr>
          <w:rFonts w:ascii="Arial" w:cs="Arial" w:eastAsia="Arial" w:hAnsi="Arial"/>
          <w:sz w:val="15"/>
          <w:szCs w:val="15"/>
          <w:color w:val="auto"/>
        </w:rPr>
      </w:pPr>
    </w:p>
    <w:p>
      <w:pPr>
        <w:ind w:left="1100" w:hanging="242"/>
        <w:spacing w:after="0"/>
        <w:tabs>
          <w:tab w:leader="none" w:pos="1100" w:val="left"/>
        </w:tabs>
        <w:numPr>
          <w:ilvl w:val="0"/>
          <w:numId w:val="2"/>
        </w:numPr>
        <w:rPr>
          <w:rFonts w:ascii="Arial" w:cs="Arial" w:eastAsia="Arial" w:hAnsi="Arial"/>
          <w:sz w:val="15"/>
          <w:szCs w:val="15"/>
          <w:color w:val="auto"/>
        </w:rPr>
      </w:pPr>
      <w:r>
        <w:rPr>
          <w:rFonts w:ascii="Arial" w:cs="Arial" w:eastAsia="Arial" w:hAnsi="Arial"/>
          <w:sz w:val="15"/>
          <w:szCs w:val="15"/>
          <w:color w:val="auto"/>
        </w:rPr>
        <w:t>Name of issuer of the securities held pursuant to the plan and the address of its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1120"/>
        <w:spacing w:after="0"/>
        <w:rPr>
          <w:sz w:val="20"/>
          <w:szCs w:val="20"/>
          <w:color w:val="auto"/>
        </w:rPr>
      </w:pPr>
      <w:r>
        <w:rPr>
          <w:rFonts w:ascii="Arial" w:cs="Arial" w:eastAsia="Arial" w:hAnsi="Arial"/>
          <w:sz w:val="15"/>
          <w:szCs w:val="15"/>
          <w:color w:val="auto"/>
        </w:rPr>
        <w:t>Occidental Petroleum Corporation</w:t>
      </w:r>
    </w:p>
    <w:p>
      <w:pPr>
        <w:spacing w:after="0" w:line="98" w:lineRule="exact"/>
        <w:rPr>
          <w:sz w:val="24"/>
          <w:szCs w:val="24"/>
          <w:color w:val="auto"/>
        </w:rPr>
      </w:pPr>
    </w:p>
    <w:p>
      <w:pPr>
        <w:jc w:val="center"/>
        <w:ind w:right="-1120"/>
        <w:spacing w:after="0"/>
        <w:rPr>
          <w:sz w:val="20"/>
          <w:szCs w:val="20"/>
          <w:color w:val="auto"/>
        </w:rPr>
      </w:pPr>
      <w:r>
        <w:rPr>
          <w:rFonts w:ascii="Arial" w:cs="Arial" w:eastAsia="Arial" w:hAnsi="Arial"/>
          <w:sz w:val="15"/>
          <w:szCs w:val="15"/>
          <w:color w:val="auto"/>
        </w:rPr>
        <w:t>5 Greenway Plaza, Suite 110</w:t>
      </w:r>
    </w:p>
    <w:p>
      <w:pPr>
        <w:spacing w:after="0" w:line="98" w:lineRule="exact"/>
        <w:rPr>
          <w:sz w:val="24"/>
          <w:szCs w:val="24"/>
          <w:color w:val="auto"/>
        </w:rPr>
      </w:pPr>
    </w:p>
    <w:p>
      <w:pPr>
        <w:jc w:val="center"/>
        <w:ind w:right="-1120"/>
        <w:spacing w:after="0"/>
        <w:rPr>
          <w:sz w:val="20"/>
          <w:szCs w:val="20"/>
          <w:color w:val="auto"/>
        </w:rPr>
      </w:pPr>
      <w:r>
        <w:rPr>
          <w:rFonts w:ascii="Arial" w:cs="Arial" w:eastAsia="Arial" w:hAnsi="Arial"/>
          <w:sz w:val="15"/>
          <w:szCs w:val="15"/>
          <w:color w:val="auto"/>
        </w:rPr>
        <w:t>Houston, Texas 77046</w:t>
      </w: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96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OCCIDENTAL PETROLEUM CORPORATION</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SAVINGS PLAN</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0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438"/>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Report of Independent Registered Public Accounting Firm</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438"/>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Statements of Net Assets Available for Benefits - As of December 31, 2025 and 2024</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438"/>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Statements of Changes in Net Assets Available for Benefits - Years ended December 31, 2025 and 2024</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438"/>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Notes to Financial Statements</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438"/>
        </w:trPr>
        <w:tc>
          <w:tcPr>
            <w:tcW w:w="9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Supplemental Schedules *</w:t>
            </w:r>
          </w:p>
        </w:tc>
        <w:tc>
          <w:tcPr>
            <w:tcW w:w="2200" w:type="dxa"/>
            <w:vAlign w:val="bottom"/>
          </w:tcPr>
          <w:p>
            <w:pPr>
              <w:spacing w:after="0"/>
              <w:rPr>
                <w:sz w:val="24"/>
                <w:szCs w:val="24"/>
                <w:color w:val="auto"/>
              </w:rPr>
            </w:pPr>
          </w:p>
        </w:tc>
      </w:tr>
      <w:tr>
        <w:trPr>
          <w:trHeight w:val="438"/>
        </w:trPr>
        <w:tc>
          <w:tcPr>
            <w:tcW w:w="90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 Schedule H, Line 4i – Schedule of Assets (Held at End of Year) - As of December 31, 2025</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438"/>
        </w:trPr>
        <w:tc>
          <w:tcPr>
            <w:tcW w:w="90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2 Schedule H, Line 4j – Schedule of Reportable Transactions - Year ended December 31, 2025</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438"/>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Signatures</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477"/>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Exhibit Index</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bl>
    <w:p>
      <w:pPr>
        <w:spacing w:after="0" w:line="254" w:lineRule="exact"/>
        <w:rPr>
          <w:sz w:val="20"/>
          <w:szCs w:val="20"/>
          <w:color w:val="auto"/>
        </w:rPr>
      </w:pPr>
    </w:p>
    <w:p>
      <w:pPr>
        <w:ind w:right="740"/>
        <w:spacing w:after="0" w:line="239" w:lineRule="auto"/>
        <w:tabs>
          <w:tab w:leader="none" w:pos="14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supplemental schedules have been omitted because they are not applicable or are not required by 29 CFR 2520.103-10 of the Department of Labor’s Rules and Regulations for Reporting and Disclosure under the Employee Retirement Income Security Act of 1974,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724535</wp:posOffset>
            </wp:positionV>
            <wp:extent cx="71640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40" w:top="854" w:right="359" w:bottom="1440" w:gutter="0" w:footer="0" w:header="0"/>
        </w:sectPr>
      </w:pPr>
    </w:p>
    <w:bookmarkStart w:id="2" w:name="page3"/>
    <w:bookmarkEnd w:id="2"/>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Report of Independent Registered Public Accounting Firm</w:t>
      </w:r>
    </w:p>
    <w:p>
      <w:pPr>
        <w:spacing w:after="0" w:line="200" w:lineRule="exact"/>
        <w:rPr>
          <w:sz w:val="20"/>
          <w:szCs w:val="20"/>
          <w:color w:val="auto"/>
        </w:rPr>
      </w:pPr>
    </w:p>
    <w:p>
      <w:pPr>
        <w:spacing w:after="0" w:line="202" w:lineRule="exact"/>
        <w:rPr>
          <w:sz w:val="20"/>
          <w:szCs w:val="20"/>
          <w:color w:val="auto"/>
        </w:rPr>
      </w:pPr>
    </w:p>
    <w:p>
      <w:pPr>
        <w:ind w:right="4200"/>
        <w:spacing w:after="0" w:line="280" w:lineRule="auto"/>
        <w:rPr>
          <w:sz w:val="20"/>
          <w:szCs w:val="20"/>
          <w:color w:val="auto"/>
        </w:rPr>
      </w:pPr>
      <w:r>
        <w:rPr>
          <w:rFonts w:ascii="Times New Roman" w:cs="Times New Roman" w:eastAsia="Times New Roman" w:hAnsi="Times New Roman"/>
          <w:sz w:val="17"/>
          <w:szCs w:val="17"/>
          <w:color w:val="auto"/>
        </w:rPr>
        <w:t>To the Occidental Petroleum Corporation Pension and Retirement Plan Administrative Committee and Plan Participants of Occidental Petroleum Corporation Savings Plan Houston, Texas</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Opinion on the Financial Statements</w:t>
      </w:r>
    </w:p>
    <w:p>
      <w:pPr>
        <w:spacing w:after="0" w:line="2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We have audited the accompanying statements of net assets available for benefits of the Occidental Petroleum Corporation Savings Plan (the Plan) as of December 31, 2025 and 2024, and the related statements of changes in net assets available for benefits for the years ended December 31, 2025 and 2024, and the related notes and schedules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years ended December 31, 2025 and 2024, in conformity with accounting principles generally accepted in the United States of America.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for Opinion</w:t>
      </w:r>
    </w:p>
    <w:p>
      <w:pPr>
        <w:spacing w:after="0" w:line="2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These financial statements are the responsibility of Plan management. Our responsibility is to express an opinion on these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Exchange Commission and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PCAOB.</w:t>
      </w:r>
    </w:p>
    <w:p>
      <w:pPr>
        <w:spacing w:after="0" w:line="21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Supplemental Information</w:t>
      </w:r>
    </w:p>
    <w:p>
      <w:pPr>
        <w:spacing w:after="0" w:line="2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supplemental information in the accompanying schedule of assets (held at end of year) as of December 31, 2025 and schedule of reportable transactions for the year ended December 31, 2025 have been subjected to audit procedures performed in conjunction with the audit of the Plan's financial statements. The supplemental information is the responsibility of Plan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schedules,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Weaver and Tidwell, L.L.P.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WEAVER AND TIDWELL, L.L.P.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Plan’s auditor since 2016.</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Houston, Texas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29, 2026</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OCCIDENTAL PETROLEUM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SAVINGS PLAN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Statements of Net Assets Available for Benefits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of December 31, 2025 and 2024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(Amounts in thousands)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09"/>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3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Investments:</w:t>
            </w:r>
          </w:p>
        </w:tc>
        <w:tc>
          <w:tcPr>
            <w:tcW w:w="3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At fair value:</w:t>
            </w:r>
          </w:p>
        </w:tc>
        <w:tc>
          <w:tcPr>
            <w:tcW w:w="3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2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Short-term investment fund</w:t>
            </w:r>
          </w:p>
        </w:tc>
        <w:tc>
          <w:tcPr>
            <w:tcW w:w="38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10,144</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12,014</w:t>
            </w:r>
          </w:p>
        </w:tc>
        <w:tc>
          <w:tcPr>
            <w:tcW w:w="0" w:type="dxa"/>
            <w:vAlign w:val="bottom"/>
          </w:tcPr>
          <w:p>
            <w:pPr>
              <w:spacing w:after="0"/>
              <w:rPr>
                <w:sz w:val="1"/>
                <w:szCs w:val="1"/>
                <w:color w:val="auto"/>
              </w:rPr>
            </w:pPr>
          </w:p>
        </w:tc>
      </w:tr>
      <w:tr>
        <w:trPr>
          <w:trHeight w:val="219"/>
        </w:trPr>
        <w:tc>
          <w:tcPr>
            <w:tcW w:w="462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Common stock</w:t>
            </w:r>
          </w:p>
        </w:tc>
        <w:tc>
          <w:tcPr>
            <w:tcW w:w="3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509,300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583,387</w:t>
            </w:r>
          </w:p>
        </w:tc>
        <w:tc>
          <w:tcPr>
            <w:tcW w:w="0" w:type="dxa"/>
            <w:vAlign w:val="bottom"/>
          </w:tcPr>
          <w:p>
            <w:pPr>
              <w:spacing w:after="0"/>
              <w:rPr>
                <w:sz w:val="1"/>
                <w:szCs w:val="1"/>
                <w:color w:val="auto"/>
              </w:rPr>
            </w:pPr>
          </w:p>
        </w:tc>
      </w:tr>
      <w:tr>
        <w:trPr>
          <w:trHeight w:val="223"/>
        </w:trPr>
        <w:tc>
          <w:tcPr>
            <w:tcW w:w="462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Plan interest in master trust accounts</w:t>
            </w:r>
          </w:p>
        </w:tc>
        <w:tc>
          <w:tcPr>
            <w:tcW w:w="34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3,136,985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2,649,136</w:t>
            </w:r>
          </w:p>
        </w:tc>
        <w:tc>
          <w:tcPr>
            <w:tcW w:w="0" w:type="dxa"/>
            <w:vAlign w:val="bottom"/>
          </w:tcPr>
          <w:p>
            <w:pPr>
              <w:spacing w:after="0"/>
              <w:rPr>
                <w:sz w:val="1"/>
                <w:szCs w:val="1"/>
                <w:color w:val="auto"/>
              </w:rPr>
            </w:pPr>
          </w:p>
        </w:tc>
      </w:tr>
      <w:tr>
        <w:trPr>
          <w:trHeight w:val="212"/>
        </w:trPr>
        <w:tc>
          <w:tcPr>
            <w:tcW w:w="462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Total investments at fair value</w:t>
            </w:r>
          </w:p>
        </w:tc>
        <w:tc>
          <w:tcPr>
            <w:tcW w:w="3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3,656,429</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3,244,537</w:t>
            </w:r>
          </w:p>
        </w:tc>
        <w:tc>
          <w:tcPr>
            <w:tcW w:w="0" w:type="dxa"/>
            <w:vAlign w:val="bottom"/>
          </w:tcPr>
          <w:p>
            <w:pPr>
              <w:spacing w:after="0"/>
              <w:rPr>
                <w:sz w:val="1"/>
                <w:szCs w:val="1"/>
                <w:color w:val="auto"/>
              </w:rPr>
            </w:pPr>
          </w:p>
        </w:tc>
      </w:tr>
      <w:tr>
        <w:trPr>
          <w:trHeight w:val="196"/>
        </w:trPr>
        <w:tc>
          <w:tcPr>
            <w:tcW w:w="46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At contract value:</w:t>
            </w:r>
          </w:p>
        </w:tc>
        <w:tc>
          <w:tcPr>
            <w:tcW w:w="3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Plan interest in master trust accounts</w:t>
            </w:r>
          </w:p>
        </w:tc>
        <w:tc>
          <w:tcPr>
            <w:tcW w:w="34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229,665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258,996</w:t>
            </w:r>
          </w:p>
        </w:tc>
        <w:tc>
          <w:tcPr>
            <w:tcW w:w="0" w:type="dxa"/>
            <w:vAlign w:val="bottom"/>
          </w:tcPr>
          <w:p>
            <w:pPr>
              <w:spacing w:after="0"/>
              <w:rPr>
                <w:sz w:val="1"/>
                <w:szCs w:val="1"/>
                <w:color w:val="auto"/>
              </w:rPr>
            </w:pPr>
          </w:p>
        </w:tc>
      </w:tr>
      <w:tr>
        <w:trPr>
          <w:trHeight w:val="453"/>
        </w:trPr>
        <w:tc>
          <w:tcPr>
            <w:tcW w:w="4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Receivables:</w:t>
            </w:r>
          </w:p>
        </w:tc>
        <w:tc>
          <w:tcPr>
            <w:tcW w:w="3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6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Notes receivable from participants</w:t>
            </w:r>
          </w:p>
        </w:tc>
        <w:tc>
          <w:tcPr>
            <w:tcW w:w="3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29,520</w:t>
            </w:r>
          </w:p>
        </w:tc>
        <w:tc>
          <w:tcPr>
            <w:tcW w:w="0" w:type="dxa"/>
            <w:vAlign w:val="bottom"/>
          </w:tcPr>
          <w:p>
            <w:pPr>
              <w:spacing w:after="0"/>
              <w:rPr>
                <w:sz w:val="1"/>
                <w:szCs w:val="1"/>
                <w:color w:val="auto"/>
              </w:rPr>
            </w:pPr>
          </w:p>
        </w:tc>
      </w:tr>
      <w:tr>
        <w:trPr>
          <w:trHeight w:val="219"/>
        </w:trPr>
        <w:tc>
          <w:tcPr>
            <w:tcW w:w="46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Interest and dividends</w:t>
            </w:r>
          </w:p>
        </w:tc>
        <w:tc>
          <w:tcPr>
            <w:tcW w:w="3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2,257</w:t>
            </w:r>
          </w:p>
        </w:tc>
        <w:tc>
          <w:tcPr>
            <w:tcW w:w="0" w:type="dxa"/>
            <w:vAlign w:val="bottom"/>
          </w:tcPr>
          <w:p>
            <w:pPr>
              <w:spacing w:after="0"/>
              <w:rPr>
                <w:sz w:val="1"/>
                <w:szCs w:val="1"/>
                <w:color w:val="auto"/>
              </w:rPr>
            </w:pPr>
          </w:p>
        </w:tc>
      </w:tr>
      <w:tr>
        <w:trPr>
          <w:trHeight w:val="219"/>
        </w:trPr>
        <w:tc>
          <w:tcPr>
            <w:tcW w:w="46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Participant contribution</w:t>
            </w:r>
          </w:p>
        </w:tc>
        <w:tc>
          <w:tcPr>
            <w:tcW w:w="3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0" w:type="dxa"/>
            <w:vAlign w:val="bottom"/>
          </w:tcPr>
          <w:p>
            <w:pPr>
              <w:spacing w:after="0"/>
              <w:rPr>
                <w:sz w:val="1"/>
                <w:szCs w:val="1"/>
                <w:color w:val="auto"/>
              </w:rPr>
            </w:pPr>
          </w:p>
        </w:tc>
      </w:tr>
      <w:tr>
        <w:trPr>
          <w:trHeight w:val="223"/>
        </w:trPr>
        <w:tc>
          <w:tcPr>
            <w:tcW w:w="46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Employer contribution</w:t>
            </w:r>
          </w:p>
        </w:tc>
        <w:tc>
          <w:tcPr>
            <w:tcW w:w="34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12"/>
        </w:trPr>
        <w:tc>
          <w:tcPr>
            <w:tcW w:w="462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Total receivables</w:t>
            </w:r>
          </w:p>
        </w:tc>
        <w:tc>
          <w:tcPr>
            <w:tcW w:w="3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35,549</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32,123</w:t>
            </w:r>
          </w:p>
        </w:tc>
        <w:tc>
          <w:tcPr>
            <w:tcW w:w="0" w:type="dxa"/>
            <w:vAlign w:val="bottom"/>
          </w:tcPr>
          <w:p>
            <w:pPr>
              <w:spacing w:after="0"/>
              <w:rPr>
                <w:sz w:val="1"/>
                <w:szCs w:val="1"/>
                <w:color w:val="auto"/>
              </w:rPr>
            </w:pPr>
          </w:p>
        </w:tc>
      </w:tr>
      <w:tr>
        <w:trPr>
          <w:trHeight w:val="212"/>
        </w:trPr>
        <w:tc>
          <w:tcPr>
            <w:tcW w:w="462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Total assets</w:t>
            </w:r>
          </w:p>
        </w:tc>
        <w:tc>
          <w:tcPr>
            <w:tcW w:w="3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3,921,643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3,535,656</w:t>
            </w:r>
          </w:p>
        </w:tc>
        <w:tc>
          <w:tcPr>
            <w:tcW w:w="0" w:type="dxa"/>
            <w:vAlign w:val="bottom"/>
          </w:tcPr>
          <w:p>
            <w:pPr>
              <w:spacing w:after="0"/>
              <w:rPr>
                <w:sz w:val="1"/>
                <w:szCs w:val="1"/>
                <w:color w:val="auto"/>
              </w:rPr>
            </w:pPr>
          </w:p>
        </w:tc>
      </w:tr>
      <w:tr>
        <w:trPr>
          <w:trHeight w:val="457"/>
        </w:trPr>
        <w:tc>
          <w:tcPr>
            <w:tcW w:w="462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Net assets available for benefits</w:t>
            </w:r>
          </w:p>
        </w:tc>
        <w:tc>
          <w:tcPr>
            <w:tcW w:w="38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3,921,643</w:t>
            </w:r>
          </w:p>
        </w:tc>
        <w:tc>
          <w:tcPr>
            <w:tcW w:w="100" w:type="dxa"/>
            <w:vAlign w:val="bottom"/>
          </w:tcPr>
          <w:p>
            <w:pPr>
              <w:spacing w:after="0"/>
              <w:rPr>
                <w:sz w:val="24"/>
                <w:szCs w:val="24"/>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3,535,656</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See accompanying notes to the financial statements.</w:t>
            </w:r>
          </w:p>
        </w:tc>
        <w:tc>
          <w:tcPr>
            <w:tcW w:w="3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4620" w:type="dxa"/>
            <w:vAlign w:val="bottom"/>
            <w:vMerge w:val="continue"/>
          </w:tcPr>
          <w:p>
            <w:pPr>
              <w:spacing w:after="0"/>
              <w:rPr>
                <w:sz w:val="24"/>
                <w:szCs w:val="24"/>
                <w:color w:val="auto"/>
              </w:rPr>
            </w:pPr>
          </w:p>
        </w:tc>
        <w:tc>
          <w:tcPr>
            <w:tcW w:w="3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7"/>
        </w:trPr>
        <w:tc>
          <w:tcPr>
            <w:tcW w:w="4620" w:type="dxa"/>
            <w:vAlign w:val="bottom"/>
          </w:tcPr>
          <w:p>
            <w:pPr>
              <w:spacing w:after="0"/>
              <w:rPr>
                <w:sz w:val="24"/>
                <w:szCs w:val="24"/>
                <w:color w:val="auto"/>
              </w:rPr>
            </w:pPr>
          </w:p>
        </w:tc>
        <w:tc>
          <w:tcPr>
            <w:tcW w:w="3480" w:type="dxa"/>
            <w:vAlign w:val="bottom"/>
          </w:tcPr>
          <w:p>
            <w:pPr>
              <w:jc w:val="right"/>
              <w:ind w:right="2354"/>
              <w:spacing w:after="0"/>
              <w:rPr>
                <w:sz w:val="20"/>
                <w:szCs w:val="20"/>
                <w:color w:val="auto"/>
              </w:rPr>
            </w:pPr>
            <w:r>
              <w:rPr>
                <w:rFonts w:ascii="Times New Roman" w:cs="Times New Roman" w:eastAsia="Times New Roman" w:hAnsi="Times New Roman"/>
                <w:sz w:val="17"/>
                <w:szCs w:val="17"/>
                <w:color w:val="auto"/>
              </w:rPr>
              <w:t>4</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20" w:type="dxa"/>
            <w:vAlign w:val="bottom"/>
            <w:tcBorders>
              <w:bottom w:val="single" w:sz="8" w:color="9A9A9A"/>
            </w:tcBorders>
          </w:tcPr>
          <w:p>
            <w:pPr>
              <w:spacing w:after="0"/>
              <w:rPr>
                <w:sz w:val="9"/>
                <w:szCs w:val="9"/>
                <w:color w:val="auto"/>
              </w:rPr>
            </w:pPr>
          </w:p>
        </w:tc>
        <w:tc>
          <w:tcPr>
            <w:tcW w:w="34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OCCIDENTAL PETROLEUM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SAVINGS PLAN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Statements of Changes in Net Assets Available for Benefits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2025 and 2024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(Amounts in thousands)</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80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Changes to net assets attributable to:</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196"/>
        </w:trPr>
        <w:tc>
          <w:tcPr>
            <w:tcW w:w="80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Investment income (loss):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0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Interest</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w:t>
            </w:r>
          </w:p>
        </w:tc>
        <w:tc>
          <w:tcPr>
            <w:tcW w:w="0" w:type="dxa"/>
            <w:vAlign w:val="bottom"/>
          </w:tcPr>
          <w:p>
            <w:pPr>
              <w:spacing w:after="0"/>
              <w:rPr>
                <w:sz w:val="1"/>
                <w:szCs w:val="1"/>
                <w:color w:val="auto"/>
              </w:rPr>
            </w:pPr>
          </w:p>
        </w:tc>
      </w:tr>
      <w:tr>
        <w:trPr>
          <w:trHeight w:val="219"/>
        </w:trPr>
        <w:tc>
          <w:tcPr>
            <w:tcW w:w="80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Dividends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10,449</w:t>
            </w:r>
          </w:p>
        </w:tc>
        <w:tc>
          <w:tcPr>
            <w:tcW w:w="0" w:type="dxa"/>
            <w:vAlign w:val="bottom"/>
          </w:tcPr>
          <w:p>
            <w:pPr>
              <w:spacing w:after="0"/>
              <w:rPr>
                <w:sz w:val="1"/>
                <w:szCs w:val="1"/>
                <w:color w:val="auto"/>
              </w:rPr>
            </w:pPr>
          </w:p>
        </w:tc>
      </w:tr>
      <w:tr>
        <w:trPr>
          <w:trHeight w:val="219"/>
        </w:trPr>
        <w:tc>
          <w:tcPr>
            <w:tcW w:w="80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Net depreciation in fair value of investments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(100,528)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(117,908)</w:t>
            </w:r>
          </w:p>
        </w:tc>
        <w:tc>
          <w:tcPr>
            <w:tcW w:w="0" w:type="dxa"/>
            <w:vAlign w:val="bottom"/>
          </w:tcPr>
          <w:p>
            <w:pPr>
              <w:spacing w:after="0"/>
              <w:rPr>
                <w:sz w:val="1"/>
                <w:szCs w:val="1"/>
                <w:color w:val="auto"/>
              </w:rPr>
            </w:pPr>
          </w:p>
        </w:tc>
      </w:tr>
      <w:tr>
        <w:trPr>
          <w:trHeight w:val="223"/>
        </w:trPr>
        <w:tc>
          <w:tcPr>
            <w:tcW w:w="80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Plan interest in master trust accounts investment income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469,668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368,489</w:t>
            </w:r>
          </w:p>
        </w:tc>
        <w:tc>
          <w:tcPr>
            <w:tcW w:w="0" w:type="dxa"/>
            <w:vAlign w:val="bottom"/>
          </w:tcPr>
          <w:p>
            <w:pPr>
              <w:spacing w:after="0"/>
              <w:rPr>
                <w:sz w:val="1"/>
                <w:szCs w:val="1"/>
                <w:color w:val="auto"/>
              </w:rPr>
            </w:pPr>
          </w:p>
        </w:tc>
      </w:tr>
      <w:tr>
        <w:trPr>
          <w:trHeight w:val="212"/>
        </w:trPr>
        <w:tc>
          <w:tcPr>
            <w:tcW w:w="808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Total investment income</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381,573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261,674</w:t>
            </w:r>
          </w:p>
        </w:tc>
        <w:tc>
          <w:tcPr>
            <w:tcW w:w="0" w:type="dxa"/>
            <w:vAlign w:val="bottom"/>
          </w:tcPr>
          <w:p>
            <w:pPr>
              <w:spacing w:after="0"/>
              <w:rPr>
                <w:sz w:val="1"/>
                <w:szCs w:val="1"/>
                <w:color w:val="auto"/>
              </w:rPr>
            </w:pPr>
          </w:p>
        </w:tc>
      </w:tr>
      <w:tr>
        <w:trPr>
          <w:trHeight w:val="453"/>
        </w:trPr>
        <w:tc>
          <w:tcPr>
            <w:tcW w:w="8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income on notes receivable from participants</w:t>
            </w: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2,527</w:t>
            </w:r>
          </w:p>
        </w:tc>
        <w:tc>
          <w:tcPr>
            <w:tcW w:w="0" w:type="dxa"/>
            <w:vAlign w:val="bottom"/>
          </w:tcPr>
          <w:p>
            <w:pPr>
              <w:spacing w:after="0"/>
              <w:rPr>
                <w:sz w:val="1"/>
                <w:szCs w:val="1"/>
                <w:color w:val="auto"/>
              </w:rPr>
            </w:pPr>
          </w:p>
        </w:tc>
      </w:tr>
      <w:tr>
        <w:trPr>
          <w:trHeight w:val="219"/>
        </w:trPr>
        <w:tc>
          <w:tcPr>
            <w:tcW w:w="8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Contributions: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0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Participant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149,471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140,691</w:t>
            </w:r>
          </w:p>
        </w:tc>
        <w:tc>
          <w:tcPr>
            <w:tcW w:w="0" w:type="dxa"/>
            <w:vAlign w:val="bottom"/>
          </w:tcPr>
          <w:p>
            <w:pPr>
              <w:spacing w:after="0"/>
              <w:rPr>
                <w:sz w:val="1"/>
                <w:szCs w:val="1"/>
                <w:color w:val="auto"/>
              </w:rPr>
            </w:pPr>
          </w:p>
        </w:tc>
      </w:tr>
      <w:tr>
        <w:trPr>
          <w:trHeight w:val="219"/>
        </w:trPr>
        <w:tc>
          <w:tcPr>
            <w:tcW w:w="80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Employer</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110,775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102,366</w:t>
            </w:r>
          </w:p>
        </w:tc>
        <w:tc>
          <w:tcPr>
            <w:tcW w:w="0" w:type="dxa"/>
            <w:vAlign w:val="bottom"/>
          </w:tcPr>
          <w:p>
            <w:pPr>
              <w:spacing w:after="0"/>
              <w:rPr>
                <w:sz w:val="1"/>
                <w:szCs w:val="1"/>
                <w:color w:val="auto"/>
              </w:rPr>
            </w:pPr>
          </w:p>
        </w:tc>
      </w:tr>
      <w:tr>
        <w:trPr>
          <w:trHeight w:val="223"/>
        </w:trPr>
        <w:tc>
          <w:tcPr>
            <w:tcW w:w="80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Participant rollovers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13,955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18,537</w:t>
            </w:r>
          </w:p>
        </w:tc>
        <w:tc>
          <w:tcPr>
            <w:tcW w:w="0" w:type="dxa"/>
            <w:vAlign w:val="bottom"/>
          </w:tcPr>
          <w:p>
            <w:pPr>
              <w:spacing w:after="0"/>
              <w:rPr>
                <w:sz w:val="1"/>
                <w:szCs w:val="1"/>
                <w:color w:val="auto"/>
              </w:rPr>
            </w:pPr>
          </w:p>
        </w:tc>
      </w:tr>
      <w:tr>
        <w:trPr>
          <w:trHeight w:val="212"/>
        </w:trPr>
        <w:tc>
          <w:tcPr>
            <w:tcW w:w="808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Total contributions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274,201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261,594</w:t>
            </w:r>
          </w:p>
        </w:tc>
        <w:tc>
          <w:tcPr>
            <w:tcW w:w="0" w:type="dxa"/>
            <w:vAlign w:val="bottom"/>
          </w:tcPr>
          <w:p>
            <w:pPr>
              <w:spacing w:after="0"/>
              <w:rPr>
                <w:sz w:val="1"/>
                <w:szCs w:val="1"/>
                <w:color w:val="auto"/>
              </w:rPr>
            </w:pPr>
          </w:p>
        </w:tc>
      </w:tr>
      <w:tr>
        <w:trPr>
          <w:trHeight w:val="196"/>
        </w:trPr>
        <w:tc>
          <w:tcPr>
            <w:tcW w:w="8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Deductions: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0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Benefits paid to participants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269,961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262,888</w:t>
            </w:r>
          </w:p>
        </w:tc>
        <w:tc>
          <w:tcPr>
            <w:tcW w:w="0" w:type="dxa"/>
            <w:vAlign w:val="bottom"/>
          </w:tcPr>
          <w:p>
            <w:pPr>
              <w:spacing w:after="0"/>
              <w:rPr>
                <w:sz w:val="1"/>
                <w:szCs w:val="1"/>
                <w:color w:val="auto"/>
              </w:rPr>
            </w:pPr>
          </w:p>
        </w:tc>
      </w:tr>
      <w:tr>
        <w:trPr>
          <w:trHeight w:val="223"/>
        </w:trPr>
        <w:tc>
          <w:tcPr>
            <w:tcW w:w="80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Administrative expenses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2,289</w:t>
            </w:r>
          </w:p>
        </w:tc>
        <w:tc>
          <w:tcPr>
            <w:tcW w:w="0" w:type="dxa"/>
            <w:vAlign w:val="bottom"/>
          </w:tcPr>
          <w:p>
            <w:pPr>
              <w:spacing w:after="0"/>
              <w:rPr>
                <w:sz w:val="1"/>
                <w:szCs w:val="1"/>
                <w:color w:val="auto"/>
              </w:rPr>
            </w:pPr>
          </w:p>
        </w:tc>
      </w:tr>
      <w:tr>
        <w:trPr>
          <w:trHeight w:val="212"/>
        </w:trPr>
        <w:tc>
          <w:tcPr>
            <w:tcW w:w="808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Total deductions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272,794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265,177</w:t>
            </w:r>
          </w:p>
        </w:tc>
        <w:tc>
          <w:tcPr>
            <w:tcW w:w="0" w:type="dxa"/>
            <w:vAlign w:val="bottom"/>
          </w:tcPr>
          <w:p>
            <w:pPr>
              <w:spacing w:after="0"/>
              <w:rPr>
                <w:sz w:val="1"/>
                <w:szCs w:val="1"/>
                <w:color w:val="auto"/>
              </w:rPr>
            </w:pPr>
          </w:p>
        </w:tc>
      </w:tr>
      <w:tr>
        <w:trPr>
          <w:trHeight w:val="238"/>
        </w:trPr>
        <w:tc>
          <w:tcPr>
            <w:tcW w:w="8080" w:type="dxa"/>
            <w:vAlign w:val="bottom"/>
            <w:vMerge w:val="restart"/>
          </w:tcPr>
          <w:p>
            <w:pPr>
              <w:ind w:left="1040"/>
              <w:spacing w:after="0"/>
              <w:rPr>
                <w:sz w:val="20"/>
                <w:szCs w:val="20"/>
                <w:color w:val="auto"/>
              </w:rPr>
            </w:pPr>
            <w:r>
              <w:rPr>
                <w:rFonts w:ascii="Times New Roman" w:cs="Times New Roman" w:eastAsia="Times New Roman" w:hAnsi="Times New Roman"/>
                <w:sz w:val="17"/>
                <w:szCs w:val="17"/>
                <w:color w:val="auto"/>
              </w:rPr>
              <w:t>Net increase</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8080" w:type="dxa"/>
            <w:vAlign w:val="bottom"/>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385,987</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260,618</w:t>
            </w:r>
          </w:p>
        </w:tc>
        <w:tc>
          <w:tcPr>
            <w:tcW w:w="0" w:type="dxa"/>
            <w:vAlign w:val="bottom"/>
          </w:tcPr>
          <w:p>
            <w:pPr>
              <w:spacing w:after="0"/>
              <w:rPr>
                <w:sz w:val="1"/>
                <w:szCs w:val="1"/>
                <w:color w:val="auto"/>
              </w:rPr>
            </w:pPr>
          </w:p>
        </w:tc>
      </w:tr>
      <w:tr>
        <w:trPr>
          <w:trHeight w:val="453"/>
        </w:trPr>
        <w:tc>
          <w:tcPr>
            <w:tcW w:w="8080" w:type="dxa"/>
            <w:vAlign w:val="bottom"/>
          </w:tcPr>
          <w:p>
            <w:pPr>
              <w:spacing w:after="0"/>
              <w:rPr>
                <w:sz w:val="20"/>
                <w:szCs w:val="20"/>
                <w:color w:val="auto"/>
              </w:rPr>
            </w:pPr>
            <w:r>
              <w:rPr>
                <w:rFonts w:ascii="Times New Roman" w:cs="Times New Roman" w:eastAsia="Times New Roman" w:hAnsi="Times New Roman"/>
                <w:sz w:val="17"/>
                <w:szCs w:val="17"/>
                <w:color w:val="auto"/>
              </w:rPr>
              <w:t>Net assets available for benefits: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Beginning of year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3,535,656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3,275,038</w:t>
            </w:r>
          </w:p>
        </w:tc>
        <w:tc>
          <w:tcPr>
            <w:tcW w:w="0" w:type="dxa"/>
            <w:vAlign w:val="bottom"/>
          </w:tcPr>
          <w:p>
            <w:pPr>
              <w:spacing w:after="0"/>
              <w:rPr>
                <w:sz w:val="1"/>
                <w:szCs w:val="1"/>
                <w:color w:val="auto"/>
              </w:rPr>
            </w:pPr>
          </w:p>
        </w:tc>
      </w:tr>
      <w:tr>
        <w:trPr>
          <w:trHeight w:val="212"/>
        </w:trPr>
        <w:tc>
          <w:tcPr>
            <w:tcW w:w="8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End of year</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3,921,643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3,535,656</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OCCIDENTAL PETROLEUM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SAVINGS PLAN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2025 and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 Description of the Plan</w:t>
      </w:r>
    </w:p>
    <w:p>
      <w:pPr>
        <w:spacing w:after="0" w:line="228"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description of the Occidental Petroleum Corporation Savings Plan (the Plan) provides only general information. Participants should refer to the Plan document for a more complete description of the Plan’s provisions.</w:t>
      </w:r>
    </w:p>
    <w:p>
      <w:pPr>
        <w:spacing w:after="0" w:line="141" w:lineRule="exact"/>
        <w:rPr>
          <w:sz w:val="20"/>
          <w:szCs w:val="20"/>
          <w:color w:val="auto"/>
        </w:rPr>
      </w:pPr>
    </w:p>
    <w:p>
      <w:pPr>
        <w:ind w:left="1040" w:hanging="418"/>
        <w:spacing w:after="0"/>
        <w:tabs>
          <w:tab w:leader="none" w:pos="1040" w:val="left"/>
        </w:tabs>
        <w:numPr>
          <w:ilvl w:val="0"/>
          <w:numId w:val="4"/>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General</w:t>
      </w:r>
    </w:p>
    <w:p>
      <w:pPr>
        <w:spacing w:after="0" w:line="21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Plan is a defined contribution plan generally available to certain employees of Occidental Petroleum Corporation (Occidental, or the employer), a Delaware corporation, and participating subsidiaries (collectively, the Company).</w:t>
      </w:r>
    </w:p>
    <w:p>
      <w:pPr>
        <w:spacing w:after="0" w:line="164" w:lineRule="exact"/>
        <w:rPr>
          <w:sz w:val="20"/>
          <w:szCs w:val="20"/>
          <w:color w:val="auto"/>
        </w:rPr>
      </w:pPr>
    </w:p>
    <w:p>
      <w:pPr>
        <w:ind w:firstLine="619"/>
        <w:spacing w:after="0" w:line="271" w:lineRule="auto"/>
        <w:rPr>
          <w:sz w:val="20"/>
          <w:szCs w:val="20"/>
          <w:color w:val="auto"/>
        </w:rPr>
      </w:pPr>
      <w:r>
        <w:rPr>
          <w:rFonts w:ascii="Times New Roman" w:cs="Times New Roman" w:eastAsia="Times New Roman" w:hAnsi="Times New Roman"/>
          <w:sz w:val="17"/>
          <w:szCs w:val="17"/>
          <w:color w:val="auto"/>
        </w:rPr>
        <w:t>The Plan is intended to be a tax-qualified plan containing a qualified cash or deferred arrangement and employee stock ownership plan. The Plan is subject to the provisions of the Employee Retirement Income Security Act of 1974, as amended (ERISA).</w:t>
      </w:r>
    </w:p>
    <w:p>
      <w:pPr>
        <w:spacing w:after="0" w:line="154" w:lineRule="exact"/>
        <w:rPr>
          <w:sz w:val="20"/>
          <w:szCs w:val="20"/>
          <w:color w:val="auto"/>
        </w:rPr>
      </w:pPr>
    </w:p>
    <w:p>
      <w:pPr>
        <w:ind w:left="1040" w:hanging="418"/>
        <w:spacing w:after="0"/>
        <w:tabs>
          <w:tab w:leader="none" w:pos="1040" w:val="left"/>
        </w:tabs>
        <w:numPr>
          <w:ilvl w:val="0"/>
          <w:numId w:val="5"/>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Plan Administration</w:t>
      </w:r>
    </w:p>
    <w:p>
      <w:pPr>
        <w:spacing w:after="0" w:line="21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Plan is administered by the Pension and Retirement Trust and Investment Committee as to investment decisions and by the Pension and Retirement Plan Administrative Committee as to all matters except investment decisions (these two committees are herein referred to collectively as the Committees). The Plan document provides that a fiduciary appointment officer has sole authority to appoint, remove, and monitor members of the Committees. The Committees have been given all powers necessary to carry out their respective duties, including, but not limited to, the power to administer and interpret the Plan and to answer all questions affecting eligibility of participants. Bank of New York Mellon Trust Company N. A. (the Trustee) is the trustee and custodian of the trust fund, which holds all of the assets of the Plan.</w:t>
      </w:r>
    </w:p>
    <w:p>
      <w:pPr>
        <w:spacing w:after="0" w:line="189" w:lineRule="exact"/>
        <w:rPr>
          <w:sz w:val="20"/>
          <w:szCs w:val="20"/>
          <w:color w:val="auto"/>
        </w:rPr>
      </w:pPr>
    </w:p>
    <w:p>
      <w:pPr>
        <w:ind w:left="1020" w:hanging="398"/>
        <w:spacing w:after="0"/>
        <w:tabs>
          <w:tab w:leader="none" w:pos="1020" w:val="left"/>
        </w:tabs>
        <w:numPr>
          <w:ilvl w:val="0"/>
          <w:numId w:val="6"/>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Contributions</w:t>
      </w:r>
    </w:p>
    <w:p>
      <w:pPr>
        <w:spacing w:after="0" w:line="21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Participant Contributions – Each year, participants may contribute up to the maximum contribution percentage of compensation to the Plan on a before- or after-tax basis, or in any combination thereof, subject to certain Internal Revenue Code (IRC) limitations. For 2025 and 2024, the employee contribution percentage limits were 30% for non-Highly Compensated Employees (as defined in the Plan) and 15% for Highly Compensated Employees. Participants age 50 or older by the end of the Plan year were permitted to contribute additional before-tax catch-up contributions to the Plan up to $7,500 for each of 2025 and 2024. The Plan permits Roth contributions and in-plan Roth rollover contributions.</w:t>
      </w:r>
    </w:p>
    <w:p>
      <w:pPr>
        <w:spacing w:after="0" w:line="200" w:lineRule="exact"/>
        <w:rPr>
          <w:sz w:val="20"/>
          <w:szCs w:val="20"/>
          <w:color w:val="auto"/>
        </w:rPr>
      </w:pPr>
    </w:p>
    <w:p>
      <w:pPr>
        <w:jc w:val="both"/>
        <w:ind w:firstLine="303"/>
        <w:spacing w:after="0" w:line="287" w:lineRule="auto"/>
        <w:rPr>
          <w:sz w:val="20"/>
          <w:szCs w:val="20"/>
          <w:color w:val="auto"/>
        </w:rPr>
      </w:pPr>
      <w:r>
        <w:rPr>
          <w:rFonts w:ascii="Times New Roman" w:cs="Times New Roman" w:eastAsia="Times New Roman" w:hAnsi="Times New Roman"/>
          <w:sz w:val="17"/>
          <w:szCs w:val="17"/>
          <w:color w:val="auto"/>
        </w:rPr>
        <w:t>Newly eligible participants who do not affirmatively elect to opt out of making contributions are automatically enrolled in the Plan with a before-tax contribution amount of 5% of base pay.</w:t>
      </w:r>
    </w:p>
    <w:p>
      <w:pPr>
        <w:spacing w:after="0" w:line="17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Employer Matching Contributions – The employer matching contributions for non-collectively bargained employees is an amount equal to 200% of a participant’s contribution up to the first 2% of eligible compensation, and 100% of the next 3% of eligible compensation. Certain collectively bargained employees also fall under this matching formula, as negotiated by their respective unions. Other collectively bargained employees received employer matching contributions between 85% and 100%, as negotiated by their respective unions, up to the first 6% of eligible compensation that a participant contributes to the Plan. All employer contributions are invested in the Occidental Stock Fund (Oxy Stock Fund). All vested participants may elect to transfer their employer matching contributions to other investment funds.</w:t>
      </w:r>
    </w:p>
    <w:p>
      <w:pPr>
        <w:spacing w:after="0" w:line="19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Plan allows active employees who are eligible to participate in the Plan to roll over into the Plan all or part of the taxable money received in an eligible rollover distribution from another employer's tax-qualified retirement plan.</w:t>
      </w:r>
    </w:p>
    <w:p>
      <w:pPr>
        <w:spacing w:after="0" w:line="167" w:lineRule="exact"/>
        <w:rPr>
          <w:sz w:val="20"/>
          <w:szCs w:val="20"/>
          <w:color w:val="auto"/>
        </w:rPr>
      </w:pPr>
    </w:p>
    <w:p>
      <w:pPr>
        <w:ind w:left="1040" w:hanging="418"/>
        <w:spacing w:after="0"/>
        <w:tabs>
          <w:tab w:leader="none" w:pos="1040" w:val="left"/>
        </w:tabs>
        <w:numPr>
          <w:ilvl w:val="0"/>
          <w:numId w:val="7"/>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Participant Accounts</w:t>
      </w:r>
    </w:p>
    <w:p>
      <w:pPr>
        <w:spacing w:after="0" w:line="217" w:lineRule="exact"/>
        <w:rPr>
          <w:sz w:val="20"/>
          <w:szCs w:val="20"/>
          <w:color w:val="auto"/>
        </w:rPr>
      </w:pPr>
    </w:p>
    <w:p>
      <w:pPr>
        <w:jc w:val="both"/>
        <w:ind w:firstLine="291"/>
        <w:spacing w:after="0" w:line="270" w:lineRule="auto"/>
        <w:rPr>
          <w:sz w:val="20"/>
          <w:szCs w:val="20"/>
          <w:color w:val="auto"/>
        </w:rPr>
      </w:pPr>
      <w:r>
        <w:rPr>
          <w:rFonts w:ascii="Times New Roman" w:cs="Times New Roman" w:eastAsia="Times New Roman" w:hAnsi="Times New Roman"/>
          <w:sz w:val="17"/>
          <w:szCs w:val="17"/>
          <w:color w:val="auto"/>
        </w:rPr>
        <w:t>All participant contributions and the earnings thereon are allocated to each participant’s accounts and are invested in accordance with the participant’s investment elections in accordance with Section 404(c) of ERISA. Participants who do not make an investment election are automatically enrolled in the Plan’s qualified default investment alternative.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6" w:name="page7"/>
    <w:bookmarkEnd w:id="6"/>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Each participant’s account is credited with the participant’s elected contribution, the employer’s respective matching contribution, and allocations of the respective fund’s investment income and losses and charged with investment manager fees. Allocations are based on participant earnings or account balances, as defined in the Plan. The benefit to which a participant is entitled is the benefit that can be provided from the participant’s vested account.</w:t>
      </w:r>
    </w:p>
    <w:p>
      <w:pPr>
        <w:spacing w:after="0" w:line="181" w:lineRule="exact"/>
        <w:rPr>
          <w:sz w:val="20"/>
          <w:szCs w:val="20"/>
          <w:color w:val="auto"/>
        </w:rPr>
      </w:pPr>
    </w:p>
    <w:p>
      <w:pPr>
        <w:ind w:left="1020" w:hanging="398"/>
        <w:spacing w:after="0"/>
        <w:tabs>
          <w:tab w:leader="none" w:pos="1020" w:val="left"/>
        </w:tabs>
        <w:numPr>
          <w:ilvl w:val="0"/>
          <w:numId w:val="8"/>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Vesting</w:t>
      </w:r>
    </w:p>
    <w:p>
      <w:pPr>
        <w:spacing w:after="0" w:line="23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Participants are vested immediately in their contributions and employer matching contributions, plus actual earnings thereon. Participants are also fully vested in dividends paid on the portion of their employer matching contributions invested in the Oxy Stock Fund.</w:t>
      </w:r>
    </w:p>
    <w:p>
      <w:pPr>
        <w:spacing w:after="0" w:line="141"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9"/>
          <w:szCs w:val="19"/>
          <w:b w:val="1"/>
          <w:bCs w:val="1"/>
          <w:i w:val="1"/>
          <w:iCs w:val="1"/>
          <w:color w:val="auto"/>
        </w:rPr>
        <w:t>(f)</w:t>
      </w:r>
      <w:r>
        <w:rPr>
          <w:sz w:val="20"/>
          <w:szCs w:val="20"/>
          <w:color w:val="auto"/>
        </w:rPr>
        <w:tab/>
      </w:r>
      <w:r>
        <w:rPr>
          <w:rFonts w:ascii="Times New Roman" w:cs="Times New Roman" w:eastAsia="Times New Roman" w:hAnsi="Times New Roman"/>
          <w:sz w:val="18"/>
          <w:szCs w:val="18"/>
          <w:b w:val="1"/>
          <w:bCs w:val="1"/>
          <w:i w:val="1"/>
          <w:iCs w:val="1"/>
          <w:color w:val="auto"/>
        </w:rPr>
        <w:t>Notes Receivable From Participants</w:t>
      </w:r>
    </w:p>
    <w:p>
      <w:pPr>
        <w:spacing w:after="0" w:line="21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Participants may borrow from their fund accounts a minimum of $1,000 up to a maximum amount equal to the lesser of (i) $50,000 reduced by the highest outstanding principal loan balance during the preceding 12 months, if any; (ii) 50% of their vested account balance; or (iii) an amount that would require monthly payroll deductions for repayment not greater than 25% of the participant's monthly base compensation. Loan terms may range from one to five years for general purpose loans and six to ten years for primary residence loans. The maturity dates on notes receivable from participants outstanding at December 31, 2025 range from January 2026 to November 2035. The loans are secured by the balance in the participant's account at the time the loan is approved. Loan interest rates are fixed on the first day of the month prior to the calendar month in which the loan is funded and rates are reasonable compared to similar loans issued by other lenders, in accordance with the Plan. Interest rates ranged from 3% to 11% on loans outstanding as of December 31, 2025 and 2024. Principal and interest are paid ratably through payroll deductions.</w:t>
      </w:r>
    </w:p>
    <w:p>
      <w:pPr>
        <w:spacing w:after="0" w:line="165" w:lineRule="exact"/>
        <w:rPr>
          <w:sz w:val="20"/>
          <w:szCs w:val="20"/>
          <w:color w:val="auto"/>
        </w:rPr>
      </w:pPr>
    </w:p>
    <w:p>
      <w:pPr>
        <w:ind w:left="1040" w:hanging="418"/>
        <w:spacing w:after="0"/>
        <w:tabs>
          <w:tab w:leader="none" w:pos="1040" w:val="left"/>
        </w:tabs>
        <w:numPr>
          <w:ilvl w:val="0"/>
          <w:numId w:val="9"/>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Distributions</w:t>
      </w:r>
    </w:p>
    <w:p>
      <w:pPr>
        <w:spacing w:after="0" w:line="23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Generally, on termination of service, participants may elect to receive the vested portion of their account balance under one of the distribution options allowed by the Plan. Participants may elect to receive distributions from their vested account balance in the Oxy Stock Fund in cash or in shares of Occidental common stock.</w:t>
      </w:r>
    </w:p>
    <w:p>
      <w:pPr>
        <w:spacing w:after="0" w:line="155" w:lineRule="exact"/>
        <w:rPr>
          <w:sz w:val="20"/>
          <w:szCs w:val="20"/>
          <w:color w:val="auto"/>
        </w:rPr>
      </w:pPr>
    </w:p>
    <w:p>
      <w:pPr>
        <w:ind w:left="1040" w:hanging="418"/>
        <w:spacing w:after="0"/>
        <w:tabs>
          <w:tab w:leader="none" w:pos="1040" w:val="left"/>
        </w:tabs>
        <w:numPr>
          <w:ilvl w:val="0"/>
          <w:numId w:val="10"/>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Forfeited Accounts</w:t>
      </w:r>
    </w:p>
    <w:p>
      <w:pPr>
        <w:spacing w:after="0" w:line="21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Forfeited nonvested accounts may be used to pay reasonable costs of administering the Plan and reduce employer contributions. As of December 31, 2025 and 2024, the balance of forfeited nonvested accounts was not material. Increases to the forfeiture account balance are primarily related to nonvested account balances of previously terminated participants and the forfeiture of unclaimed benefits, in accordance with the Plan document. These amounts are expected to be used to reduce future contributions, or reinstate account balances if such participants are located.</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During 2025 and 2024, no forfeitures were used to reduce employer contributions.</w:t>
      </w:r>
    </w:p>
    <w:p>
      <w:pPr>
        <w:spacing w:after="0" w:line="232" w:lineRule="exact"/>
        <w:rPr>
          <w:sz w:val="20"/>
          <w:szCs w:val="20"/>
          <w:color w:val="auto"/>
        </w:rPr>
      </w:pPr>
    </w:p>
    <w:p>
      <w:pPr>
        <w:ind w:left="980" w:hanging="358"/>
        <w:spacing w:after="0"/>
        <w:tabs>
          <w:tab w:leader="none" w:pos="980" w:val="left"/>
        </w:tabs>
        <w:numPr>
          <w:ilvl w:val="0"/>
          <w:numId w:val="11"/>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Expenses</w:t>
      </w:r>
    </w:p>
    <w:p>
      <w:pPr>
        <w:spacing w:after="0" w:line="230"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Certain administrative fees are paid by participants through their Plan accounts. Other expenses of maintaining the Plan are paid by the Company and are excluded from these financial statements. Investment related expenses are included in net appreciation (depreciation) in fair value of investments.</w:t>
      </w:r>
    </w:p>
    <w:p>
      <w:pPr>
        <w:spacing w:after="0" w:line="143" w:lineRule="exact"/>
        <w:rPr>
          <w:sz w:val="20"/>
          <w:szCs w:val="20"/>
          <w:color w:val="auto"/>
        </w:rPr>
      </w:pPr>
    </w:p>
    <w:p>
      <w:pPr>
        <w:ind w:left="380" w:hanging="377"/>
        <w:spacing w:after="0"/>
        <w:tabs>
          <w:tab w:leader="none" w:pos="38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9"/>
          <w:szCs w:val="19"/>
          <w:b w:val="1"/>
          <w:bCs w:val="1"/>
          <w:color w:val="auto"/>
        </w:rPr>
        <w:t>Summary of Significant Accounting Policies</w:t>
      </w:r>
    </w:p>
    <w:p>
      <w:pPr>
        <w:spacing w:after="0" w:line="204" w:lineRule="exact"/>
        <w:rPr>
          <w:rFonts w:ascii="Times New Roman" w:cs="Times New Roman" w:eastAsia="Times New Roman" w:hAnsi="Times New Roman"/>
          <w:sz w:val="17"/>
          <w:szCs w:val="17"/>
          <w:b w:val="1"/>
          <w:bCs w:val="1"/>
          <w:color w:val="auto"/>
        </w:rPr>
      </w:pPr>
    </w:p>
    <w:p>
      <w:pPr>
        <w:ind w:left="1020" w:hanging="398"/>
        <w:spacing w:after="0"/>
        <w:tabs>
          <w:tab w:leader="none" w:pos="1020" w:val="left"/>
        </w:tabs>
        <w:numPr>
          <w:ilvl w:val="1"/>
          <w:numId w:val="12"/>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Basis of Accounting</w:t>
      </w:r>
    </w:p>
    <w:p>
      <w:pPr>
        <w:spacing w:after="0" w:line="2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financial statements of the Plan are prepared on the accrual method of accounting.</w:t>
      </w:r>
    </w:p>
    <w:p>
      <w:pPr>
        <w:spacing w:after="0" w:line="232" w:lineRule="exact"/>
        <w:rPr>
          <w:sz w:val="20"/>
          <w:szCs w:val="20"/>
          <w:color w:val="auto"/>
        </w:rPr>
      </w:pPr>
    </w:p>
    <w:p>
      <w:pPr>
        <w:ind w:left="620"/>
        <w:spacing w:after="0"/>
        <w:tabs>
          <w:tab w:leader="none" w:pos="1000" w:val="left"/>
        </w:tabs>
        <w:rPr>
          <w:sz w:val="20"/>
          <w:szCs w:val="20"/>
          <w:color w:val="auto"/>
        </w:rPr>
      </w:pPr>
      <w:r>
        <w:rPr>
          <w:rFonts w:ascii="Times New Roman" w:cs="Times New Roman" w:eastAsia="Times New Roman" w:hAnsi="Times New Roman"/>
          <w:sz w:val="19"/>
          <w:szCs w:val="19"/>
          <w:b w:val="1"/>
          <w:bCs w:val="1"/>
          <w:i w:val="1"/>
          <w:iCs w:val="1"/>
          <w:color w:val="auto"/>
        </w:rPr>
        <w:t>(b)</w:t>
      </w:r>
      <w:r>
        <w:rPr>
          <w:sz w:val="20"/>
          <w:szCs w:val="20"/>
          <w:color w:val="auto"/>
        </w:rPr>
        <w:tab/>
      </w:r>
      <w:r>
        <w:rPr>
          <w:rFonts w:ascii="Times New Roman" w:cs="Times New Roman" w:eastAsia="Times New Roman" w:hAnsi="Times New Roman"/>
          <w:sz w:val="18"/>
          <w:szCs w:val="18"/>
          <w:b w:val="1"/>
          <w:bCs w:val="1"/>
          <w:i w:val="1"/>
          <w:iCs w:val="1"/>
          <w:color w:val="auto"/>
        </w:rPr>
        <w:t>Use of Estimates</w:t>
      </w:r>
    </w:p>
    <w:p>
      <w:pPr>
        <w:spacing w:after="0" w:line="21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process of preparing financial statements in conformity with United States generally accepted accounting principles (U.S. GAAP) requires management to make informed estimates and judgments regarding certain types of financial statement balances and disclosures. Changes in facts and circumstances or discovery of new information relating to such transactions and events may result in revised estimates and judgments and actual results may differ from estimates upon</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7" w:name="page8"/>
    <w:bookmarkEnd w:id="7"/>
    <w:p>
      <w:pPr>
        <w:jc w:val="both"/>
        <w:spacing w:after="0" w:line="287" w:lineRule="auto"/>
        <w:rPr>
          <w:sz w:val="20"/>
          <w:szCs w:val="20"/>
          <w:color w:val="auto"/>
        </w:rPr>
      </w:pPr>
      <w:r>
        <w:rPr>
          <w:rFonts w:ascii="Times New Roman" w:cs="Times New Roman" w:eastAsia="Times New Roman" w:hAnsi="Times New Roman"/>
          <w:sz w:val="17"/>
          <w:szCs w:val="17"/>
          <w:color w:val="auto"/>
        </w:rPr>
        <w:t>settlement but generally not by material amounts. Management believes that these estimates and judgments provide a reasonable basis for the fair presentation of the Plan’s financial statements.</w:t>
      </w:r>
    </w:p>
    <w:p>
      <w:pPr>
        <w:spacing w:after="0" w:line="141"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9"/>
          <w:szCs w:val="19"/>
          <w:b w:val="1"/>
          <w:bCs w:val="1"/>
          <w:i w:val="1"/>
          <w:iCs w:val="1"/>
          <w:color w:val="auto"/>
        </w:rPr>
        <w:t>(c)</w:t>
      </w:r>
      <w:r>
        <w:rPr>
          <w:sz w:val="20"/>
          <w:szCs w:val="20"/>
          <w:color w:val="auto"/>
        </w:rPr>
        <w:tab/>
      </w:r>
      <w:r>
        <w:rPr>
          <w:rFonts w:ascii="Times New Roman" w:cs="Times New Roman" w:eastAsia="Times New Roman" w:hAnsi="Times New Roman"/>
          <w:sz w:val="18"/>
          <w:szCs w:val="18"/>
          <w:b w:val="1"/>
          <w:bCs w:val="1"/>
          <w:i w:val="1"/>
          <w:iCs w:val="1"/>
          <w:color w:val="auto"/>
        </w:rPr>
        <w:t>Investment Valuation and Income Recognition</w:t>
      </w:r>
    </w:p>
    <w:p>
      <w:pPr>
        <w:spacing w:after="0" w:line="23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Plan’s investments are reported at fair value, with the exception of fully benefit-responsive investment contracts, which are reported at contract value. Fair value is the price that would be received to sell an asset or paid to transfer a liability in an orderly transaction between market participants at the measurement date. See Note 3 for a discussion of fair value measurements. See Note 4 for a discussion of contract value investments.</w:t>
      </w:r>
    </w:p>
    <w:p>
      <w:pPr>
        <w:spacing w:after="0" w:line="16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Purchases and sales of securities are recorded on a trade-date basis. Interest income is recorded on an accrual basis. Dividends are recorded on the ex-dividend date. Net appreciation (depreciation) in fair value of investments includes gains and losses on investments bought and sold as well as held during the year.</w:t>
      </w:r>
    </w:p>
    <w:p>
      <w:pPr>
        <w:spacing w:after="0" w:line="167" w:lineRule="exact"/>
        <w:rPr>
          <w:sz w:val="20"/>
          <w:szCs w:val="20"/>
          <w:color w:val="auto"/>
        </w:rPr>
      </w:pPr>
    </w:p>
    <w:p>
      <w:pPr>
        <w:ind w:left="1040" w:hanging="418"/>
        <w:spacing w:after="0"/>
        <w:tabs>
          <w:tab w:leader="none" w:pos="1040" w:val="left"/>
        </w:tabs>
        <w:numPr>
          <w:ilvl w:val="0"/>
          <w:numId w:val="13"/>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Contributions</w:t>
      </w:r>
    </w:p>
    <w:p>
      <w:pPr>
        <w:spacing w:after="0" w:line="21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Contributions from Plan participants and employer matching contributions are recorded in the year in which the employee contributions are withheld from compensation.</w:t>
      </w:r>
    </w:p>
    <w:p>
      <w:pPr>
        <w:spacing w:after="0" w:line="141" w:lineRule="exact"/>
        <w:rPr>
          <w:sz w:val="20"/>
          <w:szCs w:val="20"/>
          <w:color w:val="auto"/>
        </w:rPr>
      </w:pPr>
    </w:p>
    <w:p>
      <w:pPr>
        <w:ind w:left="1020" w:hanging="398"/>
        <w:spacing w:after="0"/>
        <w:tabs>
          <w:tab w:leader="none" w:pos="1020" w:val="left"/>
        </w:tabs>
        <w:numPr>
          <w:ilvl w:val="0"/>
          <w:numId w:val="14"/>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Payment of Benefits</w:t>
      </w:r>
    </w:p>
    <w:p>
      <w:pPr>
        <w:spacing w:after="0" w:line="2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Benefits are recorded when paid.</w:t>
      </w:r>
    </w:p>
    <w:p>
      <w:pPr>
        <w:spacing w:after="0" w:line="207"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9"/>
          <w:szCs w:val="19"/>
          <w:b w:val="1"/>
          <w:bCs w:val="1"/>
          <w:i w:val="1"/>
          <w:iCs w:val="1"/>
          <w:color w:val="auto"/>
        </w:rPr>
        <w:t>(f)</w:t>
      </w:r>
      <w:r>
        <w:rPr>
          <w:sz w:val="20"/>
          <w:szCs w:val="20"/>
          <w:color w:val="auto"/>
        </w:rPr>
        <w:tab/>
      </w:r>
      <w:r>
        <w:rPr>
          <w:rFonts w:ascii="Times New Roman" w:cs="Times New Roman" w:eastAsia="Times New Roman" w:hAnsi="Times New Roman"/>
          <w:sz w:val="18"/>
          <w:szCs w:val="18"/>
          <w:b w:val="1"/>
          <w:bCs w:val="1"/>
          <w:i w:val="1"/>
          <w:iCs w:val="1"/>
          <w:color w:val="auto"/>
        </w:rPr>
        <w:t>Notes Receivable From Participants</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Notes receivable from participants are measured at their unpaid principal balance, plus any accrued but unpaid interest and classified as a note receivable in the accompanying statements of net assets available for benefits. Delinquent notes receivable from participants are reclassified as distributions based upon the terms of the Plan.</w:t>
      </w:r>
    </w:p>
    <w:p>
      <w:pPr>
        <w:spacing w:after="0" w:line="181" w:lineRule="exact"/>
        <w:rPr>
          <w:sz w:val="20"/>
          <w:szCs w:val="20"/>
          <w:color w:val="auto"/>
        </w:rPr>
      </w:pPr>
    </w:p>
    <w:p>
      <w:pPr>
        <w:ind w:left="1040" w:hanging="418"/>
        <w:spacing w:after="0"/>
        <w:tabs>
          <w:tab w:leader="none" w:pos="1040" w:val="left"/>
        </w:tabs>
        <w:numPr>
          <w:ilvl w:val="0"/>
          <w:numId w:val="15"/>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Reclassifications</w:t>
      </w:r>
    </w:p>
    <w:p>
      <w:pPr>
        <w:spacing w:after="0" w:line="2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Certain amounts in prior years have been reclassified to conform to the current year’s presentation.</w:t>
      </w:r>
    </w:p>
    <w:p>
      <w:pPr>
        <w:spacing w:after="0" w:line="234" w:lineRule="exact"/>
        <w:rPr>
          <w:sz w:val="20"/>
          <w:szCs w:val="20"/>
          <w:color w:val="auto"/>
        </w:rPr>
      </w:pPr>
    </w:p>
    <w:p>
      <w:pPr>
        <w:ind w:left="420" w:hanging="417"/>
        <w:spacing w:after="0"/>
        <w:tabs>
          <w:tab w:leader="none" w:pos="42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9"/>
          <w:szCs w:val="19"/>
          <w:b w:val="1"/>
          <w:bCs w:val="1"/>
          <w:color w:val="auto"/>
        </w:rPr>
        <w:t>Fair Value Measurements</w:t>
      </w:r>
    </w:p>
    <w:p>
      <w:pPr>
        <w:spacing w:after="0" w:line="228"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Plan assets are measured at fair value, based on the priorities of the inputs to valuation techniques used to measure fair value, in a three-level fair value hierarchy: Level 1 – using quoted prices in the active markets for identical assets or liabilities; Level 2 – using observable inputs other than quoted prices for identical assets or liabilities; and Level 3 – using unobservable inputs. Transfers between levels, if any, are recognized at year end.</w:t>
      </w:r>
    </w:p>
    <w:p>
      <w:pPr>
        <w:spacing w:after="0" w:line="16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is a description of the valuation methodologies used for the Plan assets that are measured at fair value. See Note 5 and Note 6 for tables that set forth by level, within the fair value hierarchy, the Plan’s assets at fair value as of December 31, 2025 and 2024.</w:t>
      </w:r>
    </w:p>
    <w:p>
      <w:pPr>
        <w:spacing w:after="0" w:line="141" w:lineRule="exact"/>
        <w:rPr>
          <w:sz w:val="20"/>
          <w:szCs w:val="20"/>
          <w:color w:val="auto"/>
        </w:rPr>
      </w:pPr>
    </w:p>
    <w:p>
      <w:pPr>
        <w:ind w:left="1040" w:hanging="418"/>
        <w:spacing w:after="0"/>
        <w:tabs>
          <w:tab w:leader="none" w:pos="1040" w:val="left"/>
        </w:tabs>
        <w:numPr>
          <w:ilvl w:val="0"/>
          <w:numId w:val="17"/>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Common Stocks and Preferred Stocks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Common stocks and preferred stocks are valued at the closing price reported on the active market on which the individual securities are traded.</w:t>
      </w:r>
    </w:p>
    <w:p>
      <w:pPr>
        <w:spacing w:after="0" w:line="207" w:lineRule="exact"/>
        <w:rPr>
          <w:sz w:val="20"/>
          <w:szCs w:val="20"/>
          <w:color w:val="auto"/>
        </w:rPr>
      </w:pPr>
    </w:p>
    <w:p>
      <w:pPr>
        <w:ind w:left="1040" w:hanging="418"/>
        <w:spacing w:after="0"/>
        <w:tabs>
          <w:tab w:leader="none" w:pos="1040" w:val="left"/>
        </w:tabs>
        <w:numPr>
          <w:ilvl w:val="0"/>
          <w:numId w:val="18"/>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Mutual Funds</w:t>
      </w:r>
    </w:p>
    <w:p>
      <w:pPr>
        <w:spacing w:after="0" w:line="230"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Generally, mutual funds are valued at the net asset value (NAV) of the shares held by the Plan. If publicly registered, the value of the mutual fund can be obtained through quoted market prices in active markets.</w:t>
      </w:r>
    </w:p>
    <w:p>
      <w:pPr>
        <w:spacing w:after="0" w:line="141" w:lineRule="exact"/>
        <w:rPr>
          <w:sz w:val="20"/>
          <w:szCs w:val="20"/>
          <w:color w:val="auto"/>
        </w:rPr>
      </w:pPr>
    </w:p>
    <w:p>
      <w:pPr>
        <w:ind w:left="1020" w:hanging="398"/>
        <w:spacing w:after="0"/>
        <w:tabs>
          <w:tab w:leader="none" w:pos="1020" w:val="left"/>
        </w:tabs>
        <w:numPr>
          <w:ilvl w:val="0"/>
          <w:numId w:val="19"/>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Short-Term Investment Fund</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short-term investment fund is valued at the NAV of the shares held by the Plan.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8" w:name="page9"/>
    <w:bookmarkEnd w:id="8"/>
    <w:p>
      <w:pPr>
        <w:ind w:left="620"/>
        <w:spacing w:after="0"/>
        <w:tabs>
          <w:tab w:leader="none" w:pos="1020" w:val="left"/>
        </w:tabs>
        <w:rPr>
          <w:sz w:val="20"/>
          <w:szCs w:val="20"/>
          <w:color w:val="auto"/>
        </w:rPr>
      </w:pPr>
      <w:r>
        <w:rPr>
          <w:rFonts w:ascii="Times New Roman" w:cs="Times New Roman" w:eastAsia="Times New Roman" w:hAnsi="Times New Roman"/>
          <w:sz w:val="19"/>
          <w:szCs w:val="19"/>
          <w:b w:val="1"/>
          <w:bCs w:val="1"/>
          <w:i w:val="1"/>
          <w:iCs w:val="1"/>
          <w:color w:val="auto"/>
        </w:rPr>
        <w:t>(d)</w:t>
      </w:r>
      <w:r>
        <w:rPr>
          <w:sz w:val="20"/>
          <w:szCs w:val="20"/>
          <w:color w:val="auto"/>
        </w:rPr>
        <w:tab/>
      </w:r>
      <w:r>
        <w:rPr>
          <w:rFonts w:ascii="Times New Roman" w:cs="Times New Roman" w:eastAsia="Times New Roman" w:hAnsi="Times New Roman"/>
          <w:sz w:val="18"/>
          <w:szCs w:val="18"/>
          <w:b w:val="1"/>
          <w:bCs w:val="1"/>
          <w:i w:val="1"/>
          <w:iCs w:val="1"/>
          <w:color w:val="auto"/>
        </w:rPr>
        <w:t>Common/Collective Trusts</w:t>
      </w:r>
    </w:p>
    <w:p>
      <w:pPr>
        <w:spacing w:after="0" w:line="25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common/collective trusts are valued at the NAV of the units provided by the fund issuer. The NAV, as provided by the trustee, is used as a practical expedient to estimate fair value. The NAV is based on the fair value of the underlying investments held by the fund less liabilities. As of December 31, 2025 and 2024, there were no redemption restrictions on these investments.</w:t>
      </w:r>
    </w:p>
    <w:p>
      <w:pPr>
        <w:spacing w:after="0" w:line="155" w:lineRule="exact"/>
        <w:rPr>
          <w:sz w:val="20"/>
          <w:szCs w:val="20"/>
          <w:color w:val="auto"/>
        </w:rPr>
      </w:pPr>
    </w:p>
    <w:p>
      <w:pPr>
        <w:ind w:left="1020" w:hanging="398"/>
        <w:spacing w:after="0"/>
        <w:tabs>
          <w:tab w:leader="none" w:pos="1020" w:val="left"/>
        </w:tabs>
        <w:numPr>
          <w:ilvl w:val="0"/>
          <w:numId w:val="20"/>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Corporate Bonds</w:t>
      </w:r>
    </w:p>
    <w:p>
      <w:pPr>
        <w:spacing w:after="0" w:line="21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Corporate bonds are valued using quoted market price when available. If quoted market prices are not observable, corporate bonds are valued using pricing models with market observable inputs from both active and non-active markets.</w:t>
      </w:r>
    </w:p>
    <w:p>
      <w:pPr>
        <w:spacing w:after="0" w:line="169" w:lineRule="exact"/>
        <w:rPr>
          <w:sz w:val="20"/>
          <w:szCs w:val="20"/>
          <w:color w:val="auto"/>
        </w:rPr>
      </w:pPr>
    </w:p>
    <w:p>
      <w:pPr>
        <w:ind w:left="460" w:hanging="457"/>
        <w:spacing w:after="0"/>
        <w:tabs>
          <w:tab w:leader="none" w:pos="460" w:val="left"/>
        </w:tabs>
        <w:numPr>
          <w:ilvl w:val="0"/>
          <w:numId w:val="2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Guaranteed Investment Contracts Master Trust Account</w:t>
      </w:r>
    </w:p>
    <w:p>
      <w:pPr>
        <w:spacing w:after="0" w:line="25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Plan's investment options include a Stable Value Fund which invests in a Guaranteed Investment Contracts (GIC) Master Trust Investment Account, managed by Invesco (GIC MTIA). The account’s key objectives are to provide daily liquidity at contract value for participant withdrawals and transfers in accordance with the provisions of the Plan. To accomplish these objectives, the GIC MTIA invests primarily in wrapper contracts also known as synthetic GICs.</w:t>
      </w:r>
    </w:p>
    <w:p>
      <w:pPr>
        <w:spacing w:after="0" w:line="19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Because the synthetic GICs are fully benefit-responsive, contract value is the relevant measure for the GIC MTIA. Contract value, as reported to the Plan by Invesco, represents contributions made under the contract, plus earnings, less participant withdrawals, and administrative expenses. Participants may ordinarily direct the withdrawal or transfer of all or a portion of their investment at contract value. Contract value for the synthetic GICs is determined based on the fair value of the underlying assets, which consist of various fixed income common/collective trusts.</w:t>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Crediting interest rate resets are applied to specific investment contracts, as determined at the time of purchase. The reset values for security-backed investment interest rates are a function of contract value, market value, yield, and duration. General account investment rates are based on a predetermined index rate of return plus a fixed-basis point spread. The relationship of future crediting interest rates and the adjustment to contract value reported on the statement of net assets available for benefits is provided through the mechanism of the crediting interest rate formula. The difference between the contract value and the fair market value of the investments of each contract is periodically amortized into each contract’s crediting interest rate. The key factors that influence future crediting interest rates for the synthetic GIC and the wrapper contracts include, but are not limited to, the level of market interest rates, the Plan cash flow, the investment returns generated by the fixed income investments that back the contract or the duration of the underlying investments backing the contract.</w:t>
      </w:r>
    </w:p>
    <w:p>
      <w:pPr>
        <w:spacing w:after="0" w:line="2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represents the disaggregation of contract value between types of investment contracts held by the Plan (amounts in thousands):</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80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0" w:type="dxa"/>
            <w:vAlign w:val="bottom"/>
          </w:tcPr>
          <w:p>
            <w:pPr>
              <w:spacing w:after="0"/>
              <w:rPr>
                <w:sz w:val="1"/>
                <w:szCs w:val="1"/>
                <w:color w:val="auto"/>
              </w:rPr>
            </w:pPr>
          </w:p>
        </w:tc>
      </w:tr>
      <w:tr>
        <w:trPr>
          <w:trHeight w:val="212"/>
        </w:trPr>
        <w:tc>
          <w:tcPr>
            <w:tcW w:w="80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Short-term investment fund</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09"/>
        </w:trPr>
        <w:tc>
          <w:tcPr>
            <w:tcW w:w="8080" w:type="dxa"/>
            <w:vAlign w:val="bottom"/>
            <w:vMerge w:val="continue"/>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7,706</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8,944</w:t>
            </w:r>
          </w:p>
        </w:tc>
        <w:tc>
          <w:tcPr>
            <w:tcW w:w="0" w:type="dxa"/>
            <w:vAlign w:val="bottom"/>
          </w:tcPr>
          <w:p>
            <w:pPr>
              <w:spacing w:after="0"/>
              <w:rPr>
                <w:sz w:val="1"/>
                <w:szCs w:val="1"/>
                <w:color w:val="auto"/>
              </w:rPr>
            </w:pPr>
          </w:p>
        </w:tc>
      </w:tr>
      <w:tr>
        <w:trPr>
          <w:trHeight w:val="219"/>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Synthetic guaranteed investment contracts: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Common/collective trusts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323,612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360,227</w:t>
            </w:r>
          </w:p>
        </w:tc>
        <w:tc>
          <w:tcPr>
            <w:tcW w:w="0" w:type="dxa"/>
            <w:vAlign w:val="bottom"/>
          </w:tcPr>
          <w:p>
            <w:pPr>
              <w:spacing w:after="0"/>
              <w:rPr>
                <w:sz w:val="1"/>
                <w:szCs w:val="1"/>
                <w:color w:val="auto"/>
              </w:rPr>
            </w:pPr>
          </w:p>
        </w:tc>
      </w:tr>
      <w:tr>
        <w:trPr>
          <w:trHeight w:val="457"/>
        </w:trPr>
        <w:tc>
          <w:tcPr>
            <w:tcW w:w="8080" w:type="dxa"/>
            <w:vAlign w:val="bottom"/>
          </w:tcPr>
          <w:p>
            <w:pPr>
              <w:spacing w:after="0"/>
              <w:rPr>
                <w:sz w:val="20"/>
                <w:szCs w:val="20"/>
                <w:color w:val="auto"/>
              </w:rPr>
            </w:pPr>
            <w:r>
              <w:rPr>
                <w:rFonts w:ascii="Times New Roman" w:cs="Times New Roman" w:eastAsia="Times New Roman" w:hAnsi="Times New Roman"/>
                <w:sz w:val="17"/>
                <w:szCs w:val="17"/>
                <w:color w:val="auto"/>
              </w:rPr>
              <w:t>Total investments</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331,318</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369,171</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Plan’s ability to receive amounts due is dependent on the contract issuer’s ability to meet its financial obligations. The contract issuer’s ability to meet its contractual obligations may be affected by future economic and regulatory developments.</w:t>
      </w:r>
    </w:p>
    <w:p>
      <w:pPr>
        <w:spacing w:after="0" w:line="177"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There are certain events not initiated by participants that limit the ability of the GIC MTIA to transact with the contract issuer at contract value. These events include, but are not limited to: (i) termination of the Plan, (ii) company election to withdraw from a contract in order to change investment provider, and</w:t>
      </w:r>
    </w:p>
    <w:p>
      <w:pPr>
        <w:spacing w:after="0" w:line="1" w:lineRule="exact"/>
        <w:rPr>
          <w:sz w:val="20"/>
          <w:szCs w:val="20"/>
          <w:color w:val="auto"/>
        </w:rPr>
      </w:pPr>
    </w:p>
    <w:p>
      <w:pPr>
        <w:ind w:firstLine="3"/>
        <w:spacing w:after="0" w:line="266" w:lineRule="auto"/>
        <w:tabs>
          <w:tab w:leader="none" w:pos="32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of a contract upon short notice due to the loss of the Plan’s qualified status or material and adverse changes to the Plan’s provisions. The Committees are not aware of any such event being contemplated at this time.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9" w:name="page10"/>
    <w:bookmarkEnd w:id="9"/>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addition, certain events allow the contract issuer to terminate the contracts with the Plan and settle at an amount different from contract value. Such events include, but are not limited to: (i) a breach of material obligation under the contract, (ii) a material misrepresentation, and (iii) a material amendment to the agreement without the consent of the contract issuer.</w:t>
      </w:r>
    </w:p>
    <w:p>
      <w:pPr>
        <w:spacing w:after="0" w:line="183" w:lineRule="exact"/>
        <w:rPr>
          <w:sz w:val="20"/>
          <w:szCs w:val="20"/>
          <w:color w:val="auto"/>
        </w:rPr>
      </w:pPr>
    </w:p>
    <w:p>
      <w:pPr>
        <w:ind w:left="420" w:hanging="417"/>
        <w:spacing w:after="0"/>
        <w:tabs>
          <w:tab w:leader="none" w:pos="420" w:val="left"/>
        </w:tabs>
        <w:numPr>
          <w:ilvl w:val="0"/>
          <w:numId w:val="2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Oxy Stock Fund</w:t>
      </w:r>
    </w:p>
    <w:p>
      <w:pPr>
        <w:spacing w:after="0" w:line="228"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Oxy Stock Fund is a unitized stock fund which includes shares of Occidental’s common stock, valued at quoted market price, and may also include interest earning cash.</w:t>
      </w:r>
    </w:p>
    <w:p>
      <w:pPr>
        <w:spacing w:after="0" w:line="15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Information regarding the net assets and the significant components of the changes in net assets relating to the Oxy Stock Fund, which includes both participant-directed and non-participant-directed investments, is as follows (amounts in thousands):</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80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0" w:type="dxa"/>
            <w:vAlign w:val="bottom"/>
          </w:tcPr>
          <w:p>
            <w:pPr>
              <w:spacing w:after="0"/>
              <w:rPr>
                <w:sz w:val="1"/>
                <w:szCs w:val="1"/>
                <w:color w:val="auto"/>
              </w:rPr>
            </w:pPr>
          </w:p>
        </w:tc>
      </w:tr>
      <w:tr>
        <w:trPr>
          <w:trHeight w:val="212"/>
        </w:trPr>
        <w:tc>
          <w:tcPr>
            <w:tcW w:w="80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Net assets: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196"/>
        </w:trPr>
        <w:tc>
          <w:tcPr>
            <w:tcW w:w="80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Short-term investment fund</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10,126</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12,014</w:t>
            </w:r>
          </w:p>
        </w:tc>
        <w:tc>
          <w:tcPr>
            <w:tcW w:w="0" w:type="dxa"/>
            <w:vAlign w:val="bottom"/>
          </w:tcPr>
          <w:p>
            <w:pPr>
              <w:spacing w:after="0"/>
              <w:rPr>
                <w:sz w:val="1"/>
                <w:szCs w:val="1"/>
                <w:color w:val="auto"/>
              </w:rPr>
            </w:pPr>
          </w:p>
        </w:tc>
      </w:tr>
      <w:tr>
        <w:trPr>
          <w:trHeight w:val="219"/>
        </w:trPr>
        <w:tc>
          <w:tcPr>
            <w:tcW w:w="8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Occidental common stock</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509,069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583,387</w:t>
            </w:r>
          </w:p>
        </w:tc>
        <w:tc>
          <w:tcPr>
            <w:tcW w:w="0" w:type="dxa"/>
            <w:vAlign w:val="bottom"/>
          </w:tcPr>
          <w:p>
            <w:pPr>
              <w:spacing w:after="0"/>
              <w:rPr>
                <w:sz w:val="1"/>
                <w:szCs w:val="1"/>
                <w:color w:val="auto"/>
              </w:rPr>
            </w:pPr>
          </w:p>
        </w:tc>
      </w:tr>
      <w:tr>
        <w:trPr>
          <w:trHeight w:val="223"/>
        </w:trPr>
        <w:tc>
          <w:tcPr>
            <w:tcW w:w="8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and dividends receivable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12"/>
        </w:trPr>
        <w:tc>
          <w:tcPr>
            <w:tcW w:w="808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519,224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595,431</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80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0" w:type="dxa"/>
            <w:vAlign w:val="bottom"/>
          </w:tcPr>
          <w:p>
            <w:pPr>
              <w:spacing w:after="0"/>
              <w:rPr>
                <w:sz w:val="1"/>
                <w:szCs w:val="1"/>
                <w:color w:val="auto"/>
              </w:rPr>
            </w:pPr>
          </w:p>
        </w:tc>
      </w:tr>
      <w:tr>
        <w:trPr>
          <w:trHeight w:val="212"/>
        </w:trPr>
        <w:tc>
          <w:tcPr>
            <w:tcW w:w="80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Changes in net assets: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196"/>
        </w:trPr>
        <w:tc>
          <w:tcPr>
            <w:tcW w:w="80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Contributions</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115,592</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110,796</w:t>
            </w:r>
          </w:p>
        </w:tc>
        <w:tc>
          <w:tcPr>
            <w:tcW w:w="0" w:type="dxa"/>
            <w:vAlign w:val="bottom"/>
          </w:tcPr>
          <w:p>
            <w:pPr>
              <w:spacing w:after="0"/>
              <w:rPr>
                <w:sz w:val="1"/>
                <w:szCs w:val="1"/>
                <w:color w:val="auto"/>
              </w:rPr>
            </w:pPr>
          </w:p>
        </w:tc>
      </w:tr>
      <w:tr>
        <w:trPr>
          <w:trHeight w:val="219"/>
        </w:trPr>
        <w:tc>
          <w:tcPr>
            <w:tcW w:w="8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Investment income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10,585</w:t>
            </w:r>
          </w:p>
        </w:tc>
        <w:tc>
          <w:tcPr>
            <w:tcW w:w="0" w:type="dxa"/>
            <w:vAlign w:val="bottom"/>
          </w:tcPr>
          <w:p>
            <w:pPr>
              <w:spacing w:after="0"/>
              <w:rPr>
                <w:sz w:val="1"/>
                <w:szCs w:val="1"/>
                <w:color w:val="auto"/>
              </w:rPr>
            </w:pPr>
          </w:p>
        </w:tc>
      </w:tr>
      <w:tr>
        <w:trPr>
          <w:trHeight w:val="219"/>
        </w:trPr>
        <w:tc>
          <w:tcPr>
            <w:tcW w:w="8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depreciation in fair value of investments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(100,234)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(122,137)</w:t>
            </w:r>
          </w:p>
        </w:tc>
        <w:tc>
          <w:tcPr>
            <w:tcW w:w="0" w:type="dxa"/>
            <w:vAlign w:val="bottom"/>
          </w:tcPr>
          <w:p>
            <w:pPr>
              <w:spacing w:after="0"/>
              <w:rPr>
                <w:sz w:val="1"/>
                <w:szCs w:val="1"/>
                <w:color w:val="auto"/>
              </w:rPr>
            </w:pPr>
          </w:p>
        </w:tc>
      </w:tr>
      <w:tr>
        <w:trPr>
          <w:trHeight w:val="219"/>
        </w:trPr>
        <w:tc>
          <w:tcPr>
            <w:tcW w:w="8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Transfers between funds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(76,693)</w:t>
            </w:r>
          </w:p>
        </w:tc>
        <w:tc>
          <w:tcPr>
            <w:tcW w:w="0" w:type="dxa"/>
            <w:vAlign w:val="bottom"/>
          </w:tcPr>
          <w:p>
            <w:pPr>
              <w:spacing w:after="0"/>
              <w:rPr>
                <w:sz w:val="1"/>
                <w:szCs w:val="1"/>
                <w:color w:val="auto"/>
              </w:rPr>
            </w:pPr>
          </w:p>
        </w:tc>
      </w:tr>
      <w:tr>
        <w:trPr>
          <w:trHeight w:val="219"/>
        </w:trPr>
        <w:tc>
          <w:tcPr>
            <w:tcW w:w="8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Benefits paid to participants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(45,219)</w:t>
            </w:r>
          </w:p>
        </w:tc>
        <w:tc>
          <w:tcPr>
            <w:tcW w:w="0" w:type="dxa"/>
            <w:vAlign w:val="bottom"/>
          </w:tcPr>
          <w:p>
            <w:pPr>
              <w:spacing w:after="0"/>
              <w:rPr>
                <w:sz w:val="1"/>
                <w:szCs w:val="1"/>
                <w:color w:val="auto"/>
              </w:rPr>
            </w:pPr>
          </w:p>
        </w:tc>
      </w:tr>
      <w:tr>
        <w:trPr>
          <w:trHeight w:val="223"/>
        </w:trPr>
        <w:tc>
          <w:tcPr>
            <w:tcW w:w="8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Administrative expenses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0" w:type="dxa"/>
            <w:vAlign w:val="bottom"/>
          </w:tcPr>
          <w:p>
            <w:pPr>
              <w:spacing w:after="0"/>
              <w:rPr>
                <w:sz w:val="1"/>
                <w:szCs w:val="1"/>
                <w:color w:val="auto"/>
              </w:rPr>
            </w:pPr>
          </w:p>
        </w:tc>
      </w:tr>
      <w:tr>
        <w:trPr>
          <w:trHeight w:val="212"/>
        </w:trPr>
        <w:tc>
          <w:tcPr>
            <w:tcW w:w="808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Changes in net assets</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(76,207)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(122,828)</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0" w:name="page11"/>
    <w:bookmarkEnd w:id="10"/>
    <w:p>
      <w:pPr>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tables provide the fair value measurement information for the Oxy Stock Fund as of December 31, 2025 and 2024 as discussed in Note 3 (amounts in thousands).</w:t>
      </w:r>
    </w:p>
    <w:p>
      <w:pPr>
        <w:spacing w:after="0" w:line="4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080" w:type="dxa"/>
            <w:vAlign w:val="bottom"/>
          </w:tcPr>
          <w:p>
            <w:pPr>
              <w:spacing w:after="0"/>
              <w:rPr>
                <w:sz w:val="17"/>
                <w:szCs w:val="17"/>
                <w:color w:val="auto"/>
              </w:rPr>
            </w:pPr>
          </w:p>
        </w:tc>
        <w:tc>
          <w:tcPr>
            <w:tcW w:w="3420" w:type="dxa"/>
            <w:vAlign w:val="bottom"/>
            <w:gridSpan w:val="4"/>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Assets at fair value as of</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08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0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Common stock</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8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Occidental Petroleum Corporation</w:t>
            </w:r>
          </w:p>
        </w:tc>
        <w:tc>
          <w:tcPr>
            <w:tcW w:w="1320" w:type="dxa"/>
            <w:vAlign w:val="bottom"/>
            <w:tcBorders>
              <w:bottom w:val="single" w:sz="8" w:color="auto"/>
            </w:tcBorders>
          </w:tcPr>
          <w:p>
            <w:pPr>
              <w:jc w:val="right"/>
              <w:ind w:right="113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509,069</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11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509,069</w:t>
            </w:r>
          </w:p>
        </w:tc>
        <w:tc>
          <w:tcPr>
            <w:tcW w:w="0" w:type="dxa"/>
            <w:vAlign w:val="bottom"/>
          </w:tcPr>
          <w:p>
            <w:pPr>
              <w:spacing w:after="0"/>
              <w:rPr>
                <w:sz w:val="1"/>
                <w:szCs w:val="1"/>
                <w:color w:val="auto"/>
              </w:rPr>
            </w:pPr>
          </w:p>
        </w:tc>
      </w:tr>
      <w:tr>
        <w:trPr>
          <w:trHeight w:val="212"/>
        </w:trPr>
        <w:tc>
          <w:tcPr>
            <w:tcW w:w="70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Total assets the fair value hierarchy</w:t>
            </w:r>
          </w:p>
        </w:tc>
        <w:tc>
          <w:tcPr>
            <w:tcW w:w="1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509,069</w:t>
            </w:r>
          </w:p>
        </w:tc>
        <w:tc>
          <w:tcPr>
            <w:tcW w:w="1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509,069</w:t>
            </w:r>
          </w:p>
        </w:tc>
        <w:tc>
          <w:tcPr>
            <w:tcW w:w="0" w:type="dxa"/>
            <w:vAlign w:val="bottom"/>
          </w:tcPr>
          <w:p>
            <w:pPr>
              <w:spacing w:after="0"/>
              <w:rPr>
                <w:sz w:val="1"/>
                <w:szCs w:val="1"/>
                <w:color w:val="auto"/>
              </w:rPr>
            </w:pPr>
          </w:p>
        </w:tc>
      </w:tr>
      <w:tr>
        <w:trPr>
          <w:trHeight w:val="402"/>
        </w:trPr>
        <w:tc>
          <w:tcPr>
            <w:tcW w:w="7080" w:type="dxa"/>
            <w:vAlign w:val="bottom"/>
          </w:tcPr>
          <w:p>
            <w:pPr>
              <w:spacing w:after="0"/>
              <w:rPr>
                <w:sz w:val="20"/>
                <w:szCs w:val="20"/>
                <w:color w:val="auto"/>
              </w:rPr>
            </w:pPr>
            <w:r>
              <w:rPr>
                <w:rFonts w:ascii="Times New Roman" w:cs="Times New Roman" w:eastAsia="Times New Roman" w:hAnsi="Times New Roman"/>
                <w:sz w:val="17"/>
                <w:szCs w:val="17"/>
                <w:color w:val="auto"/>
              </w:rPr>
              <w:t>Investments measured at NAV:</w:t>
            </w: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Short-term investment fund</w:t>
            </w: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10,126</w:t>
            </w:r>
          </w:p>
        </w:tc>
        <w:tc>
          <w:tcPr>
            <w:tcW w:w="0" w:type="dxa"/>
            <w:vAlign w:val="bottom"/>
          </w:tcPr>
          <w:p>
            <w:pPr>
              <w:spacing w:after="0"/>
              <w:rPr>
                <w:sz w:val="1"/>
                <w:szCs w:val="1"/>
                <w:color w:val="auto"/>
              </w:rPr>
            </w:pPr>
          </w:p>
        </w:tc>
      </w:tr>
      <w:tr>
        <w:trPr>
          <w:trHeight w:val="212"/>
        </w:trPr>
        <w:tc>
          <w:tcPr>
            <w:tcW w:w="70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Assets at fair value</w:t>
            </w:r>
          </w:p>
        </w:tc>
        <w:tc>
          <w:tcPr>
            <w:tcW w:w="1320" w:type="dxa"/>
            <w:vAlign w:val="bottom"/>
            <w:tcBorders>
              <w:bottom w:val="single" w:sz="8" w:color="auto"/>
            </w:tcBorders>
          </w:tcPr>
          <w:p>
            <w:pPr>
              <w:jc w:val="right"/>
              <w:ind w:right="113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509,069</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11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519,195</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080" w:type="dxa"/>
            <w:vAlign w:val="bottom"/>
          </w:tcPr>
          <w:p>
            <w:pPr>
              <w:spacing w:after="0"/>
              <w:rPr>
                <w:sz w:val="16"/>
                <w:szCs w:val="16"/>
                <w:color w:val="auto"/>
              </w:rPr>
            </w:pPr>
          </w:p>
        </w:tc>
        <w:tc>
          <w:tcPr>
            <w:tcW w:w="3420" w:type="dxa"/>
            <w:vAlign w:val="bottom"/>
            <w:tcBorders>
              <w:top w:val="single" w:sz="8" w:color="auto"/>
            </w:tcBorders>
            <w:gridSpan w:val="4"/>
          </w:tcPr>
          <w:p>
            <w:pPr>
              <w:jc w:val="right"/>
              <w:ind w:right="374"/>
              <w:spacing w:after="0" w:line="186" w:lineRule="exact"/>
              <w:rPr>
                <w:sz w:val="20"/>
                <w:szCs w:val="20"/>
                <w:color w:val="auto"/>
              </w:rPr>
            </w:pPr>
            <w:r>
              <w:rPr>
                <w:rFonts w:ascii="Times New Roman" w:cs="Times New Roman" w:eastAsia="Times New Roman" w:hAnsi="Times New Roman"/>
                <w:sz w:val="17"/>
                <w:szCs w:val="17"/>
                <w:b w:val="1"/>
                <w:bCs w:val="1"/>
                <w:color w:val="auto"/>
              </w:rPr>
              <w:t>Assets at fair value as of</w:t>
            </w:r>
          </w:p>
        </w:tc>
        <w:tc>
          <w:tcPr>
            <w:tcW w:w="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08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0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Common stock</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8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Occidental Petroleum Corporation</w:t>
            </w:r>
          </w:p>
        </w:tc>
        <w:tc>
          <w:tcPr>
            <w:tcW w:w="1320" w:type="dxa"/>
            <w:vAlign w:val="bottom"/>
            <w:tcBorders>
              <w:bottom w:val="single" w:sz="8" w:color="auto"/>
            </w:tcBorders>
          </w:tcPr>
          <w:p>
            <w:pPr>
              <w:jc w:val="right"/>
              <w:ind w:right="113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583,387</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11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583,387</w:t>
            </w:r>
          </w:p>
        </w:tc>
        <w:tc>
          <w:tcPr>
            <w:tcW w:w="0" w:type="dxa"/>
            <w:vAlign w:val="bottom"/>
          </w:tcPr>
          <w:p>
            <w:pPr>
              <w:spacing w:after="0"/>
              <w:rPr>
                <w:sz w:val="1"/>
                <w:szCs w:val="1"/>
                <w:color w:val="auto"/>
              </w:rPr>
            </w:pPr>
          </w:p>
        </w:tc>
      </w:tr>
      <w:tr>
        <w:trPr>
          <w:trHeight w:val="212"/>
        </w:trPr>
        <w:tc>
          <w:tcPr>
            <w:tcW w:w="70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Total assets the fair value hierarchy</w:t>
            </w:r>
          </w:p>
        </w:tc>
        <w:tc>
          <w:tcPr>
            <w:tcW w:w="1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583,387</w:t>
            </w:r>
          </w:p>
        </w:tc>
        <w:tc>
          <w:tcPr>
            <w:tcW w:w="1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583,387</w:t>
            </w:r>
          </w:p>
        </w:tc>
        <w:tc>
          <w:tcPr>
            <w:tcW w:w="0" w:type="dxa"/>
            <w:vAlign w:val="bottom"/>
          </w:tcPr>
          <w:p>
            <w:pPr>
              <w:spacing w:after="0"/>
              <w:rPr>
                <w:sz w:val="1"/>
                <w:szCs w:val="1"/>
                <w:color w:val="auto"/>
              </w:rPr>
            </w:pPr>
          </w:p>
        </w:tc>
      </w:tr>
      <w:tr>
        <w:trPr>
          <w:trHeight w:val="402"/>
        </w:trPr>
        <w:tc>
          <w:tcPr>
            <w:tcW w:w="7080" w:type="dxa"/>
            <w:vAlign w:val="bottom"/>
          </w:tcPr>
          <w:p>
            <w:pPr>
              <w:spacing w:after="0"/>
              <w:rPr>
                <w:sz w:val="20"/>
                <w:szCs w:val="20"/>
                <w:color w:val="auto"/>
              </w:rPr>
            </w:pPr>
            <w:r>
              <w:rPr>
                <w:rFonts w:ascii="Times New Roman" w:cs="Times New Roman" w:eastAsia="Times New Roman" w:hAnsi="Times New Roman"/>
                <w:sz w:val="17"/>
                <w:szCs w:val="17"/>
                <w:color w:val="auto"/>
              </w:rPr>
              <w:t>Investments measured at NAV:</w:t>
            </w: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Short-term investment fund</w:t>
            </w: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12,014</w:t>
            </w:r>
          </w:p>
        </w:tc>
        <w:tc>
          <w:tcPr>
            <w:tcW w:w="0" w:type="dxa"/>
            <w:vAlign w:val="bottom"/>
          </w:tcPr>
          <w:p>
            <w:pPr>
              <w:spacing w:after="0"/>
              <w:rPr>
                <w:sz w:val="1"/>
                <w:szCs w:val="1"/>
                <w:color w:val="auto"/>
              </w:rPr>
            </w:pPr>
          </w:p>
        </w:tc>
      </w:tr>
      <w:tr>
        <w:trPr>
          <w:trHeight w:val="212"/>
        </w:trPr>
        <w:tc>
          <w:tcPr>
            <w:tcW w:w="70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Assets at fair value</w:t>
            </w:r>
          </w:p>
        </w:tc>
        <w:tc>
          <w:tcPr>
            <w:tcW w:w="1320" w:type="dxa"/>
            <w:vAlign w:val="bottom"/>
            <w:tcBorders>
              <w:bottom w:val="single" w:sz="8" w:color="auto"/>
            </w:tcBorders>
          </w:tcPr>
          <w:p>
            <w:pPr>
              <w:jc w:val="right"/>
              <w:ind w:right="113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583,387</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11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595,401</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ind w:left="420" w:hanging="417"/>
        <w:spacing w:after="0"/>
        <w:tabs>
          <w:tab w:leader="none" w:pos="420" w:val="left"/>
        </w:tabs>
        <w:numPr>
          <w:ilvl w:val="0"/>
          <w:numId w:val="2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Plan Interest in Master Trust Accounts</w:t>
      </w:r>
    </w:p>
    <w:p>
      <w:pPr>
        <w:spacing w:after="0" w:line="228"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Plan participates in the Occidental Petroleum Corporation Defined Contribution Plan Master Trust (DCP Master Trust), which invests in various funds that are available to participants including Target Date Funds, Index Funds, and Active Funds. The Plan also invests in a synthetic GIC fund managed by Invesco (GIC MTIA). The Plan and the Occidental Retirement Plan each own an undivided interest in the DCP Master Trust and the GIC MTIA.</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808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The following table presents the Plan interest in each master trust account (amounts in thousands):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8"/>
        </w:trPr>
        <w:tc>
          <w:tcPr>
            <w:tcW w:w="8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0" w:type="dxa"/>
            <w:vAlign w:val="bottom"/>
          </w:tcPr>
          <w:p>
            <w:pPr>
              <w:spacing w:after="0"/>
              <w:rPr>
                <w:sz w:val="1"/>
                <w:szCs w:val="1"/>
                <w:color w:val="auto"/>
              </w:rPr>
            </w:pPr>
          </w:p>
        </w:tc>
      </w:tr>
      <w:tr>
        <w:trPr>
          <w:trHeight w:val="212"/>
        </w:trPr>
        <w:tc>
          <w:tcPr>
            <w:tcW w:w="80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Plan interest in master trust accounts: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196"/>
        </w:trPr>
        <w:tc>
          <w:tcPr>
            <w:tcW w:w="80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DCP Master Trust, at fair value</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3,136,985</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2,649,136</w:t>
            </w:r>
          </w:p>
        </w:tc>
        <w:tc>
          <w:tcPr>
            <w:tcW w:w="0" w:type="dxa"/>
            <w:vAlign w:val="bottom"/>
          </w:tcPr>
          <w:p>
            <w:pPr>
              <w:spacing w:after="0"/>
              <w:rPr>
                <w:sz w:val="1"/>
                <w:szCs w:val="1"/>
                <w:color w:val="auto"/>
              </w:rPr>
            </w:pPr>
          </w:p>
        </w:tc>
      </w:tr>
      <w:tr>
        <w:trPr>
          <w:trHeight w:val="223"/>
        </w:trPr>
        <w:tc>
          <w:tcPr>
            <w:tcW w:w="8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GIC MTIA, at contract value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229,665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258,996</w:t>
            </w:r>
          </w:p>
        </w:tc>
        <w:tc>
          <w:tcPr>
            <w:tcW w:w="0" w:type="dxa"/>
            <w:vAlign w:val="bottom"/>
          </w:tcPr>
          <w:p>
            <w:pPr>
              <w:spacing w:after="0"/>
              <w:rPr>
                <w:sz w:val="1"/>
                <w:szCs w:val="1"/>
                <w:color w:val="auto"/>
              </w:rPr>
            </w:pPr>
          </w:p>
        </w:tc>
      </w:tr>
      <w:tr>
        <w:trPr>
          <w:trHeight w:val="212"/>
        </w:trPr>
        <w:tc>
          <w:tcPr>
            <w:tcW w:w="808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Net assets</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3,366,650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2,908,132</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8" w:right="339" w:bottom="1440" w:gutter="0" w:footer="0" w:header="0"/>
        </w:sectPr>
      </w:pPr>
    </w:p>
    <w:bookmarkStart w:id="11" w:name="page12"/>
    <w:bookmarkEnd w:id="11"/>
    <w:p>
      <w:pPr>
        <w:ind w:right="100"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presents the fair value of net assets held by the DCP Master Trust, in which the Plan owns an undivided interest (amounts in thousands):</w:t>
      </w:r>
    </w:p>
    <w:p>
      <w:pPr>
        <w:spacing w:after="0" w:line="70" w:lineRule="exact"/>
        <w:rPr>
          <w:sz w:val="20"/>
          <w:szCs w:val="20"/>
          <w:color w:val="auto"/>
        </w:rPr>
      </w:pPr>
    </w:p>
    <w:tbl>
      <w:tblPr>
        <w:tblLayout w:type="fixed"/>
        <w:tblInd w:w="940" w:type="dxa"/>
        <w:tblCellMar>
          <w:top w:w="0" w:type="dxa"/>
          <w:left w:w="0" w:type="dxa"/>
          <w:bottom w:w="0" w:type="dxa"/>
          <w:right w:w="0" w:type="dxa"/>
        </w:tblCellMar>
      </w:tblPr>
      <w:tr>
        <w:trPr>
          <w:trHeight w:val="227"/>
        </w:trPr>
        <w:tc>
          <w:tcPr>
            <w:tcW w:w="4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1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Master Trust</w:t>
            </w:r>
          </w:p>
        </w:tc>
        <w:tc>
          <w:tcPr>
            <w:tcW w:w="140" w:type="dxa"/>
            <w:vAlign w:val="bottom"/>
          </w:tcPr>
          <w:p>
            <w:pPr>
              <w:spacing w:after="0"/>
              <w:rPr>
                <w:sz w:val="13"/>
                <w:szCs w:val="13"/>
                <w:color w:val="auto"/>
              </w:rPr>
            </w:pPr>
          </w:p>
        </w:tc>
        <w:tc>
          <w:tcPr>
            <w:tcW w:w="1380" w:type="dxa"/>
            <w:vAlign w:val="bottom"/>
          </w:tcPr>
          <w:p>
            <w:pPr>
              <w:jc w:val="center"/>
              <w:ind w:right="54"/>
              <w:spacing w:after="0" w:line="161" w:lineRule="exact"/>
              <w:rPr>
                <w:sz w:val="20"/>
                <w:szCs w:val="20"/>
                <w:color w:val="auto"/>
              </w:rPr>
            </w:pPr>
            <w:r>
              <w:rPr>
                <w:rFonts w:ascii="Times New Roman" w:cs="Times New Roman" w:eastAsia="Times New Roman" w:hAnsi="Times New Roman"/>
                <w:sz w:val="17"/>
                <w:szCs w:val="17"/>
                <w:b w:val="1"/>
                <w:bCs w:val="1"/>
                <w:color w:val="auto"/>
              </w:rPr>
              <w:t>Plan's Interest in</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Master Trust</w:t>
            </w:r>
          </w:p>
        </w:tc>
        <w:tc>
          <w:tcPr>
            <w:tcW w:w="140" w:type="dxa"/>
            <w:vAlign w:val="bottom"/>
          </w:tcPr>
          <w:p>
            <w:pPr>
              <w:spacing w:after="0"/>
              <w:rPr>
                <w:sz w:val="13"/>
                <w:szCs w:val="13"/>
                <w:color w:val="auto"/>
              </w:rPr>
            </w:pPr>
          </w:p>
        </w:tc>
        <w:tc>
          <w:tcPr>
            <w:tcW w:w="880" w:type="dxa"/>
            <w:vAlign w:val="bottom"/>
          </w:tcPr>
          <w:p>
            <w:pPr>
              <w:jc w:val="right"/>
              <w:spacing w:after="0" w:line="161" w:lineRule="exact"/>
              <w:rPr>
                <w:sz w:val="20"/>
                <w:szCs w:val="20"/>
                <w:color w:val="auto"/>
              </w:rPr>
            </w:pPr>
            <w:r>
              <w:rPr>
                <w:rFonts w:ascii="Times New Roman" w:cs="Times New Roman" w:eastAsia="Times New Roman" w:hAnsi="Times New Roman"/>
                <w:sz w:val="17"/>
                <w:szCs w:val="17"/>
                <w:b w:val="1"/>
                <w:bCs w:val="1"/>
                <w:color w:val="auto"/>
              </w:rPr>
              <w:t>Plan's Inter</w:t>
            </w:r>
          </w:p>
        </w:tc>
        <w:tc>
          <w:tcPr>
            <w:tcW w:w="0" w:type="dxa"/>
            <w:vAlign w:val="bottom"/>
          </w:tcPr>
          <w:p>
            <w:pPr>
              <w:spacing w:after="0"/>
              <w:rPr>
                <w:sz w:val="1"/>
                <w:szCs w:val="1"/>
                <w:color w:val="auto"/>
              </w:rPr>
            </w:pPr>
          </w:p>
        </w:tc>
      </w:tr>
      <w:tr>
        <w:trPr>
          <w:trHeight w:val="168"/>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40"/>
              <w:spacing w:after="0" w:line="167" w:lineRule="exact"/>
              <w:rPr>
                <w:sz w:val="20"/>
                <w:szCs w:val="20"/>
                <w:color w:val="auto"/>
              </w:rPr>
            </w:pPr>
            <w:r>
              <w:rPr>
                <w:rFonts w:ascii="Times New Roman" w:cs="Times New Roman" w:eastAsia="Times New Roman" w:hAnsi="Times New Roman"/>
                <w:sz w:val="17"/>
                <w:szCs w:val="17"/>
                <w:b w:val="1"/>
                <w:bCs w:val="1"/>
                <w:color w:val="auto"/>
                <w:w w:val="99"/>
              </w:rPr>
              <w:t>Master Trust</w:t>
            </w:r>
          </w:p>
        </w:tc>
        <w:tc>
          <w:tcPr>
            <w:tcW w:w="2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b w:val="1"/>
                <w:bCs w:val="1"/>
                <w:color w:val="auto"/>
              </w:rPr>
              <w:t>Master Tr</w:t>
            </w:r>
          </w:p>
        </w:tc>
        <w:tc>
          <w:tcPr>
            <w:tcW w:w="0" w:type="dxa"/>
            <w:vAlign w:val="bottom"/>
          </w:tcPr>
          <w:p>
            <w:pPr>
              <w:spacing w:after="0"/>
              <w:rPr>
                <w:sz w:val="1"/>
                <w:szCs w:val="1"/>
                <w:color w:val="auto"/>
              </w:rPr>
            </w:pPr>
          </w:p>
        </w:tc>
      </w:tr>
      <w:tr>
        <w:trPr>
          <w:trHeight w:val="227"/>
        </w:trPr>
        <w:tc>
          <w:tcPr>
            <w:tcW w:w="4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Balances</w:t>
            </w:r>
          </w:p>
        </w:tc>
        <w:tc>
          <w:tcPr>
            <w:tcW w:w="140" w:type="dxa"/>
            <w:vAlign w:val="bottom"/>
          </w:tcPr>
          <w:p>
            <w:pPr>
              <w:spacing w:after="0"/>
              <w:rPr>
                <w:sz w:val="19"/>
                <w:szCs w:val="19"/>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Balances</w:t>
            </w:r>
          </w:p>
        </w:tc>
        <w:tc>
          <w:tcPr>
            <w:tcW w:w="200" w:type="dxa"/>
            <w:vAlign w:val="bottom"/>
          </w:tcPr>
          <w:p>
            <w:pPr>
              <w:spacing w:after="0"/>
              <w:rPr>
                <w:sz w:val="19"/>
                <w:szCs w:val="19"/>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Balances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Balance</w:t>
            </w:r>
          </w:p>
        </w:tc>
        <w:tc>
          <w:tcPr>
            <w:tcW w:w="0" w:type="dxa"/>
            <w:vAlign w:val="bottom"/>
          </w:tcPr>
          <w:p>
            <w:pPr>
              <w:spacing w:after="0"/>
              <w:rPr>
                <w:sz w:val="1"/>
                <w:szCs w:val="1"/>
                <w:color w:val="auto"/>
              </w:rPr>
            </w:pPr>
          </w:p>
        </w:tc>
      </w:tr>
      <w:tr>
        <w:trPr>
          <w:trHeight w:val="201"/>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Assets of DCP Master Trust:</w:t>
            </w:r>
          </w:p>
        </w:tc>
        <w:tc>
          <w:tcPr>
            <w:tcW w:w="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4520" w:type="dxa"/>
            <w:vAlign w:val="bottom"/>
          </w:tcPr>
          <w:p>
            <w:pPr>
              <w:ind w:left="340"/>
              <w:spacing w:after="0" w:line="172" w:lineRule="exact"/>
              <w:rPr>
                <w:sz w:val="20"/>
                <w:szCs w:val="20"/>
                <w:color w:val="auto"/>
              </w:rPr>
            </w:pPr>
            <w:r>
              <w:rPr>
                <w:rFonts w:ascii="Times New Roman" w:cs="Times New Roman" w:eastAsia="Times New Roman" w:hAnsi="Times New Roman"/>
                <w:sz w:val="17"/>
                <w:szCs w:val="17"/>
                <w:color w:val="auto"/>
              </w:rPr>
              <w:t>Investments at fair value as determined by quoted market</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price:</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2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Short-term investment fund</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2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Common/collective trusts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3,850,692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2,680,569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3,208,851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19"/>
        </w:trPr>
        <w:tc>
          <w:tcPr>
            <w:tcW w:w="452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Common stocks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Mutual funds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602,866</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419,671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564,296</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9"/>
        </w:trPr>
        <w:tc>
          <w:tcPr>
            <w:tcW w:w="452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Total investments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4,505,970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3,136,725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3,796,816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19"/>
        </w:trPr>
        <w:tc>
          <w:tcPr>
            <w:tcW w:w="45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Receivables: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Accrued investment income</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52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4,506,780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3,137,289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3,797,294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196"/>
        </w:trPr>
        <w:tc>
          <w:tcPr>
            <w:tcW w:w="4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Liabilities:</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5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Due to broker for securities purchased</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436</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52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2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Net assets of DCP Master Trust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4,506,344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3,136,985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3,797,104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Plan’s percentage interest in DCP Master Trust net assets</w:t>
            </w: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5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right="100"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presents the changes in the net assets of the DCP Master Trust, in which the Plan owns an undivided interest, as stated in the table above (amounts in thousands):</w:t>
      </w:r>
    </w:p>
    <w:p>
      <w:pPr>
        <w:spacing w:after="0" w:line="70" w:lineRule="exact"/>
        <w:rPr>
          <w:sz w:val="20"/>
          <w:szCs w:val="20"/>
          <w:color w:val="auto"/>
        </w:rPr>
      </w:pPr>
    </w:p>
    <w:tbl>
      <w:tblPr>
        <w:tblLayout w:type="fixed"/>
        <w:tblInd w:w="640" w:type="dxa"/>
        <w:tblCellMar>
          <w:top w:w="0" w:type="dxa"/>
          <w:left w:w="0" w:type="dxa"/>
          <w:bottom w:w="0" w:type="dxa"/>
          <w:right w:w="0" w:type="dxa"/>
        </w:tblCellMar>
      </w:tblPr>
      <w:tr>
        <w:trPr>
          <w:trHeight w:val="227"/>
        </w:trPr>
        <w:tc>
          <w:tcPr>
            <w:tcW w:w="80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4"/>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0" w:type="dxa"/>
            <w:vAlign w:val="bottom"/>
          </w:tcPr>
          <w:p>
            <w:pPr>
              <w:spacing w:after="0"/>
              <w:rPr>
                <w:sz w:val="1"/>
                <w:szCs w:val="1"/>
                <w:color w:val="auto"/>
              </w:rPr>
            </w:pPr>
          </w:p>
        </w:tc>
      </w:tr>
      <w:tr>
        <w:trPr>
          <w:trHeight w:val="212"/>
        </w:trPr>
        <w:tc>
          <w:tcPr>
            <w:tcW w:w="80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Net appreciation in fair value of investments: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196"/>
        </w:trPr>
        <w:tc>
          <w:tcPr>
            <w:tcW w:w="80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Common/collective trusts</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613,220</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19"/>
        </w:trPr>
        <w:tc>
          <w:tcPr>
            <w:tcW w:w="8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Common stocks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Mutual funds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35,215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8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Net appreciation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653,797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19"/>
        </w:trPr>
        <w:tc>
          <w:tcPr>
            <w:tcW w:w="8080" w:type="dxa"/>
            <w:vAlign w:val="bottom"/>
          </w:tcPr>
          <w:p>
            <w:pPr>
              <w:spacing w:after="0"/>
              <w:rPr>
                <w:sz w:val="20"/>
                <w:szCs w:val="20"/>
                <w:color w:val="auto"/>
              </w:rPr>
            </w:pPr>
            <w:r>
              <w:rPr>
                <w:rFonts w:ascii="Times New Roman" w:cs="Times New Roman" w:eastAsia="Times New Roman" w:hAnsi="Times New Roman"/>
                <w:sz w:val="17"/>
                <w:szCs w:val="17"/>
                <w:color w:val="auto"/>
              </w:rPr>
              <w:t>Interest and dividends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80" w:type="dxa"/>
            <w:vAlign w:val="bottom"/>
          </w:tcPr>
          <w:p>
            <w:pPr>
              <w:spacing w:after="0"/>
              <w:rPr>
                <w:sz w:val="20"/>
                <w:szCs w:val="20"/>
                <w:color w:val="auto"/>
              </w:rPr>
            </w:pPr>
            <w:r>
              <w:rPr>
                <w:rFonts w:ascii="Times New Roman" w:cs="Times New Roman" w:eastAsia="Times New Roman" w:hAnsi="Times New Roman"/>
                <w:sz w:val="17"/>
                <w:szCs w:val="17"/>
                <w:color w:val="auto"/>
              </w:rPr>
              <w:t>Less investment expenses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08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Investment income</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669,854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453"/>
        </w:trPr>
        <w:tc>
          <w:tcPr>
            <w:tcW w:w="8080" w:type="dxa"/>
            <w:vAlign w:val="bottom"/>
          </w:tcPr>
          <w:p>
            <w:pPr>
              <w:spacing w:after="0"/>
              <w:rPr>
                <w:sz w:val="20"/>
                <w:szCs w:val="20"/>
                <w:color w:val="auto"/>
              </w:rPr>
            </w:pPr>
            <w:r>
              <w:rPr>
                <w:rFonts w:ascii="Times New Roman" w:cs="Times New Roman" w:eastAsia="Times New Roman" w:hAnsi="Times New Roman"/>
                <w:sz w:val="17"/>
                <w:szCs w:val="17"/>
                <w:color w:val="auto"/>
              </w:rPr>
              <w:t>Transfers in</w:t>
            </w: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581,926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23"/>
        </w:trPr>
        <w:tc>
          <w:tcPr>
            <w:tcW w:w="8080" w:type="dxa"/>
            <w:vAlign w:val="bottom"/>
          </w:tcPr>
          <w:p>
            <w:pPr>
              <w:spacing w:after="0"/>
              <w:rPr>
                <w:sz w:val="20"/>
                <w:szCs w:val="20"/>
                <w:color w:val="auto"/>
              </w:rPr>
            </w:pPr>
            <w:r>
              <w:rPr>
                <w:rFonts w:ascii="Times New Roman" w:cs="Times New Roman" w:eastAsia="Times New Roman" w:hAnsi="Times New Roman"/>
                <w:sz w:val="17"/>
                <w:szCs w:val="17"/>
                <w:color w:val="auto"/>
              </w:rPr>
              <w:t>Transfers out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(542,540)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2"/>
        </w:trPr>
        <w:tc>
          <w:tcPr>
            <w:tcW w:w="808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Changes in net assets</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709,240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858" w:right="239" w:bottom="1440" w:gutter="0" w:footer="0" w:header="0"/>
        </w:sectPr>
      </w:pPr>
    </w:p>
    <w:bookmarkStart w:id="12" w:name="page13"/>
    <w:bookmarkEnd w:id="12"/>
    <w:p>
      <w:pPr>
        <w:ind w:left="620"/>
        <w:spacing w:after="0"/>
        <w:rPr>
          <w:sz w:val="20"/>
          <w:szCs w:val="20"/>
          <w:color w:val="auto"/>
        </w:rPr>
      </w:pPr>
      <w:r>
        <w:rPr>
          <w:rFonts w:ascii="Times New Roman" w:cs="Times New Roman" w:eastAsia="Times New Roman" w:hAnsi="Times New Roman"/>
          <w:sz w:val="17"/>
          <w:szCs w:val="17"/>
          <w:color w:val="auto"/>
        </w:rPr>
        <w:t>The following tables provide fair value measurement information for the DCP Master Trust, in which the Plan owns an undivided interest as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2025 and 2024, as discussed in Note 3 (amounts in thousands):</w:t>
      </w:r>
    </w:p>
    <w:p>
      <w:pPr>
        <w:spacing w:after="0" w:line="261" w:lineRule="exact"/>
        <w:rPr>
          <w:sz w:val="20"/>
          <w:szCs w:val="20"/>
          <w:color w:val="auto"/>
        </w:rPr>
      </w:pPr>
    </w:p>
    <w:tbl>
      <w:tblPr>
        <w:tblLayout w:type="fixed"/>
        <w:tblInd w:w="640" w:type="dxa"/>
        <w:tblCellMar>
          <w:top w:w="0" w:type="dxa"/>
          <w:left w:w="0" w:type="dxa"/>
          <w:bottom w:w="0" w:type="dxa"/>
          <w:right w:w="0" w:type="dxa"/>
        </w:tblCellMar>
      </w:tblPr>
      <w:tr>
        <w:trPr>
          <w:trHeight w:val="227"/>
        </w:trPr>
        <w:tc>
          <w:tcPr>
            <w:tcW w:w="6440" w:type="dxa"/>
            <w:vAlign w:val="bottom"/>
          </w:tcPr>
          <w:p>
            <w:pPr>
              <w:spacing w:after="0"/>
              <w:rPr>
                <w:sz w:val="19"/>
                <w:szCs w:val="19"/>
                <w:color w:val="auto"/>
              </w:rPr>
            </w:pPr>
          </w:p>
        </w:tc>
        <w:tc>
          <w:tcPr>
            <w:tcW w:w="4260" w:type="dxa"/>
            <w:vAlign w:val="bottom"/>
            <w:tcBorders>
              <w:bottom w:val="single" w:sz="8" w:color="auto"/>
            </w:tcBorders>
            <w:gridSpan w:val="5"/>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Assets at fair value as of December 31, 2025</w:t>
            </w:r>
          </w:p>
        </w:tc>
      </w:tr>
      <w:tr>
        <w:trPr>
          <w:trHeight w:val="209"/>
        </w:trPr>
        <w:tc>
          <w:tcPr>
            <w:tcW w:w="6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19"/>
        </w:trPr>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Common stocks</w:t>
            </w:r>
          </w:p>
        </w:tc>
        <w:tc>
          <w:tcPr>
            <w:tcW w:w="1380" w:type="dxa"/>
            <w:vAlign w:val="bottom"/>
          </w:tcPr>
          <w:p>
            <w:pPr>
              <w:jc w:val="right"/>
              <w:ind w:right="119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51,619</w:t>
            </w:r>
          </w:p>
        </w:tc>
        <w:tc>
          <w:tcPr>
            <w:tcW w:w="20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51,619</w:t>
            </w:r>
          </w:p>
        </w:tc>
      </w:tr>
      <w:tr>
        <w:trPr>
          <w:trHeight w:val="223"/>
        </w:trPr>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Mutual funds</w:t>
            </w:r>
          </w:p>
        </w:tc>
        <w:tc>
          <w:tcPr>
            <w:tcW w:w="1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602,866</w:t>
            </w:r>
          </w:p>
        </w:tc>
        <w:tc>
          <w:tcPr>
            <w:tcW w:w="2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602,866</w:t>
            </w:r>
          </w:p>
        </w:tc>
      </w:tr>
      <w:tr>
        <w:trPr>
          <w:trHeight w:val="216"/>
        </w:trPr>
        <w:tc>
          <w:tcPr>
            <w:tcW w:w="64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Total assets in the fair value hierarchy</w:t>
            </w: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654,485</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654,485</w:t>
            </w:r>
          </w:p>
        </w:tc>
      </w:tr>
      <w:tr>
        <w:trPr>
          <w:trHeight w:val="457"/>
        </w:trPr>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Investments measured at NAV:</w:t>
            </w: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9"/>
        </w:trPr>
        <w:tc>
          <w:tcPr>
            <w:tcW w:w="64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Short-term investment fund</w:t>
            </w:r>
          </w:p>
        </w:tc>
        <w:tc>
          <w:tcPr>
            <w:tcW w:w="1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w:t>
            </w:r>
          </w:p>
        </w:tc>
      </w:tr>
      <w:tr>
        <w:trPr>
          <w:trHeight w:val="223"/>
        </w:trPr>
        <w:tc>
          <w:tcPr>
            <w:tcW w:w="64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Common/collective trusts</w:t>
            </w:r>
          </w:p>
        </w:tc>
        <w:tc>
          <w:tcPr>
            <w:tcW w:w="1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3,850,692</w:t>
            </w:r>
          </w:p>
        </w:tc>
      </w:tr>
      <w:tr>
        <w:trPr>
          <w:trHeight w:val="212"/>
        </w:trPr>
        <w:tc>
          <w:tcPr>
            <w:tcW w:w="64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Assets at fair value</w:t>
            </w:r>
          </w:p>
        </w:tc>
        <w:tc>
          <w:tcPr>
            <w:tcW w:w="1380" w:type="dxa"/>
            <w:vAlign w:val="bottom"/>
            <w:tcBorders>
              <w:bottom w:val="single" w:sz="8" w:color="auto"/>
            </w:tcBorders>
          </w:tcPr>
          <w:p>
            <w:pPr>
              <w:jc w:val="right"/>
              <w:ind w:right="119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654,485</w:t>
            </w:r>
          </w:p>
        </w:tc>
        <w:tc>
          <w:tcPr>
            <w:tcW w:w="20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4,505,970</w:t>
            </w:r>
          </w:p>
        </w:tc>
      </w:tr>
      <w:tr>
        <w:trPr>
          <w:trHeight w:val="20"/>
        </w:trPr>
        <w:tc>
          <w:tcPr>
            <w:tcW w:w="64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41" w:lineRule="exact"/>
        <w:rPr>
          <w:sz w:val="20"/>
          <w:szCs w:val="20"/>
          <w:color w:val="auto"/>
        </w:rPr>
      </w:pPr>
    </w:p>
    <w:tbl>
      <w:tblPr>
        <w:tblLayout w:type="fixed"/>
        <w:tblInd w:w="640" w:type="dxa"/>
        <w:tblCellMar>
          <w:top w:w="0" w:type="dxa"/>
          <w:left w:w="0" w:type="dxa"/>
          <w:bottom w:w="0" w:type="dxa"/>
          <w:right w:w="0" w:type="dxa"/>
        </w:tblCellMar>
      </w:tblPr>
      <w:tr>
        <w:trPr>
          <w:trHeight w:val="227"/>
        </w:trPr>
        <w:tc>
          <w:tcPr>
            <w:tcW w:w="6440" w:type="dxa"/>
            <w:vAlign w:val="bottom"/>
          </w:tcPr>
          <w:p>
            <w:pPr>
              <w:spacing w:after="0"/>
              <w:rPr>
                <w:sz w:val="19"/>
                <w:szCs w:val="19"/>
                <w:color w:val="auto"/>
              </w:rPr>
            </w:pPr>
          </w:p>
        </w:tc>
        <w:tc>
          <w:tcPr>
            <w:tcW w:w="4260" w:type="dxa"/>
            <w:vAlign w:val="bottom"/>
            <w:tcBorders>
              <w:bottom w:val="single" w:sz="8" w:color="auto"/>
            </w:tcBorders>
            <w:gridSpan w:val="5"/>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Assets at fair value as of December 31, 2024</w:t>
            </w:r>
          </w:p>
        </w:tc>
      </w:tr>
      <w:tr>
        <w:trPr>
          <w:trHeight w:val="209"/>
        </w:trPr>
        <w:tc>
          <w:tcPr>
            <w:tcW w:w="6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19"/>
        </w:trPr>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Common stocks</w:t>
            </w:r>
          </w:p>
        </w:tc>
        <w:tc>
          <w:tcPr>
            <w:tcW w:w="1380" w:type="dxa"/>
            <w:vAlign w:val="bottom"/>
          </w:tcPr>
          <w:p>
            <w:pPr>
              <w:jc w:val="right"/>
              <w:ind w:right="119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22,797</w:t>
            </w:r>
          </w:p>
        </w:tc>
        <w:tc>
          <w:tcPr>
            <w:tcW w:w="20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22,797</w:t>
            </w:r>
          </w:p>
        </w:tc>
      </w:tr>
      <w:tr>
        <w:trPr>
          <w:trHeight w:val="223"/>
        </w:trPr>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Mutual funds</w:t>
            </w:r>
          </w:p>
        </w:tc>
        <w:tc>
          <w:tcPr>
            <w:tcW w:w="1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564,296</w:t>
            </w:r>
          </w:p>
        </w:tc>
        <w:tc>
          <w:tcPr>
            <w:tcW w:w="2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564,296</w:t>
            </w:r>
          </w:p>
        </w:tc>
      </w:tr>
      <w:tr>
        <w:trPr>
          <w:trHeight w:val="216"/>
        </w:trPr>
        <w:tc>
          <w:tcPr>
            <w:tcW w:w="64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Total assets in the fair value hierarchy</w:t>
            </w: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587,093</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587,093</w:t>
            </w:r>
          </w:p>
        </w:tc>
      </w:tr>
      <w:tr>
        <w:trPr>
          <w:trHeight w:val="457"/>
        </w:trPr>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Investments measured at NAV:</w:t>
            </w: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9"/>
        </w:trPr>
        <w:tc>
          <w:tcPr>
            <w:tcW w:w="64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Short-term investment fund</w:t>
            </w:r>
          </w:p>
        </w:tc>
        <w:tc>
          <w:tcPr>
            <w:tcW w:w="1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872</w:t>
            </w:r>
          </w:p>
        </w:tc>
      </w:tr>
      <w:tr>
        <w:trPr>
          <w:trHeight w:val="223"/>
        </w:trPr>
        <w:tc>
          <w:tcPr>
            <w:tcW w:w="64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Common/collective trusts</w:t>
            </w:r>
          </w:p>
        </w:tc>
        <w:tc>
          <w:tcPr>
            <w:tcW w:w="1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3,208,851</w:t>
            </w:r>
          </w:p>
        </w:tc>
      </w:tr>
      <w:tr>
        <w:trPr>
          <w:trHeight w:val="212"/>
        </w:trPr>
        <w:tc>
          <w:tcPr>
            <w:tcW w:w="64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Assets at fair value</w:t>
            </w:r>
          </w:p>
        </w:tc>
        <w:tc>
          <w:tcPr>
            <w:tcW w:w="1380" w:type="dxa"/>
            <w:vAlign w:val="bottom"/>
            <w:tcBorders>
              <w:bottom w:val="single" w:sz="8" w:color="auto"/>
            </w:tcBorders>
          </w:tcPr>
          <w:p>
            <w:pPr>
              <w:jc w:val="right"/>
              <w:ind w:right="119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587,093</w:t>
            </w:r>
          </w:p>
        </w:tc>
        <w:tc>
          <w:tcPr>
            <w:tcW w:w="20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3,796,816</w:t>
            </w:r>
          </w:p>
        </w:tc>
      </w:tr>
      <w:tr>
        <w:trPr>
          <w:trHeight w:val="20"/>
        </w:trPr>
        <w:tc>
          <w:tcPr>
            <w:tcW w:w="64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320" w:top="13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322" w:right="239" w:bottom="1440" w:gutter="0" w:footer="0" w:header="0"/>
          <w:type w:val="continuous"/>
        </w:sectPr>
      </w:pPr>
    </w:p>
    <w:bookmarkStart w:id="13" w:name="page14"/>
    <w:bookmarkEnd w:id="13"/>
    <w:p>
      <w:pPr>
        <w:ind w:left="620"/>
        <w:spacing w:after="0"/>
        <w:rPr>
          <w:sz w:val="20"/>
          <w:szCs w:val="20"/>
          <w:color w:val="auto"/>
        </w:rPr>
      </w:pPr>
      <w:r>
        <w:rPr>
          <w:rFonts w:ascii="Times New Roman" w:cs="Times New Roman" w:eastAsia="Times New Roman" w:hAnsi="Times New Roman"/>
          <w:sz w:val="17"/>
          <w:szCs w:val="17"/>
          <w:color w:val="auto"/>
        </w:rPr>
        <w:t>The following table presents the net assets held by the GIC MTIA, in which the Plan owns an undivided interest (amounts in thousands):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640" w:type="dxa"/>
        <w:tblCellMar>
          <w:top w:w="0" w:type="dxa"/>
          <w:left w:w="0" w:type="dxa"/>
          <w:bottom w:w="0" w:type="dxa"/>
          <w:right w:w="0" w:type="dxa"/>
        </w:tblCellMar>
      </w:tblPr>
      <w:tr>
        <w:trPr>
          <w:trHeight w:val="227"/>
        </w:trPr>
        <w:tc>
          <w:tcPr>
            <w:tcW w:w="4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1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Master Trust</w:t>
            </w:r>
          </w:p>
        </w:tc>
        <w:tc>
          <w:tcPr>
            <w:tcW w:w="140" w:type="dxa"/>
            <w:vAlign w:val="bottom"/>
          </w:tcPr>
          <w:p>
            <w:pPr>
              <w:spacing w:after="0"/>
              <w:rPr>
                <w:sz w:val="13"/>
                <w:szCs w:val="13"/>
                <w:color w:val="auto"/>
              </w:rPr>
            </w:pPr>
          </w:p>
        </w:tc>
        <w:tc>
          <w:tcPr>
            <w:tcW w:w="1380" w:type="dxa"/>
            <w:vAlign w:val="bottom"/>
          </w:tcPr>
          <w:p>
            <w:pPr>
              <w:jc w:val="center"/>
              <w:ind w:right="54"/>
              <w:spacing w:after="0" w:line="161" w:lineRule="exact"/>
              <w:rPr>
                <w:sz w:val="20"/>
                <w:szCs w:val="20"/>
                <w:color w:val="auto"/>
              </w:rPr>
            </w:pPr>
            <w:r>
              <w:rPr>
                <w:rFonts w:ascii="Times New Roman" w:cs="Times New Roman" w:eastAsia="Times New Roman" w:hAnsi="Times New Roman"/>
                <w:sz w:val="17"/>
                <w:szCs w:val="17"/>
                <w:b w:val="1"/>
                <w:bCs w:val="1"/>
                <w:color w:val="auto"/>
              </w:rPr>
              <w:t>Plan's Interest in</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Master Trust</w:t>
            </w:r>
          </w:p>
        </w:tc>
        <w:tc>
          <w:tcPr>
            <w:tcW w:w="140" w:type="dxa"/>
            <w:vAlign w:val="bottom"/>
          </w:tcPr>
          <w:p>
            <w:pPr>
              <w:spacing w:after="0"/>
              <w:rPr>
                <w:sz w:val="13"/>
                <w:szCs w:val="13"/>
                <w:color w:val="auto"/>
              </w:rPr>
            </w:pPr>
          </w:p>
        </w:tc>
        <w:tc>
          <w:tcPr>
            <w:tcW w:w="880" w:type="dxa"/>
            <w:vAlign w:val="bottom"/>
          </w:tcPr>
          <w:p>
            <w:pPr>
              <w:jc w:val="right"/>
              <w:spacing w:after="0" w:line="161" w:lineRule="exact"/>
              <w:rPr>
                <w:sz w:val="20"/>
                <w:szCs w:val="20"/>
                <w:color w:val="auto"/>
              </w:rPr>
            </w:pPr>
            <w:r>
              <w:rPr>
                <w:rFonts w:ascii="Times New Roman" w:cs="Times New Roman" w:eastAsia="Times New Roman" w:hAnsi="Times New Roman"/>
                <w:sz w:val="17"/>
                <w:szCs w:val="17"/>
                <w:b w:val="1"/>
                <w:bCs w:val="1"/>
                <w:color w:val="auto"/>
              </w:rPr>
              <w:t>Plan's Inter</w:t>
            </w:r>
          </w:p>
        </w:tc>
        <w:tc>
          <w:tcPr>
            <w:tcW w:w="0" w:type="dxa"/>
            <w:vAlign w:val="bottom"/>
          </w:tcPr>
          <w:p>
            <w:pPr>
              <w:spacing w:after="0"/>
              <w:rPr>
                <w:sz w:val="1"/>
                <w:szCs w:val="1"/>
                <w:color w:val="auto"/>
              </w:rPr>
            </w:pPr>
          </w:p>
        </w:tc>
      </w:tr>
      <w:tr>
        <w:trPr>
          <w:trHeight w:val="168"/>
        </w:trPr>
        <w:tc>
          <w:tcPr>
            <w:tcW w:w="4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40"/>
              <w:spacing w:after="0" w:line="167" w:lineRule="exact"/>
              <w:rPr>
                <w:sz w:val="20"/>
                <w:szCs w:val="20"/>
                <w:color w:val="auto"/>
              </w:rPr>
            </w:pPr>
            <w:r>
              <w:rPr>
                <w:rFonts w:ascii="Times New Roman" w:cs="Times New Roman" w:eastAsia="Times New Roman" w:hAnsi="Times New Roman"/>
                <w:sz w:val="17"/>
                <w:szCs w:val="17"/>
                <w:b w:val="1"/>
                <w:bCs w:val="1"/>
                <w:color w:val="auto"/>
                <w:w w:val="99"/>
              </w:rPr>
              <w:t>Master Trust</w:t>
            </w:r>
          </w:p>
        </w:tc>
        <w:tc>
          <w:tcPr>
            <w:tcW w:w="2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b w:val="1"/>
                <w:bCs w:val="1"/>
                <w:color w:val="auto"/>
              </w:rPr>
              <w:t>Master Tr</w:t>
            </w:r>
          </w:p>
        </w:tc>
        <w:tc>
          <w:tcPr>
            <w:tcW w:w="0" w:type="dxa"/>
            <w:vAlign w:val="bottom"/>
          </w:tcPr>
          <w:p>
            <w:pPr>
              <w:spacing w:after="0"/>
              <w:rPr>
                <w:sz w:val="1"/>
                <w:szCs w:val="1"/>
                <w:color w:val="auto"/>
              </w:rPr>
            </w:pPr>
          </w:p>
        </w:tc>
      </w:tr>
      <w:tr>
        <w:trPr>
          <w:trHeight w:val="232"/>
        </w:trPr>
        <w:tc>
          <w:tcPr>
            <w:tcW w:w="48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Assets of GIC MTIA:</w:t>
            </w:r>
          </w:p>
        </w:tc>
        <w:tc>
          <w:tcPr>
            <w:tcW w:w="200" w:type="dxa"/>
            <w:vAlign w:val="bottom"/>
          </w:tcPr>
          <w:p>
            <w:pPr>
              <w:spacing w:after="0"/>
              <w:rPr>
                <w:sz w:val="20"/>
                <w:szCs w:val="20"/>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Balances</w:t>
            </w:r>
          </w:p>
        </w:tc>
        <w:tc>
          <w:tcPr>
            <w:tcW w:w="14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Balances</w:t>
            </w:r>
          </w:p>
        </w:tc>
        <w:tc>
          <w:tcPr>
            <w:tcW w:w="20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Balances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Balance</w:t>
            </w:r>
          </w:p>
        </w:tc>
        <w:tc>
          <w:tcPr>
            <w:tcW w:w="0" w:type="dxa"/>
            <w:vAlign w:val="bottom"/>
          </w:tcPr>
          <w:p>
            <w:pPr>
              <w:spacing w:after="0"/>
              <w:rPr>
                <w:sz w:val="1"/>
                <w:szCs w:val="1"/>
                <w:color w:val="auto"/>
              </w:rPr>
            </w:pPr>
          </w:p>
        </w:tc>
      </w:tr>
      <w:tr>
        <w:trPr>
          <w:trHeight w:val="199"/>
        </w:trPr>
        <w:tc>
          <w:tcPr>
            <w:tcW w:w="4820" w:type="dxa"/>
            <w:vAlign w:val="bottom"/>
            <w:vMerge w:val="continue"/>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8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Investments, at contract value (see Note 4):</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Short-term investment fund</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7,706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5,330</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8,944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Synthetic guaranteed investment contracts: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Common/collective trusts - fixed income funds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323,612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223,829</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360,227</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9"/>
        </w:trPr>
        <w:tc>
          <w:tcPr>
            <w:tcW w:w="4820" w:type="dxa"/>
            <w:vAlign w:val="bottom"/>
          </w:tcPr>
          <w:p>
            <w:pPr>
              <w:ind w:left="1440"/>
              <w:spacing w:after="0"/>
              <w:rPr>
                <w:sz w:val="20"/>
                <w:szCs w:val="20"/>
                <w:color w:val="auto"/>
              </w:rPr>
            </w:pPr>
            <w:r>
              <w:rPr>
                <w:rFonts w:ascii="Times New Roman" w:cs="Times New Roman" w:eastAsia="Times New Roman" w:hAnsi="Times New Roman"/>
                <w:sz w:val="17"/>
                <w:szCs w:val="17"/>
                <w:color w:val="auto"/>
              </w:rPr>
              <w:t>Total investments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331,318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229,159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369,171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9"/>
        </w:trPr>
        <w:tc>
          <w:tcPr>
            <w:tcW w:w="48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Receivables: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Accrued investment income</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579</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820" w:type="dxa"/>
            <w:vAlign w:val="bottom"/>
          </w:tcPr>
          <w:p>
            <w:pPr>
              <w:ind w:left="1440"/>
              <w:spacing w:after="0"/>
              <w:rPr>
                <w:sz w:val="20"/>
                <w:szCs w:val="20"/>
                <w:color w:val="auto"/>
              </w:rPr>
            </w:pPr>
            <w:r>
              <w:rPr>
                <w:rFonts w:ascii="Times New Roman" w:cs="Times New Roman" w:eastAsia="Times New Roman" w:hAnsi="Times New Roman"/>
                <w:sz w:val="17"/>
                <w:szCs w:val="17"/>
                <w:color w:val="auto"/>
              </w:rPr>
              <w:t>Total receivables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20" w:type="dxa"/>
            <w:vAlign w:val="bottom"/>
          </w:tcPr>
          <w:p>
            <w:pPr>
              <w:ind w:left="144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332,156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229,738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370,093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96"/>
        </w:trPr>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Liabilities:</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Accrued expenses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820" w:type="dxa"/>
            <w:vAlign w:val="bottom"/>
          </w:tcPr>
          <w:p>
            <w:pPr>
              <w:ind w:left="144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20" w:type="dxa"/>
            <w:vAlign w:val="bottom"/>
          </w:tcPr>
          <w:p>
            <w:pPr>
              <w:ind w:left="1440"/>
              <w:spacing w:after="0"/>
              <w:rPr>
                <w:sz w:val="20"/>
                <w:szCs w:val="20"/>
                <w:color w:val="auto"/>
              </w:rPr>
            </w:pPr>
            <w:r>
              <w:rPr>
                <w:rFonts w:ascii="Times New Roman" w:cs="Times New Roman" w:eastAsia="Times New Roman" w:hAnsi="Times New Roman"/>
                <w:sz w:val="17"/>
                <w:szCs w:val="17"/>
                <w:color w:val="auto"/>
              </w:rPr>
              <w:t>Net assets of GIC MTIA</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332,050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229,665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370,093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Plan’s percentage interest in GIC MTIA net assets</w:t>
            </w: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8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ind w:right="100"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presents the changes in net assets of the GIC MTIA, in which the Plan owns an undivided interest, as stated in the table above (amounts in thousands):</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80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0" w:type="dxa"/>
            <w:vAlign w:val="bottom"/>
          </w:tcPr>
          <w:p>
            <w:pPr>
              <w:spacing w:after="0"/>
              <w:rPr>
                <w:sz w:val="1"/>
                <w:szCs w:val="1"/>
                <w:color w:val="auto"/>
              </w:rPr>
            </w:pPr>
          </w:p>
        </w:tc>
      </w:tr>
      <w:tr>
        <w:trPr>
          <w:trHeight w:val="212"/>
        </w:trPr>
        <w:tc>
          <w:tcPr>
            <w:tcW w:w="80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09"/>
        </w:trPr>
        <w:tc>
          <w:tcPr>
            <w:tcW w:w="8080" w:type="dxa"/>
            <w:vAlign w:val="bottom"/>
            <w:vMerge w:val="continue"/>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10,394</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11,581</w:t>
            </w:r>
          </w:p>
        </w:tc>
        <w:tc>
          <w:tcPr>
            <w:tcW w:w="0" w:type="dxa"/>
            <w:vAlign w:val="bottom"/>
          </w:tcPr>
          <w:p>
            <w:pPr>
              <w:spacing w:after="0"/>
              <w:rPr>
                <w:sz w:val="1"/>
                <w:szCs w:val="1"/>
                <w:color w:val="auto"/>
              </w:rPr>
            </w:pPr>
          </w:p>
        </w:tc>
      </w:tr>
      <w:tr>
        <w:trPr>
          <w:trHeight w:val="223"/>
        </w:trPr>
        <w:tc>
          <w:tcPr>
            <w:tcW w:w="8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Less investment expenses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0" w:type="dxa"/>
            <w:vAlign w:val="bottom"/>
          </w:tcPr>
          <w:p>
            <w:pPr>
              <w:spacing w:after="0"/>
              <w:rPr>
                <w:sz w:val="1"/>
                <w:szCs w:val="1"/>
                <w:color w:val="auto"/>
              </w:rPr>
            </w:pPr>
          </w:p>
        </w:tc>
      </w:tr>
      <w:tr>
        <w:trPr>
          <w:trHeight w:val="212"/>
        </w:trPr>
        <w:tc>
          <w:tcPr>
            <w:tcW w:w="808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Total investment income</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9,956</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11,195</w:t>
            </w:r>
          </w:p>
        </w:tc>
        <w:tc>
          <w:tcPr>
            <w:tcW w:w="0" w:type="dxa"/>
            <w:vAlign w:val="bottom"/>
          </w:tcPr>
          <w:p>
            <w:pPr>
              <w:spacing w:after="0"/>
              <w:rPr>
                <w:sz w:val="1"/>
                <w:szCs w:val="1"/>
                <w:color w:val="auto"/>
              </w:rPr>
            </w:pPr>
          </w:p>
        </w:tc>
      </w:tr>
      <w:tr>
        <w:trPr>
          <w:trHeight w:val="453"/>
        </w:trPr>
        <w:tc>
          <w:tcPr>
            <w:tcW w:w="8080" w:type="dxa"/>
            <w:vAlign w:val="bottom"/>
          </w:tcPr>
          <w:p>
            <w:pPr>
              <w:spacing w:after="0"/>
              <w:rPr>
                <w:sz w:val="20"/>
                <w:szCs w:val="20"/>
                <w:color w:val="auto"/>
              </w:rPr>
            </w:pPr>
            <w:r>
              <w:rPr>
                <w:rFonts w:ascii="Times New Roman" w:cs="Times New Roman" w:eastAsia="Times New Roman" w:hAnsi="Times New Roman"/>
                <w:sz w:val="17"/>
                <w:szCs w:val="17"/>
                <w:color w:val="auto"/>
              </w:rPr>
              <w:t>Transfers in</w:t>
            </w: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54,082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39,934</w:t>
            </w:r>
          </w:p>
        </w:tc>
        <w:tc>
          <w:tcPr>
            <w:tcW w:w="0" w:type="dxa"/>
            <w:vAlign w:val="bottom"/>
          </w:tcPr>
          <w:p>
            <w:pPr>
              <w:spacing w:after="0"/>
              <w:rPr>
                <w:sz w:val="1"/>
                <w:szCs w:val="1"/>
                <w:color w:val="auto"/>
              </w:rPr>
            </w:pPr>
          </w:p>
        </w:tc>
      </w:tr>
      <w:tr>
        <w:trPr>
          <w:trHeight w:val="223"/>
        </w:trPr>
        <w:tc>
          <w:tcPr>
            <w:tcW w:w="8080" w:type="dxa"/>
            <w:vAlign w:val="bottom"/>
          </w:tcPr>
          <w:p>
            <w:pPr>
              <w:spacing w:after="0"/>
              <w:rPr>
                <w:sz w:val="20"/>
                <w:szCs w:val="20"/>
                <w:color w:val="auto"/>
              </w:rPr>
            </w:pPr>
            <w:r>
              <w:rPr>
                <w:rFonts w:ascii="Times New Roman" w:cs="Times New Roman" w:eastAsia="Times New Roman" w:hAnsi="Times New Roman"/>
                <w:sz w:val="17"/>
                <w:szCs w:val="17"/>
                <w:color w:val="auto"/>
              </w:rPr>
              <w:t>Transfers out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(102,081)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(100,375)</w:t>
            </w:r>
          </w:p>
        </w:tc>
        <w:tc>
          <w:tcPr>
            <w:tcW w:w="0" w:type="dxa"/>
            <w:vAlign w:val="bottom"/>
          </w:tcPr>
          <w:p>
            <w:pPr>
              <w:spacing w:after="0"/>
              <w:rPr>
                <w:sz w:val="1"/>
                <w:szCs w:val="1"/>
                <w:color w:val="auto"/>
              </w:rPr>
            </w:pPr>
          </w:p>
        </w:tc>
      </w:tr>
      <w:tr>
        <w:trPr>
          <w:trHeight w:val="212"/>
        </w:trPr>
        <w:tc>
          <w:tcPr>
            <w:tcW w:w="8080" w:type="dxa"/>
            <w:vAlign w:val="bottom"/>
          </w:tcPr>
          <w:p>
            <w:pPr>
              <w:spacing w:after="0"/>
              <w:rPr>
                <w:sz w:val="20"/>
                <w:szCs w:val="20"/>
                <w:color w:val="auto"/>
              </w:rPr>
            </w:pPr>
            <w:r>
              <w:rPr>
                <w:rFonts w:ascii="Times New Roman" w:cs="Times New Roman" w:eastAsia="Times New Roman" w:hAnsi="Times New Roman"/>
                <w:sz w:val="17"/>
                <w:szCs w:val="17"/>
                <w:color w:val="auto"/>
              </w:rPr>
              <w:t>Changes in net assets</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(38,043)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(49,246)</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858" w:right="239" w:bottom="1440" w:gutter="0" w:footer="0" w:header="0"/>
        </w:sectPr>
      </w:pPr>
    </w:p>
    <w:bookmarkStart w:id="14" w:name="page15"/>
    <w:bookmarkEnd w:id="14"/>
    <w:p>
      <w:pPr>
        <w:ind w:left="420" w:hanging="417"/>
        <w:spacing w:after="0"/>
        <w:tabs>
          <w:tab w:leader="none" w:pos="420" w:val="left"/>
        </w:tabs>
        <w:numPr>
          <w:ilvl w:val="0"/>
          <w:numId w:val="2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Related-Party Transactions</w:t>
      </w:r>
    </w:p>
    <w:p>
      <w:pPr>
        <w:spacing w:after="0" w:line="228"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Trustee and Occidental are parties in interest as defined by ERISA. The Trustee invests certain Plan assets in its Collective Short-Term Investment Fund and the Oxy Stock Fund. Such transactions qualify as party-in-interest transactions permitted by the Department of Labor regulations. Occidental paid approximately $969,000 and $841,000 on behalf of the Plan to various vendors for the Plan’s administrative expenses during 2025 and 2024, respectively.</w:t>
      </w:r>
    </w:p>
    <w:p>
      <w:pPr>
        <w:spacing w:after="0" w:line="183" w:lineRule="exact"/>
        <w:rPr>
          <w:sz w:val="20"/>
          <w:szCs w:val="20"/>
          <w:color w:val="auto"/>
        </w:rPr>
      </w:pPr>
    </w:p>
    <w:p>
      <w:pPr>
        <w:ind w:left="420" w:hanging="417"/>
        <w:spacing w:after="0"/>
        <w:tabs>
          <w:tab w:leader="none" w:pos="420" w:val="left"/>
        </w:tabs>
        <w:numPr>
          <w:ilvl w:val="0"/>
          <w:numId w:val="2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Plan Termination</w:t>
      </w:r>
    </w:p>
    <w:p>
      <w:pPr>
        <w:spacing w:after="0" w:line="21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Although it has not expressed any intent to do so, Occidental has the right under the Plan’s provisions to discontinue its contributions at any time and to terminate the Plan subject to the provisions of ERISA.</w:t>
      </w:r>
    </w:p>
    <w:p>
      <w:pPr>
        <w:spacing w:after="0" w:line="16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9"/>
          <w:szCs w:val="19"/>
          <w:b w:val="1"/>
          <w:bCs w:val="1"/>
          <w:color w:val="auto"/>
        </w:rPr>
        <w:t>(9)</w:t>
      </w:r>
      <w:r>
        <w:rPr>
          <w:sz w:val="20"/>
          <w:szCs w:val="20"/>
          <w:color w:val="auto"/>
        </w:rPr>
        <w:tab/>
      </w:r>
      <w:r>
        <w:rPr>
          <w:rFonts w:ascii="Times New Roman" w:cs="Times New Roman" w:eastAsia="Times New Roman" w:hAnsi="Times New Roman"/>
          <w:sz w:val="18"/>
          <w:szCs w:val="18"/>
          <w:b w:val="1"/>
          <w:bCs w:val="1"/>
          <w:color w:val="auto"/>
        </w:rPr>
        <w:t>Tax Status</w:t>
      </w:r>
    </w:p>
    <w:p>
      <w:pPr>
        <w:spacing w:after="0" w:line="228"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Internal Revenue Service (IRS) has determined and informed Occidental, by a letter dated September 25, 2013, that the Plan and related trust are designed in accordance with applicable sections of the IRC. Although the Plan has been amended since receiving the determination letter, the Committees, using their judgment and the advice of their advisors, believe that the Plan is currently designed and operating in a manner that preserves its tax-qualified status, with the exceptions of certain immaterial operational errors that have been remedied in compliance with applicable programs of the IRS or the Department of Labor.</w:t>
      </w:r>
    </w:p>
    <w:p>
      <w:pPr>
        <w:spacing w:after="0" w:line="1"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color w:val="auto"/>
        </w:rPr>
        <w:t>U.S. GAAP requires plan management to evaluate tax positions taken by the Plan and recognize a tax liability (or asset) if the Plan has taken an uncertain position that more likely than not would not be sustained upon examination by the IRS. The Plan is subject to routine audits by the IRS; however, there are currently no audits for any tax periods in progress.</w:t>
      </w:r>
    </w:p>
    <w:p>
      <w:pPr>
        <w:spacing w:after="0" w:line="19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9"/>
          <w:szCs w:val="19"/>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Risks and Uncertainties</w:t>
      </w:r>
    </w:p>
    <w:p>
      <w:pPr>
        <w:spacing w:after="0" w:line="21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Plan invests in various types of investment securities. Investment securities are exposed to various risks, such as interest rate, market, and credit risks. Due to the level of risk associated with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 Risks associated with the Oxy Stock Fund include those disclosed by Occidental in its annual report on Form 10-K filed with the U.S. Securities and Exchange Commission and its other public filings and disclosures.</w:t>
      </w:r>
    </w:p>
    <w:p>
      <w:pPr>
        <w:spacing w:after="0" w:line="17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Additionally, some mutual funds invest in the securities of foreign companies, which involve special risks and considerations not typically associated with investing in U.S. companies. These risks include devaluation of currencies, less reliable information about issuers, different securities transaction clearance and settlement practices, and possible adverse political and economic developments. Moreover, securities of many foreign companies and their markets may be less liquid and their prices more volatile than similar types of securities of comparable U.S. companies.</w:t>
      </w:r>
    </w:p>
    <w:p>
      <w:pPr>
        <w:spacing w:after="0" w:line="17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Certain derivative financial instruments are used by the Plan’s equity and fixed-income investment managers to remain fully invested in the asset class and to hedge currency risk.</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December 31, 2025 and 2024, approximately 13% and 17%, respectively, of total Plan investments were invested in shares of Occidental common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w:t>
      </w:r>
    </w:p>
    <w:p>
      <w:pPr>
        <w:spacing w:after="0" w:line="226"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Company's financial results are significantly influenced by oil prices and, to a lesser extent, NGL and natural gas prices, and commodity market differentials. The average WTI price per barrel for the three months ended March 31, 2026 was $71.93, compared to $59.14 for the three months ended December 31, 2025. Changes in oil prices could result in adjustments to capital investment levels and allocation, which may in turn impact production volumes. Oil prices are expected to remain volatile due to a number of factors, including heightened geopolitical risk, the evolving macro-economic environment and its effects on global energy demand, future actions by OPEC and non-OPEC oil producing nations, and ongoing shifts in U.S. trade policy. The ongoing conflict with Iran has significantly disrupted global crude oil and natural gas markets. The duration and trajectory of the conflict remains uncertain, contributing to ongoing commodity price volatility. Recent U.S. trade policy actions, including the introduction of tariff replacement measures, could also have implications for Occidental's business operations and financial performance. While the Company has not experienced a material impact to date, tariffs or tariff</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2" w:right="339" w:bottom="1440" w:gutter="0" w:footer="0" w:header="0"/>
        </w:sectPr>
      </w:pPr>
    </w:p>
    <w:bookmarkStart w:id="15" w:name="page16"/>
    <w:bookmarkEnd w:id="15"/>
    <w:p>
      <w:pPr>
        <w:jc w:val="both"/>
        <w:spacing w:after="0" w:line="287" w:lineRule="auto"/>
        <w:rPr>
          <w:sz w:val="20"/>
          <w:szCs w:val="20"/>
          <w:color w:val="auto"/>
        </w:rPr>
      </w:pPr>
      <w:r>
        <w:rPr>
          <w:rFonts w:ascii="Times New Roman" w:cs="Times New Roman" w:eastAsia="Times New Roman" w:hAnsi="Times New Roman"/>
          <w:sz w:val="17"/>
          <w:szCs w:val="17"/>
          <w:color w:val="auto"/>
        </w:rPr>
        <w:t>replacement measures imposed on the Company's suppliers could increase costs over time, and broader macroeconomic effects of policy changes and uncertainty could affect demand for the Company's products and its realized prices.</w:t>
      </w:r>
    </w:p>
    <w:p>
      <w:pPr>
        <w:spacing w:after="0" w:line="16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9"/>
          <w:szCs w:val="19"/>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Reconciliation of the Financial Statements to the Form 5500</w:t>
      </w:r>
    </w:p>
    <w:p>
      <w:pPr>
        <w:spacing w:after="0" w:line="25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is a reconciliation of net assets available for benefits per the financial statements to the Form 5500 to be filed by October 15, 2026 (amounts in thousands):</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80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As of December 31,</w:t>
            </w:r>
          </w:p>
        </w:tc>
      </w:tr>
      <w:tr>
        <w:trPr>
          <w:trHeight w:val="212"/>
        </w:trPr>
        <w:tc>
          <w:tcPr>
            <w:tcW w:w="80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09"/>
        </w:trPr>
        <w:tc>
          <w:tcPr>
            <w:tcW w:w="8080" w:type="dxa"/>
            <w:vAlign w:val="bottom"/>
          </w:tcPr>
          <w:p>
            <w:pPr>
              <w:spacing w:after="0"/>
              <w:rPr>
                <w:sz w:val="20"/>
                <w:szCs w:val="20"/>
                <w:color w:val="auto"/>
              </w:rPr>
            </w:pPr>
            <w:r>
              <w:rPr>
                <w:rFonts w:ascii="Times New Roman" w:cs="Times New Roman" w:eastAsia="Times New Roman" w:hAnsi="Times New Roman"/>
                <w:sz w:val="17"/>
                <w:szCs w:val="17"/>
                <w:color w:val="auto"/>
              </w:rPr>
              <w:t>Net assets available for benefits per the financial statements</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3,921,643</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3,535,656</w:t>
            </w:r>
          </w:p>
        </w:tc>
      </w:tr>
      <w:tr>
        <w:trPr>
          <w:trHeight w:val="223"/>
        </w:trPr>
        <w:tc>
          <w:tcPr>
            <w:tcW w:w="8080" w:type="dxa"/>
            <w:vAlign w:val="bottom"/>
          </w:tcPr>
          <w:p>
            <w:pPr>
              <w:spacing w:after="0"/>
              <w:rPr>
                <w:sz w:val="20"/>
                <w:szCs w:val="20"/>
                <w:color w:val="auto"/>
              </w:rPr>
            </w:pPr>
            <w:r>
              <w:rPr>
                <w:rFonts w:ascii="Times New Roman" w:cs="Times New Roman" w:eastAsia="Times New Roman" w:hAnsi="Times New Roman"/>
                <w:sz w:val="17"/>
                <w:szCs w:val="17"/>
                <w:color w:val="auto"/>
              </w:rPr>
              <w:t>Amounts allocated to withdrawing participants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(465)</w:t>
            </w:r>
          </w:p>
        </w:tc>
      </w:tr>
      <w:tr>
        <w:trPr>
          <w:trHeight w:val="212"/>
        </w:trPr>
        <w:tc>
          <w:tcPr>
            <w:tcW w:w="8080" w:type="dxa"/>
            <w:vAlign w:val="bottom"/>
          </w:tcPr>
          <w:p>
            <w:pPr>
              <w:spacing w:after="0"/>
              <w:rPr>
                <w:sz w:val="20"/>
                <w:szCs w:val="20"/>
                <w:color w:val="auto"/>
              </w:rPr>
            </w:pPr>
            <w:r>
              <w:rPr>
                <w:rFonts w:ascii="Times New Roman" w:cs="Times New Roman" w:eastAsia="Times New Roman" w:hAnsi="Times New Roman"/>
                <w:sz w:val="17"/>
                <w:szCs w:val="17"/>
                <w:color w:val="auto"/>
              </w:rPr>
              <w:t>Net assets available for benefits per the Form 5500</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3,919,357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3,535,191</w:t>
            </w:r>
          </w:p>
        </w:tc>
      </w:tr>
      <w:tr>
        <w:trPr>
          <w:trHeight w:val="20"/>
        </w:trPr>
        <w:tc>
          <w:tcPr>
            <w:tcW w:w="8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is a reconciliation of benefits paid to participants per the financial statements to the Form 5500 to be filed by October 15, 2026 (amounts in thousands):</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80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12"/>
        </w:trPr>
        <w:tc>
          <w:tcPr>
            <w:tcW w:w="80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09"/>
        </w:trPr>
        <w:tc>
          <w:tcPr>
            <w:tcW w:w="8080" w:type="dxa"/>
            <w:vAlign w:val="bottom"/>
          </w:tcPr>
          <w:p>
            <w:pPr>
              <w:spacing w:after="0"/>
              <w:rPr>
                <w:sz w:val="20"/>
                <w:szCs w:val="20"/>
                <w:color w:val="auto"/>
              </w:rPr>
            </w:pPr>
            <w:r>
              <w:rPr>
                <w:rFonts w:ascii="Times New Roman" w:cs="Times New Roman" w:eastAsia="Times New Roman" w:hAnsi="Times New Roman"/>
                <w:sz w:val="17"/>
                <w:szCs w:val="17"/>
                <w:color w:val="auto"/>
              </w:rPr>
              <w:t>Benefits paid to participants per the financial statements</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269,961</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262,888</w:t>
            </w:r>
          </w:p>
        </w:tc>
      </w:tr>
      <w:tr>
        <w:trPr>
          <w:trHeight w:val="219"/>
        </w:trPr>
        <w:tc>
          <w:tcPr>
            <w:tcW w:w="8080" w:type="dxa"/>
            <w:vAlign w:val="bottom"/>
          </w:tcPr>
          <w:p>
            <w:pPr>
              <w:spacing w:after="0"/>
              <w:rPr>
                <w:sz w:val="20"/>
                <w:szCs w:val="20"/>
                <w:color w:val="auto"/>
              </w:rPr>
            </w:pPr>
            <w:r>
              <w:rPr>
                <w:rFonts w:ascii="Times New Roman" w:cs="Times New Roman" w:eastAsia="Times New Roman" w:hAnsi="Times New Roman"/>
                <w:sz w:val="17"/>
                <w:szCs w:val="17"/>
                <w:color w:val="auto"/>
              </w:rPr>
              <w:t>Amounts allocated to withdrawing participants at December 31, 2025 and 2024</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w:t>
            </w:r>
          </w:p>
        </w:tc>
      </w:tr>
      <w:tr>
        <w:trPr>
          <w:trHeight w:val="223"/>
        </w:trPr>
        <w:tc>
          <w:tcPr>
            <w:tcW w:w="8080" w:type="dxa"/>
            <w:vAlign w:val="bottom"/>
          </w:tcPr>
          <w:p>
            <w:pPr>
              <w:spacing w:after="0"/>
              <w:rPr>
                <w:sz w:val="20"/>
                <w:szCs w:val="20"/>
                <w:color w:val="auto"/>
              </w:rPr>
            </w:pPr>
            <w:r>
              <w:rPr>
                <w:rFonts w:ascii="Times New Roman" w:cs="Times New Roman" w:eastAsia="Times New Roman" w:hAnsi="Times New Roman"/>
                <w:sz w:val="17"/>
                <w:szCs w:val="17"/>
                <w:color w:val="auto"/>
              </w:rPr>
              <w:t>Amounts allocated to withdrawing participants at December 31, 2024 and 2023</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w:t>
            </w:r>
          </w:p>
        </w:tc>
      </w:tr>
      <w:tr>
        <w:trPr>
          <w:trHeight w:val="212"/>
        </w:trPr>
        <w:tc>
          <w:tcPr>
            <w:tcW w:w="8080" w:type="dxa"/>
            <w:vAlign w:val="bottom"/>
          </w:tcPr>
          <w:p>
            <w:pPr>
              <w:spacing w:after="0"/>
              <w:rPr>
                <w:sz w:val="20"/>
                <w:szCs w:val="20"/>
                <w:color w:val="auto"/>
              </w:rPr>
            </w:pPr>
            <w:r>
              <w:rPr>
                <w:rFonts w:ascii="Times New Roman" w:cs="Times New Roman" w:eastAsia="Times New Roman" w:hAnsi="Times New Roman"/>
                <w:sz w:val="17"/>
                <w:szCs w:val="17"/>
                <w:color w:val="auto"/>
              </w:rPr>
              <w:t>Benefits paid to participants per the Form 5500</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271,782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263,175</w:t>
            </w:r>
          </w:p>
        </w:tc>
      </w:tr>
      <w:tr>
        <w:trPr>
          <w:trHeight w:val="20"/>
        </w:trPr>
        <w:tc>
          <w:tcPr>
            <w:tcW w:w="8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firstLine="619"/>
        <w:spacing w:after="0" w:line="297" w:lineRule="auto"/>
        <w:rPr>
          <w:sz w:val="20"/>
          <w:szCs w:val="20"/>
          <w:color w:val="auto"/>
        </w:rPr>
      </w:pPr>
      <w:r>
        <w:rPr>
          <w:rFonts w:ascii="Times New Roman" w:cs="Times New Roman" w:eastAsia="Times New Roman" w:hAnsi="Times New Roman"/>
          <w:sz w:val="17"/>
          <w:szCs w:val="17"/>
          <w:color w:val="auto"/>
        </w:rPr>
        <w:t>Amounts allocated to withdrawing participants are recorded on the Form 5500 for benefit payments that have been processed and approved for payment prior to December 31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but are not yet paid as of that date.</w:t>
      </w:r>
    </w:p>
    <w:p>
      <w:pPr>
        <w:spacing w:after="0" w:line="8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9"/>
          <w:szCs w:val="19"/>
          <w:b w:val="1"/>
          <w:bCs w:val="1"/>
          <w:color w:val="auto"/>
        </w:rPr>
        <w:t>(12)</w:t>
        <w:tab/>
        <w:t>Subsequent Events</w:t>
      </w:r>
    </w:p>
    <w:p>
      <w:pPr>
        <w:spacing w:after="0" w:line="254"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October 2025, the Company announced entry into a purchase and sale agreement with Berkshire Hathaway Inc. to sell all of the issued and outstanding equity interests in Occidental Chemical Corporation, a Texas corporation, and its consolidated subsidiaries (OxyChem). The sale was completed on January 2, 2026 (MEP Effective Date). Beginning on the MEP Effective Date, the Plan became a multiple-employer plan within the meaning of Code section 413(c). OxyChem was a participating subsidiary prior to the MEP Effective Date and continued to participate in the Plan after the MEP Effective Date.</w:t>
      </w:r>
    </w:p>
    <w:p>
      <w:pPr>
        <w:spacing w:after="0" w:line="197"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Effective on and after the MEP Effective Date, participants employed by OxyChem no longer receive employer matching contributions in the form of Occidental common stock. Employer matching contributions for OxyChem participants are invested in the Plan's qualified default investment alternative.</w:t>
      </w:r>
    </w:p>
    <w:p>
      <w:pPr>
        <w:spacing w:after="0" w:line="17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OxyChem's participation in the Plan will cease no later than December 31, 2026. As soon as administratively practicable after this date the OxyChem participants' account balances in the Plan will be transferred out of the Plan to a 401(k) plan sponsored by OxyChem.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6" w:name="page17"/>
    <w:bookmarkEnd w:id="16"/>
    <w:p>
      <w:pPr>
        <w:ind w:left="3600"/>
        <w:spacing w:after="0"/>
        <w:tabs>
          <w:tab w:leader="none" w:pos="10460" w:val="left"/>
        </w:tabs>
        <w:rPr>
          <w:sz w:val="20"/>
          <w:szCs w:val="20"/>
          <w:color w:val="auto"/>
        </w:rPr>
      </w:pPr>
      <w:r>
        <w:rPr>
          <w:rFonts w:ascii="Times New Roman" w:cs="Times New Roman" w:eastAsia="Times New Roman" w:hAnsi="Times New Roman"/>
          <w:sz w:val="19"/>
          <w:szCs w:val="19"/>
          <w:b w:val="1"/>
          <w:bCs w:val="1"/>
          <w:color w:val="auto"/>
        </w:rPr>
        <w:t>OCCIDENTAL PETROLEUM CORPORATION</w:t>
      </w:r>
      <w:r>
        <w:rPr>
          <w:sz w:val="20"/>
          <w:szCs w:val="20"/>
          <w:color w:val="auto"/>
        </w:rPr>
        <w:tab/>
      </w:r>
      <w:r>
        <w:rPr>
          <w:rFonts w:ascii="Times New Roman" w:cs="Times New Roman" w:eastAsia="Times New Roman" w:hAnsi="Times New Roman"/>
          <w:sz w:val="15"/>
          <w:szCs w:val="15"/>
          <w:b w:val="1"/>
          <w:bCs w:val="1"/>
          <w:color w:val="auto"/>
        </w:rPr>
        <w:t>Schedule 1</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SAVINGS PLAN</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EIN #95-4035997, Plan #001</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Schedule H, Line 4i - Schedule of Assets (Held at End of Year)</w:t>
      </w:r>
    </w:p>
    <w:p>
      <w:pPr>
        <w:spacing w:after="0" w:line="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As of December 31, 2025</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(Dollar amounts in thousands)</w:t>
      </w:r>
    </w:p>
    <w:p>
      <w:pPr>
        <w:sectPr>
          <w:pgSz w:w="11900" w:h="16838" w:orient="portrait"/>
          <w:cols w:equalWidth="0" w:num="1">
            <w:col w:w="11200"/>
          </w:cols>
          <w:pgMar w:left="320" w:top="888" w:right="379" w:bottom="1440" w:gutter="0" w:footer="0" w:header="0"/>
        </w:sect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4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r>
      <w:tr>
        <w:trPr>
          <w:trHeight w:val="580"/>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4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Identity of issue, borrower,</w:t>
            </w:r>
          </w:p>
        </w:tc>
      </w:tr>
      <w:tr>
        <w:trPr>
          <w:trHeight w:val="193"/>
        </w:trPr>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party</w:t>
            </w:r>
          </w:p>
        </w:tc>
        <w:tc>
          <w:tcPr>
            <w:tcW w:w="4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lessor, or similar party</w:t>
            </w:r>
          </w:p>
        </w:tc>
      </w:tr>
      <w:tr>
        <w:trPr>
          <w:trHeight w:val="22"/>
        </w:trPr>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Short-Term Investment Fund:</w:t>
      </w:r>
    </w:p>
    <w:p>
      <w:pPr>
        <w:spacing w:after="0" w:line="32" w:lineRule="exact"/>
        <w:rPr>
          <w:sz w:val="20"/>
          <w:szCs w:val="20"/>
          <w:color w:val="auto"/>
        </w:rPr>
      </w:pPr>
    </w:p>
    <w:p>
      <w:pPr>
        <w:ind w:left="1160" w:hanging="727"/>
        <w:spacing w:after="0"/>
        <w:tabs>
          <w:tab w:leader="none" w:pos="1160" w:val="left"/>
        </w:tabs>
        <w:numPr>
          <w:ilvl w:val="0"/>
          <w:numId w:val="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BNY Short-Term Investment Fund (2)</w:t>
      </w:r>
    </w:p>
    <w:p>
      <w:pPr>
        <w:spacing w:after="0" w:line="16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Common stock:</w:t>
      </w:r>
    </w:p>
    <w:p>
      <w:pPr>
        <w:spacing w:after="0" w:line="32" w:lineRule="exact"/>
        <w:rPr>
          <w:sz w:val="20"/>
          <w:szCs w:val="20"/>
          <w:color w:val="auto"/>
        </w:rPr>
      </w:pPr>
    </w:p>
    <w:p>
      <w:pPr>
        <w:ind w:left="1060" w:hanging="627"/>
        <w:spacing w:after="0"/>
        <w:tabs>
          <w:tab w:leader="none" w:pos="1060" w:val="left"/>
        </w:tabs>
        <w:numPr>
          <w:ilvl w:val="1"/>
          <w:numId w:val="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Occidental Petroleum Corporation (2)</w:t>
      </w:r>
    </w:p>
    <w:p>
      <w:pPr>
        <w:spacing w:after="0" w:line="277" w:lineRule="exact"/>
        <w:rPr>
          <w:rFonts w:ascii="Times New Roman" w:cs="Times New Roman" w:eastAsia="Times New Roman" w:hAnsi="Times New Roman"/>
          <w:sz w:val="14"/>
          <w:szCs w:val="14"/>
          <w:b w:val="1"/>
          <w:bCs w:val="1"/>
          <w:color w:val="auto"/>
        </w:rPr>
      </w:pPr>
    </w:p>
    <w:p>
      <w:pPr>
        <w:ind w:left="1060" w:hanging="627"/>
        <w:spacing w:after="0"/>
        <w:tabs>
          <w:tab w:leader="none" w:pos="106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Notes receivable from participants</w:t>
      </w:r>
    </w:p>
    <w:p>
      <w:pPr>
        <w:spacing w:after="0" w:line="303" w:lineRule="exact"/>
        <w:rPr>
          <w:rFonts w:ascii="Times New Roman" w:cs="Times New Roman" w:eastAsia="Times New Roman" w:hAnsi="Times New Roman"/>
          <w:sz w:val="14"/>
          <w:szCs w:val="14"/>
          <w:color w:val="auto"/>
        </w:rPr>
      </w:pPr>
    </w:p>
    <w:p>
      <w:pPr>
        <w:ind w:left="10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Plan interest in master trust accounts:</w:t>
      </w:r>
    </w:p>
    <w:p>
      <w:pPr>
        <w:spacing w:after="0" w:line="32" w:lineRule="exact"/>
        <w:rPr>
          <w:rFonts w:ascii="Times New Roman" w:cs="Times New Roman" w:eastAsia="Times New Roman" w:hAnsi="Times New Roman"/>
          <w:sz w:val="14"/>
          <w:szCs w:val="14"/>
          <w:color w:val="auto"/>
        </w:rPr>
      </w:pPr>
    </w:p>
    <w:p>
      <w:pPr>
        <w:ind w:left="1160" w:right="1360"/>
        <w:spacing w:after="0" w:line="35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Oxy Defined Contribution Plan Master Trust Account Guaranteed Investment Contracts Master Trust</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91" w:lineRule="exact"/>
        <w:rPr>
          <w:rFonts w:ascii="Times New Roman" w:cs="Times New Roman" w:eastAsia="Times New Roman" w:hAnsi="Times New Roman"/>
          <w:sz w:val="14"/>
          <w:szCs w:val="14"/>
          <w:color w:val="auto"/>
        </w:rPr>
      </w:pPr>
    </w:p>
    <w:p>
      <w:pPr>
        <w:ind w:left="680" w:hanging="428"/>
        <w:spacing w:after="0"/>
        <w:tabs>
          <w:tab w:leader="none" w:pos="6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information omitted for participant-directed investment.</w:t>
      </w:r>
    </w:p>
    <w:p>
      <w:pPr>
        <w:spacing w:after="0" w:line="32" w:lineRule="exact"/>
        <w:rPr>
          <w:rFonts w:ascii="Times New Roman" w:cs="Times New Roman" w:eastAsia="Times New Roman" w:hAnsi="Times New Roman"/>
          <w:sz w:val="14"/>
          <w:szCs w:val="14"/>
          <w:color w:val="auto"/>
        </w:rPr>
      </w:pPr>
    </w:p>
    <w:p>
      <w:pPr>
        <w:ind w:left="680" w:hanging="428"/>
        <w:spacing w:after="0"/>
        <w:tabs>
          <w:tab w:leader="none" w:pos="6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non-participant-directed investments.</w:t>
      </w:r>
    </w:p>
    <w:p>
      <w:pPr>
        <w:spacing w:after="0" w:line="32" w:lineRule="exact"/>
        <w:rPr>
          <w:sz w:val="20"/>
          <w:szCs w:val="20"/>
          <w:color w:val="auto"/>
        </w:rPr>
      </w:pPr>
    </w:p>
    <w:p>
      <w:pPr>
        <w:ind w:left="680" w:hanging="383"/>
        <w:spacing w:after="0"/>
        <w:tabs>
          <w:tab w:leader="none" w:pos="6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party-in-interest, as defined by ERISA.</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accompanying independent auditor’s report.</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w:t>
            </w:r>
          </w:p>
        </w:tc>
        <w:tc>
          <w:tcPr>
            <w:tcW w:w="112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(d)</w:t>
            </w:r>
          </w:p>
        </w:tc>
        <w:tc>
          <w:tcPr>
            <w:tcW w:w="78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(e)</w:t>
            </w:r>
          </w:p>
        </w:tc>
        <w:tc>
          <w:tcPr>
            <w:tcW w:w="0" w:type="dxa"/>
            <w:vAlign w:val="bottom"/>
          </w:tcPr>
          <w:p>
            <w:pPr>
              <w:spacing w:after="0"/>
              <w:rPr>
                <w:sz w:val="1"/>
                <w:szCs w:val="1"/>
                <w:color w:val="auto"/>
              </w:rPr>
            </w:pPr>
          </w:p>
        </w:tc>
      </w:tr>
      <w:tr>
        <w:trPr>
          <w:trHeight w:val="193"/>
        </w:trPr>
        <w:tc>
          <w:tcPr>
            <w:tcW w:w="3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Description of investment,</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including maturity date, rate of</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interest, collateral, par, maturity</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0" w:type="dxa"/>
            <w:vAlign w:val="bottom"/>
          </w:tcPr>
          <w:p>
            <w:pPr>
              <w:spacing w:after="0"/>
              <w:rPr>
                <w:sz w:val="1"/>
                <w:szCs w:val="1"/>
                <w:color w:val="auto"/>
              </w:rPr>
            </w:pPr>
          </w:p>
        </w:tc>
      </w:tr>
      <w:tr>
        <w:trPr>
          <w:trHeight w:val="193"/>
        </w:trPr>
        <w:tc>
          <w:tcPr>
            <w:tcW w:w="3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value, or duration</w:t>
            </w:r>
          </w:p>
        </w:tc>
        <w:tc>
          <w:tcPr>
            <w:tcW w:w="112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Cost (1)</w:t>
            </w:r>
          </w:p>
        </w:tc>
        <w:tc>
          <w:tcPr>
            <w:tcW w:w="78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
        </w:trPr>
        <w:tc>
          <w:tcPr>
            <w:tcW w:w="3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 collective trust investing in short-term securities, 10,144,328</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10,144</w:t>
            </w:r>
          </w:p>
        </w:tc>
        <w:tc>
          <w:tcPr>
            <w:tcW w:w="0" w:type="dxa"/>
            <w:vAlign w:val="bottom"/>
          </w:tcPr>
          <w:p>
            <w:pPr>
              <w:spacing w:after="0"/>
              <w:rPr>
                <w:sz w:val="1"/>
                <w:szCs w:val="1"/>
                <w:color w:val="auto"/>
              </w:rPr>
            </w:pPr>
          </w:p>
        </w:tc>
      </w:tr>
      <w:tr>
        <w:trPr>
          <w:trHeight w:val="183"/>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units</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9"/>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Common stock, 12,385,694 shares</w:t>
            </w:r>
          </w:p>
        </w:tc>
        <w:tc>
          <w:tcPr>
            <w:tcW w:w="8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372,626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509,300</w:t>
            </w:r>
          </w:p>
        </w:tc>
        <w:tc>
          <w:tcPr>
            <w:tcW w:w="0" w:type="dxa"/>
            <w:vAlign w:val="bottom"/>
          </w:tcPr>
          <w:p>
            <w:pPr>
              <w:spacing w:after="0"/>
              <w:rPr>
                <w:sz w:val="1"/>
                <w:szCs w:val="1"/>
                <w:color w:val="auto"/>
              </w:rPr>
            </w:pPr>
          </w:p>
        </w:tc>
      </w:tr>
      <w:tr>
        <w:trPr>
          <w:trHeight w:val="22"/>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2,319 participant loans, various maturities ranged from January</w:t>
            </w: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9"/>
        </w:trPr>
        <w:tc>
          <w:tcPr>
            <w:tcW w:w="368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3680" w:type="dxa"/>
            <w:vAlign w:val="bottom"/>
            <w:gridSpan w:val="2"/>
          </w:tcPr>
          <w:p>
            <w:pPr>
              <w:spacing w:after="0" w:line="137" w:lineRule="exact"/>
              <w:rPr>
                <w:sz w:val="20"/>
                <w:szCs w:val="20"/>
                <w:color w:val="auto"/>
              </w:rPr>
            </w:pPr>
            <w:r>
              <w:rPr>
                <w:rFonts w:ascii="Times New Roman" w:cs="Times New Roman" w:eastAsia="Times New Roman" w:hAnsi="Times New Roman"/>
                <w:sz w:val="14"/>
                <w:szCs w:val="14"/>
                <w:color w:val="auto"/>
              </w:rPr>
              <w:t>2026 to November 2035, interest rates range from 3% to 11%,</w:t>
            </w: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31,155</w:t>
            </w:r>
          </w:p>
        </w:tc>
        <w:tc>
          <w:tcPr>
            <w:tcW w:w="0" w:type="dxa"/>
            <w:vAlign w:val="bottom"/>
          </w:tcPr>
          <w:p>
            <w:pPr>
              <w:spacing w:after="0"/>
              <w:rPr>
                <w:sz w:val="1"/>
                <w:szCs w:val="1"/>
                <w:color w:val="auto"/>
              </w:rPr>
            </w:pPr>
          </w:p>
        </w:tc>
      </w:tr>
      <w:tr>
        <w:trPr>
          <w:trHeight w:val="186"/>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balances collateralized by participant account</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Participation in master trust agreement</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3,136,985</w:t>
            </w:r>
          </w:p>
        </w:tc>
        <w:tc>
          <w:tcPr>
            <w:tcW w:w="0" w:type="dxa"/>
            <w:vAlign w:val="bottom"/>
          </w:tcPr>
          <w:p>
            <w:pPr>
              <w:spacing w:after="0"/>
              <w:rPr>
                <w:sz w:val="1"/>
                <w:szCs w:val="1"/>
                <w:color w:val="auto"/>
              </w:rPr>
            </w:pPr>
          </w:p>
        </w:tc>
      </w:tr>
      <w:tr>
        <w:trPr>
          <w:trHeight w:val="193"/>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Master trust investment account, 10,379,779 units</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229,665</w:t>
            </w:r>
          </w:p>
        </w:tc>
        <w:tc>
          <w:tcPr>
            <w:tcW w:w="0" w:type="dxa"/>
            <w:vAlign w:val="bottom"/>
          </w:tcPr>
          <w:p>
            <w:pPr>
              <w:spacing w:after="0"/>
              <w:rPr>
                <w:sz w:val="1"/>
                <w:szCs w:val="1"/>
                <w:color w:val="auto"/>
              </w:rPr>
            </w:pPr>
          </w:p>
        </w:tc>
      </w:tr>
      <w:tr>
        <w:trPr>
          <w:trHeight w:val="22"/>
        </w:trPr>
        <w:tc>
          <w:tcPr>
            <w:tcW w:w="36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Total Plan interest in master trust accounts</w:t>
            </w: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3680" w:type="dxa"/>
            <w:vAlign w:val="bottom"/>
            <w:gridSpan w:val="2"/>
            <w:vMerge w:val="continue"/>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3,366,650</w:t>
            </w:r>
          </w:p>
        </w:tc>
        <w:tc>
          <w:tcPr>
            <w:tcW w:w="0" w:type="dxa"/>
            <w:vAlign w:val="bottom"/>
          </w:tcPr>
          <w:p>
            <w:pPr>
              <w:spacing w:after="0"/>
              <w:rPr>
                <w:sz w:val="1"/>
                <w:szCs w:val="1"/>
                <w:color w:val="auto"/>
              </w:rPr>
            </w:pPr>
          </w:p>
        </w:tc>
      </w:tr>
      <w:tr>
        <w:trPr>
          <w:trHeight w:val="193"/>
        </w:trPr>
        <w:tc>
          <w:tcPr>
            <w:tcW w:w="3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Total</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3,917,249</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7" w:lineRule="exact"/>
        <w:rPr>
          <w:sz w:val="20"/>
          <w:szCs w:val="20"/>
          <w:color w:val="auto"/>
        </w:rPr>
      </w:pPr>
    </w:p>
    <w:p>
      <w:pPr>
        <w:sectPr>
          <w:pgSz w:w="11900" w:h="16838" w:orient="portrait"/>
          <w:cols w:equalWidth="0" w:num="2">
            <w:col w:w="5500" w:space="120"/>
            <w:col w:w="5580"/>
          </w:cols>
          <w:pgMar w:left="320" w:top="888" w:right="379" w:bottom="1440"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88" w:right="37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51"/>
        </w:trPr>
        <w:tc>
          <w:tcPr>
            <w:tcW w:w="10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520" w:type="dxa"/>
            <w:vAlign w:val="bottom"/>
            <w:gridSpan w:val="4"/>
          </w:tcPr>
          <w:p>
            <w:pPr>
              <w:ind w:left="220"/>
              <w:spacing w:after="0"/>
              <w:rPr>
                <w:sz w:val="20"/>
                <w:szCs w:val="20"/>
                <w:color w:val="auto"/>
              </w:rPr>
            </w:pPr>
            <w:r>
              <w:rPr>
                <w:rFonts w:ascii="Times New Roman" w:cs="Times New Roman" w:eastAsia="Times New Roman" w:hAnsi="Times New Roman"/>
                <w:sz w:val="19"/>
                <w:szCs w:val="19"/>
                <w:b w:val="1"/>
                <w:bCs w:val="1"/>
                <w:color w:val="auto"/>
              </w:rPr>
              <w:t>OCCIDENTAL PETROLEUM CORPORATION</w:t>
            </w: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Schedule 2</w:t>
            </w:r>
          </w:p>
        </w:tc>
        <w:tc>
          <w:tcPr>
            <w:tcW w:w="0" w:type="dxa"/>
            <w:vAlign w:val="bottom"/>
          </w:tcPr>
          <w:p>
            <w:pPr>
              <w:spacing w:after="0"/>
              <w:rPr>
                <w:sz w:val="1"/>
                <w:szCs w:val="1"/>
                <w:color w:val="auto"/>
              </w:rPr>
            </w:pPr>
          </w:p>
        </w:tc>
      </w:tr>
      <w:tr>
        <w:trPr>
          <w:trHeight w:val="294"/>
        </w:trPr>
        <w:tc>
          <w:tcPr>
            <w:tcW w:w="10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740" w:type="dxa"/>
            <w:vAlign w:val="bottom"/>
            <w:gridSpan w:val="2"/>
          </w:tcPr>
          <w:p>
            <w:pPr>
              <w:jc w:val="center"/>
              <w:ind w:right="323"/>
              <w:spacing w:after="0"/>
              <w:rPr>
                <w:sz w:val="20"/>
                <w:szCs w:val="20"/>
                <w:color w:val="auto"/>
              </w:rPr>
            </w:pPr>
            <w:r>
              <w:rPr>
                <w:rFonts w:ascii="Times New Roman" w:cs="Times New Roman" w:eastAsia="Times New Roman" w:hAnsi="Times New Roman"/>
                <w:sz w:val="19"/>
                <w:szCs w:val="19"/>
                <w:b w:val="1"/>
                <w:bCs w:val="1"/>
                <w:color w:val="auto"/>
                <w:w w:val="97"/>
              </w:rPr>
              <w:t>SAVINGS PLAN</w:t>
            </w: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0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740" w:type="dxa"/>
            <w:vAlign w:val="bottom"/>
            <w:gridSpan w:val="2"/>
          </w:tcPr>
          <w:p>
            <w:pPr>
              <w:jc w:val="center"/>
              <w:ind w:right="323"/>
              <w:spacing w:after="0"/>
              <w:rPr>
                <w:sz w:val="20"/>
                <w:szCs w:val="20"/>
                <w:color w:val="auto"/>
              </w:rPr>
            </w:pPr>
            <w:r>
              <w:rPr>
                <w:rFonts w:ascii="Times New Roman" w:cs="Times New Roman" w:eastAsia="Times New Roman" w:hAnsi="Times New Roman"/>
                <w:sz w:val="19"/>
                <w:szCs w:val="19"/>
                <w:color w:val="auto"/>
                <w:w w:val="99"/>
              </w:rPr>
              <w:t>EIN #95-4035997, Plan #001</w:t>
            </w: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0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20" w:type="dxa"/>
            <w:vAlign w:val="bottom"/>
            <w:gridSpan w:val="4"/>
          </w:tcPr>
          <w:p>
            <w:pPr>
              <w:jc w:val="center"/>
              <w:spacing w:after="0"/>
              <w:rPr>
                <w:sz w:val="20"/>
                <w:szCs w:val="20"/>
                <w:color w:val="auto"/>
              </w:rPr>
            </w:pPr>
            <w:r>
              <w:rPr>
                <w:rFonts w:ascii="Times New Roman" w:cs="Times New Roman" w:eastAsia="Times New Roman" w:hAnsi="Times New Roman"/>
                <w:sz w:val="19"/>
                <w:szCs w:val="19"/>
                <w:color w:val="auto"/>
                <w:w w:val="99"/>
              </w:rPr>
              <w:t>Schedule H, Line 4j - Schedule of Reportable Transactions</w:t>
            </w: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0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20" w:type="dxa"/>
            <w:vAlign w:val="bottom"/>
            <w:gridSpan w:val="3"/>
          </w:tcPr>
          <w:p>
            <w:pPr>
              <w:jc w:val="center"/>
              <w:ind w:left="592"/>
              <w:spacing w:after="0"/>
              <w:rPr>
                <w:sz w:val="20"/>
                <w:szCs w:val="20"/>
                <w:color w:val="auto"/>
              </w:rPr>
            </w:pPr>
            <w:r>
              <w:rPr>
                <w:rFonts w:ascii="Times New Roman" w:cs="Times New Roman" w:eastAsia="Times New Roman" w:hAnsi="Times New Roman"/>
                <w:sz w:val="19"/>
                <w:szCs w:val="19"/>
                <w:color w:val="auto"/>
                <w:w w:val="98"/>
              </w:rPr>
              <w:t>Year ended December 31, 2025</w:t>
            </w: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0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740" w:type="dxa"/>
            <w:vAlign w:val="bottom"/>
            <w:gridSpan w:val="2"/>
          </w:tcPr>
          <w:p>
            <w:pPr>
              <w:jc w:val="center"/>
              <w:ind w:right="323"/>
              <w:spacing w:after="0"/>
              <w:rPr>
                <w:sz w:val="20"/>
                <w:szCs w:val="20"/>
                <w:color w:val="auto"/>
              </w:rPr>
            </w:pPr>
            <w:r>
              <w:rPr>
                <w:rFonts w:ascii="Times New Roman" w:cs="Times New Roman" w:eastAsia="Times New Roman" w:hAnsi="Times New Roman"/>
                <w:sz w:val="19"/>
                <w:szCs w:val="19"/>
                <w:color w:val="auto"/>
                <w:w w:val="99"/>
              </w:rPr>
              <w:t>(Dollar amounts in thousands)</w:t>
            </w:r>
          </w:p>
        </w:tc>
        <w:tc>
          <w:tcPr>
            <w:tcW w:w="7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3"/>
        </w:trPr>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Identity of</w:t>
            </w:r>
          </w:p>
        </w:tc>
        <w:tc>
          <w:tcPr>
            <w:tcW w:w="214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Description of asset (includes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4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5"/>
                <w:szCs w:val="15"/>
                <w:b w:val="1"/>
                <w:bCs w:val="1"/>
                <w:color w:val="auto"/>
              </w:rPr>
              <w:t>Expense Incurred</w:t>
            </w:r>
          </w:p>
        </w:tc>
        <w:tc>
          <w:tcPr>
            <w:tcW w:w="96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Current Value of</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80" w:type="dxa"/>
            <w:vAlign w:val="bottom"/>
            <w:vMerge w:val="continue"/>
          </w:tcPr>
          <w:p>
            <w:pPr>
              <w:spacing w:after="0"/>
              <w:rPr>
                <w:sz w:val="13"/>
                <w:szCs w:val="13"/>
                <w:color w:val="auto"/>
              </w:rPr>
            </w:pPr>
          </w:p>
        </w:tc>
        <w:tc>
          <w:tcPr>
            <w:tcW w:w="2140" w:type="dxa"/>
            <w:vAlign w:val="bottom"/>
          </w:tcPr>
          <w:p>
            <w:pPr>
              <w:ind w:left="160"/>
              <w:spacing w:after="0" w:line="155" w:lineRule="exact"/>
              <w:rPr>
                <w:sz w:val="20"/>
                <w:szCs w:val="20"/>
                <w:color w:val="auto"/>
              </w:rPr>
            </w:pPr>
            <w:r>
              <w:rPr>
                <w:rFonts w:ascii="Times New Roman" w:cs="Times New Roman" w:eastAsia="Times New Roman" w:hAnsi="Times New Roman"/>
                <w:sz w:val="15"/>
                <w:szCs w:val="15"/>
                <w:b w:val="1"/>
                <w:bCs w:val="1"/>
                <w:color w:val="auto"/>
              </w:rPr>
              <w:t>interest rate and maturity in</w:t>
            </w:r>
          </w:p>
        </w:tc>
        <w:tc>
          <w:tcPr>
            <w:tcW w:w="1240" w:type="dxa"/>
            <w:vAlign w:val="bottom"/>
            <w:gridSpan w:val="2"/>
            <w:vMerge w:val="restart"/>
          </w:tcPr>
          <w:p>
            <w:pPr>
              <w:jc w:val="right"/>
              <w:ind w:right="72"/>
              <w:spacing w:after="0"/>
              <w:rPr>
                <w:sz w:val="20"/>
                <w:szCs w:val="20"/>
                <w:color w:val="auto"/>
              </w:rPr>
            </w:pPr>
            <w:r>
              <w:rPr>
                <w:rFonts w:ascii="Times New Roman" w:cs="Times New Roman" w:eastAsia="Times New Roman" w:hAnsi="Times New Roman"/>
                <w:sz w:val="15"/>
                <w:szCs w:val="15"/>
                <w:b w:val="1"/>
                <w:bCs w:val="1"/>
                <w:color w:val="auto"/>
              </w:rPr>
              <w:t>Purchase Price</w:t>
            </w:r>
          </w:p>
        </w:tc>
        <w:tc>
          <w:tcPr>
            <w:tcW w:w="1100" w:type="dxa"/>
            <w:vAlign w:val="bottom"/>
            <w:vMerge w:val="restart"/>
          </w:tcPr>
          <w:p>
            <w:pPr>
              <w:jc w:val="right"/>
              <w:ind w:right="154"/>
              <w:spacing w:after="0"/>
              <w:rPr>
                <w:sz w:val="20"/>
                <w:szCs w:val="20"/>
                <w:color w:val="auto"/>
              </w:rPr>
            </w:pPr>
            <w:r>
              <w:rPr>
                <w:rFonts w:ascii="Times New Roman" w:cs="Times New Roman" w:eastAsia="Times New Roman" w:hAnsi="Times New Roman"/>
                <w:sz w:val="15"/>
                <w:szCs w:val="15"/>
                <w:b w:val="1"/>
                <w:bCs w:val="1"/>
                <w:color w:val="auto"/>
              </w:rPr>
              <w:t>Selling Price</w:t>
            </w:r>
          </w:p>
        </w:tc>
        <w:tc>
          <w:tcPr>
            <w:tcW w:w="2340" w:type="dxa"/>
            <w:vAlign w:val="bottom"/>
            <w:gridSpan w:val="2"/>
            <w:vMerge w:val="continue"/>
          </w:tcPr>
          <w:p>
            <w:pPr>
              <w:spacing w:after="0"/>
              <w:rPr>
                <w:sz w:val="13"/>
                <w:szCs w:val="13"/>
                <w:color w:val="auto"/>
              </w:rPr>
            </w:pPr>
          </w:p>
        </w:tc>
        <w:tc>
          <w:tcPr>
            <w:tcW w:w="96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Cost of Asset</w:t>
            </w:r>
          </w:p>
        </w:tc>
        <w:tc>
          <w:tcPr>
            <w:tcW w:w="260" w:type="dxa"/>
            <w:vAlign w:val="bottom"/>
          </w:tcPr>
          <w:p>
            <w:pPr>
              <w:spacing w:after="0"/>
              <w:rPr>
                <w:sz w:val="13"/>
                <w:szCs w:val="13"/>
                <w:color w:val="auto"/>
              </w:rPr>
            </w:pPr>
          </w:p>
        </w:tc>
        <w:tc>
          <w:tcPr>
            <w:tcW w:w="1000" w:type="dxa"/>
            <w:vAlign w:val="bottom"/>
          </w:tcPr>
          <w:p>
            <w:pPr>
              <w:jc w:val="right"/>
              <w:ind w:right="243"/>
              <w:spacing w:after="0" w:line="155" w:lineRule="exact"/>
              <w:rPr>
                <w:sz w:val="20"/>
                <w:szCs w:val="20"/>
                <w:color w:val="auto"/>
              </w:rPr>
            </w:pPr>
            <w:r>
              <w:rPr>
                <w:rFonts w:ascii="Times New Roman" w:cs="Times New Roman" w:eastAsia="Times New Roman" w:hAnsi="Times New Roman"/>
                <w:sz w:val="15"/>
                <w:szCs w:val="15"/>
                <w:b w:val="1"/>
                <w:bCs w:val="1"/>
                <w:color w:val="auto"/>
              </w:rPr>
              <w:t>Asset on</w:t>
            </w:r>
          </w:p>
        </w:tc>
        <w:tc>
          <w:tcPr>
            <w:tcW w:w="220" w:type="dxa"/>
            <w:vAlign w:val="bottom"/>
          </w:tcPr>
          <w:p>
            <w:pPr>
              <w:spacing w:after="0"/>
              <w:rPr>
                <w:sz w:val="13"/>
                <w:szCs w:val="13"/>
                <w:color w:val="auto"/>
              </w:rPr>
            </w:pP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Net gain</w:t>
            </w:r>
          </w:p>
        </w:tc>
        <w:tc>
          <w:tcPr>
            <w:tcW w:w="0" w:type="dxa"/>
            <w:vAlign w:val="bottom"/>
          </w:tcPr>
          <w:p>
            <w:pPr>
              <w:spacing w:after="0"/>
              <w:rPr>
                <w:sz w:val="1"/>
                <w:szCs w:val="1"/>
                <w:color w:val="auto"/>
              </w:rPr>
            </w:pPr>
          </w:p>
        </w:tc>
      </w:tr>
      <w:tr>
        <w:trPr>
          <w:trHeight w:val="205"/>
        </w:trPr>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party involved</w:t>
            </w:r>
          </w:p>
        </w:tc>
        <w:tc>
          <w:tcPr>
            <w:tcW w:w="21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5"/>
                <w:szCs w:val="15"/>
                <w:b w:val="1"/>
                <w:bCs w:val="1"/>
                <w:color w:val="auto"/>
              </w:rPr>
              <w:t>case of loan)</w:t>
            </w:r>
          </w:p>
        </w:tc>
        <w:tc>
          <w:tcPr>
            <w:tcW w:w="1240" w:type="dxa"/>
            <w:vAlign w:val="bottom"/>
            <w:tcBorders>
              <w:bottom w:val="single" w:sz="8" w:color="auto"/>
            </w:tcBorders>
            <w:gridSpan w:val="2"/>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2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Lease Rental  with Transaction</w:t>
            </w:r>
          </w:p>
        </w:tc>
        <w:tc>
          <w:tcPr>
            <w:tcW w:w="96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Transaction Date</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Series of transactions:</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080" w:type="dxa"/>
            <w:vAlign w:val="bottom"/>
          </w:tcPr>
          <w:p>
            <w:pPr>
              <w:ind w:left="20"/>
              <w:spacing w:after="0" w:line="161" w:lineRule="exact"/>
              <w:rPr>
                <w:sz w:val="20"/>
                <w:szCs w:val="20"/>
                <w:color w:val="auto"/>
              </w:rPr>
            </w:pPr>
            <w:r>
              <w:rPr>
                <w:rFonts w:ascii="Times New Roman" w:cs="Times New Roman" w:eastAsia="Times New Roman" w:hAnsi="Times New Roman"/>
                <w:sz w:val="15"/>
                <w:szCs w:val="15"/>
                <w:color w:val="auto"/>
              </w:rPr>
              <w:t>* Bank of New</w:t>
            </w:r>
          </w:p>
        </w:tc>
        <w:tc>
          <w:tcPr>
            <w:tcW w:w="21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EB Temporary Investment Fund: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York</w:t>
            </w:r>
          </w:p>
        </w:tc>
        <w:tc>
          <w:tcPr>
            <w:tcW w:w="21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80" w:type="dxa"/>
            <w:vAlign w:val="bottom"/>
          </w:tcPr>
          <w:p>
            <w:pPr>
              <w:spacing w:after="0"/>
              <w:rPr>
                <w:sz w:val="17"/>
                <w:szCs w:val="17"/>
                <w:color w:val="auto"/>
              </w:rPr>
            </w:pPr>
          </w:p>
        </w:tc>
        <w:tc>
          <w:tcPr>
            <w:tcW w:w="21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167 Acquisitions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106,205 $</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640" w:type="dxa"/>
            <w:vAlign w:val="bottom"/>
          </w:tcPr>
          <w:p>
            <w:pPr>
              <w:ind w:left="76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106,205</w:t>
            </w:r>
          </w:p>
        </w:tc>
        <w:tc>
          <w:tcPr>
            <w:tcW w:w="2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106,205</w:t>
            </w:r>
          </w:p>
        </w:tc>
        <w:tc>
          <w:tcPr>
            <w:tcW w:w="2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1080" w:type="dxa"/>
            <w:vAlign w:val="bottom"/>
          </w:tcPr>
          <w:p>
            <w:pPr>
              <w:spacing w:after="0"/>
              <w:rPr>
                <w:sz w:val="17"/>
                <w:szCs w:val="17"/>
                <w:color w:val="auto"/>
              </w:rPr>
            </w:pPr>
          </w:p>
        </w:tc>
        <w:tc>
          <w:tcPr>
            <w:tcW w:w="21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274 Dispositions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108,075 $</w:t>
            </w:r>
          </w:p>
        </w:tc>
        <w:tc>
          <w:tcPr>
            <w:tcW w:w="1640" w:type="dxa"/>
            <w:vAlign w:val="bottom"/>
          </w:tcPr>
          <w:p>
            <w:pPr>
              <w:ind w:left="76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108,075</w:t>
            </w:r>
          </w:p>
        </w:tc>
        <w:tc>
          <w:tcPr>
            <w:tcW w:w="2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108,075</w:t>
            </w:r>
          </w:p>
        </w:tc>
        <w:tc>
          <w:tcPr>
            <w:tcW w:w="2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Represents a party-in-interest, as defined by ERISA.</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18" w:name="page19"/>
    <w:bookmarkEnd w:id="18"/>
    <w:p>
      <w:pPr>
        <w:jc w:val="center"/>
        <w:ind w:right="-99"/>
        <w:spacing w:after="0"/>
        <w:rPr>
          <w:sz w:val="20"/>
          <w:szCs w:val="20"/>
          <w:color w:val="auto"/>
        </w:rPr>
      </w:pPr>
      <w:r>
        <w:rPr>
          <w:rFonts w:ascii="Arial" w:cs="Arial" w:eastAsia="Arial" w:hAnsi="Arial"/>
          <w:sz w:val="15"/>
          <w:szCs w:val="15"/>
          <w:b w:val="1"/>
          <w:bCs w:val="1"/>
          <w:color w:val="auto"/>
        </w:rPr>
        <w:t>Signatures</w:t>
      </w:r>
    </w:p>
    <w:p>
      <w:pPr>
        <w:spacing w:after="0" w:line="203" w:lineRule="exact"/>
        <w:rPr>
          <w:sz w:val="20"/>
          <w:szCs w:val="20"/>
          <w:color w:val="auto"/>
        </w:rPr>
      </w:pPr>
    </w:p>
    <w:p>
      <w:pPr>
        <w:ind w:firstLine="619"/>
        <w:spacing w:after="0" w:line="294" w:lineRule="auto"/>
        <w:rPr>
          <w:sz w:val="20"/>
          <w:szCs w:val="20"/>
          <w:color w:val="auto"/>
        </w:rPr>
      </w:pPr>
      <w:r>
        <w:rPr>
          <w:rFonts w:ascii="Arial" w:cs="Arial" w:eastAsia="Arial" w:hAnsi="Arial"/>
          <w:sz w:val="15"/>
          <w:szCs w:val="15"/>
          <w:color w:val="auto"/>
        </w:rPr>
        <w:t>Pursuant to the requirements of the Securities Exchange Act of 1934, the trustees (or other persons who administer the Occidental Petroleum Corporation Savings Plan) have duly caused this annual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5400"/>
        <w:spacing w:after="0"/>
        <w:rPr>
          <w:sz w:val="20"/>
          <w:szCs w:val="20"/>
          <w:color w:val="auto"/>
        </w:rPr>
      </w:pPr>
      <w:r>
        <w:rPr>
          <w:rFonts w:ascii="Arial" w:cs="Arial" w:eastAsia="Arial" w:hAnsi="Arial"/>
          <w:sz w:val="15"/>
          <w:szCs w:val="15"/>
          <w:color w:val="auto"/>
        </w:rPr>
        <w:t>OCCIDENTAL PETROLEUM CORPORATION SAVINGS PLAN</w:t>
      </w:r>
    </w:p>
    <w:p>
      <w:pPr>
        <w:spacing w:after="0" w:line="200" w:lineRule="exact"/>
        <w:rPr>
          <w:sz w:val="20"/>
          <w:szCs w:val="20"/>
          <w:color w:val="auto"/>
        </w:rPr>
      </w:pPr>
    </w:p>
    <w:p>
      <w:pPr>
        <w:spacing w:after="0" w:line="246" w:lineRule="exact"/>
        <w:rPr>
          <w:sz w:val="20"/>
          <w:szCs w:val="20"/>
          <w:color w:val="auto"/>
        </w:rPr>
      </w:pPr>
    </w:p>
    <w:p>
      <w:pPr>
        <w:ind w:left="5400"/>
        <w:spacing w:after="0"/>
        <w:tabs>
          <w:tab w:leader="none" w:pos="60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Madelaine Pfahler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3825240</wp:posOffset>
            </wp:positionH>
            <wp:positionV relativeFrom="paragraph">
              <wp:posOffset>20955</wp:posOffset>
            </wp:positionV>
            <wp:extent cx="32988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98825" cy="8255"/>
                    </a:xfrm>
                    <a:prstGeom prst="rect">
                      <a:avLst/>
                    </a:prstGeom>
                    <a:noFill/>
                  </pic:spPr>
                </pic:pic>
              </a:graphicData>
            </a:graphic>
          </wp:anchor>
        </w:drawing>
      </w:r>
    </w:p>
    <w:p>
      <w:pPr>
        <w:spacing w:after="0" w:line="27" w:lineRule="exact"/>
        <w:rPr>
          <w:sz w:val="20"/>
          <w:szCs w:val="20"/>
          <w:color w:val="auto"/>
        </w:rPr>
      </w:pPr>
    </w:p>
    <w:p>
      <w:pPr>
        <w:ind w:left="6040"/>
        <w:spacing w:after="0"/>
        <w:rPr>
          <w:sz w:val="20"/>
          <w:szCs w:val="20"/>
          <w:color w:val="auto"/>
        </w:rPr>
      </w:pPr>
      <w:r>
        <w:rPr>
          <w:rFonts w:ascii="Arial" w:cs="Arial" w:eastAsia="Arial" w:hAnsi="Arial"/>
          <w:sz w:val="15"/>
          <w:szCs w:val="15"/>
          <w:color w:val="auto"/>
        </w:rPr>
        <w:t>Madelaine Pfahler - Chair of the</w:t>
      </w:r>
    </w:p>
    <w:p>
      <w:pPr>
        <w:spacing w:after="0" w:line="34" w:lineRule="exact"/>
        <w:rPr>
          <w:sz w:val="20"/>
          <w:szCs w:val="20"/>
          <w:color w:val="auto"/>
        </w:rPr>
      </w:pPr>
    </w:p>
    <w:p>
      <w:pPr>
        <w:ind w:left="6040"/>
        <w:spacing w:after="0"/>
        <w:rPr>
          <w:sz w:val="20"/>
          <w:szCs w:val="20"/>
          <w:color w:val="auto"/>
        </w:rPr>
      </w:pPr>
      <w:r>
        <w:rPr>
          <w:rFonts w:ascii="Arial" w:cs="Arial" w:eastAsia="Arial" w:hAnsi="Arial"/>
          <w:sz w:val="15"/>
          <w:szCs w:val="15"/>
          <w:color w:val="auto"/>
        </w:rPr>
        <w:t>Occidental Petroleum Corporation</w:t>
      </w:r>
    </w:p>
    <w:p>
      <w:pPr>
        <w:spacing w:after="0" w:line="34" w:lineRule="exact"/>
        <w:rPr>
          <w:sz w:val="20"/>
          <w:szCs w:val="20"/>
          <w:color w:val="auto"/>
        </w:rPr>
      </w:pPr>
    </w:p>
    <w:p>
      <w:pPr>
        <w:ind w:left="6040"/>
        <w:spacing w:after="0"/>
        <w:rPr>
          <w:sz w:val="20"/>
          <w:szCs w:val="20"/>
          <w:color w:val="auto"/>
        </w:rPr>
      </w:pPr>
      <w:r>
        <w:rPr>
          <w:rFonts w:ascii="Arial" w:cs="Arial" w:eastAsia="Arial" w:hAnsi="Arial"/>
          <w:sz w:val="15"/>
          <w:szCs w:val="15"/>
          <w:color w:val="auto"/>
        </w:rPr>
        <w:t>Pension and Retirement Plan Administrative Committee</w:t>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Dated: June 29, 2026</w:t>
      </w:r>
    </w:p>
    <w:p>
      <w:pPr>
        <w:spacing w:after="0" w:line="200" w:lineRule="exact"/>
        <w:rPr>
          <w:sz w:val="20"/>
          <w:szCs w:val="20"/>
          <w:color w:val="auto"/>
        </w:rPr>
      </w:pPr>
    </w:p>
    <w:p>
      <w:pPr>
        <w:spacing w:after="0" w:line="3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860" w:right="4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4"/>
        </w:trPr>
        <w:tc>
          <w:tcPr>
            <w:tcW w:w="2480" w:type="dxa"/>
            <w:vAlign w:val="bottom"/>
          </w:tcPr>
          <w:p>
            <w:pPr>
              <w:spacing w:after="0"/>
              <w:rPr>
                <w:sz w:val="18"/>
                <w:szCs w:val="18"/>
                <w:color w:val="auto"/>
              </w:rPr>
            </w:pPr>
          </w:p>
        </w:tc>
        <w:tc>
          <w:tcPr>
            <w:tcW w:w="8760" w:type="dxa"/>
            <w:vAlign w:val="bottom"/>
          </w:tcPr>
          <w:p>
            <w:pPr>
              <w:ind w:left="2660"/>
              <w:spacing w:after="0"/>
              <w:rPr>
                <w:sz w:val="20"/>
                <w:szCs w:val="20"/>
                <w:color w:val="auto"/>
              </w:rPr>
            </w:pPr>
            <w:r>
              <w:rPr>
                <w:rFonts w:ascii="Arial" w:cs="Arial" w:eastAsia="Arial" w:hAnsi="Arial"/>
                <w:sz w:val="15"/>
                <w:szCs w:val="15"/>
                <w:b w:val="1"/>
                <w:bCs w:val="1"/>
                <w:color w:val="auto"/>
              </w:rPr>
              <w:t>Exhibit Index</w:t>
            </w:r>
          </w:p>
        </w:tc>
      </w:tr>
      <w:tr>
        <w:trPr>
          <w:trHeight w:val="675"/>
        </w:trPr>
        <w:tc>
          <w:tcPr>
            <w:tcW w:w="2480" w:type="dxa"/>
            <w:vAlign w:val="bottom"/>
          </w:tcPr>
          <w:p>
            <w:pPr>
              <w:jc w:val="center"/>
              <w:ind w:right="1303"/>
              <w:spacing w:after="0"/>
              <w:rPr>
                <w:sz w:val="20"/>
                <w:szCs w:val="20"/>
                <w:color w:val="auto"/>
              </w:rPr>
            </w:pPr>
            <w:r>
              <w:rPr>
                <w:rFonts w:ascii="Arial" w:cs="Arial" w:eastAsia="Arial" w:hAnsi="Arial"/>
                <w:sz w:val="15"/>
                <w:szCs w:val="15"/>
                <w:color w:val="auto"/>
              </w:rPr>
              <w:t>Exhibit</w:t>
            </w:r>
          </w:p>
        </w:tc>
        <w:tc>
          <w:tcPr>
            <w:tcW w:w="8760" w:type="dxa"/>
            <w:vAlign w:val="bottom"/>
          </w:tcPr>
          <w:p>
            <w:pPr>
              <w:spacing w:after="0"/>
              <w:rPr>
                <w:sz w:val="24"/>
                <w:szCs w:val="24"/>
                <w:color w:val="auto"/>
              </w:rPr>
            </w:pPr>
          </w:p>
        </w:tc>
      </w:tr>
      <w:tr>
        <w:trPr>
          <w:trHeight w:val="207"/>
        </w:trPr>
        <w:tc>
          <w:tcPr>
            <w:tcW w:w="2480" w:type="dxa"/>
            <w:vAlign w:val="bottom"/>
            <w:tcBorders>
              <w:bottom w:val="single" w:sz="8" w:color="auto"/>
            </w:tcBorders>
          </w:tcPr>
          <w:p>
            <w:pPr>
              <w:jc w:val="center"/>
              <w:ind w:right="1323"/>
              <w:spacing w:after="0"/>
              <w:rPr>
                <w:sz w:val="20"/>
                <w:szCs w:val="20"/>
                <w:color w:val="auto"/>
              </w:rPr>
            </w:pPr>
            <w:r>
              <w:rPr>
                <w:rFonts w:ascii="Arial" w:cs="Arial" w:eastAsia="Arial" w:hAnsi="Arial"/>
                <w:sz w:val="15"/>
                <w:szCs w:val="15"/>
                <w:color w:val="auto"/>
              </w:rPr>
              <w:t>No.</w:t>
            </w:r>
          </w:p>
        </w:tc>
        <w:tc>
          <w:tcPr>
            <w:tcW w:w="8760" w:type="dxa"/>
            <w:vAlign w:val="bottom"/>
            <w:tcBorders>
              <w:bottom w:val="single" w:sz="8" w:color="auto"/>
            </w:tcBorders>
          </w:tcPr>
          <w:p>
            <w:pPr>
              <w:jc w:val="center"/>
              <w:ind w:right="1223"/>
              <w:spacing w:after="0"/>
              <w:rPr>
                <w:sz w:val="20"/>
                <w:szCs w:val="20"/>
                <w:color w:val="auto"/>
              </w:rPr>
            </w:pPr>
            <w:r>
              <w:rPr>
                <w:rFonts w:ascii="Arial" w:cs="Arial" w:eastAsia="Arial" w:hAnsi="Arial"/>
                <w:sz w:val="15"/>
                <w:szCs w:val="15"/>
                <w:color w:val="auto"/>
              </w:rPr>
              <w:t>Exhibit</w:t>
            </w:r>
          </w:p>
        </w:tc>
      </w:tr>
      <w:tr>
        <w:trPr>
          <w:trHeight w:val="817"/>
        </w:trPr>
        <w:tc>
          <w:tcPr>
            <w:tcW w:w="2480" w:type="dxa"/>
            <w:vAlign w:val="bottom"/>
          </w:tcPr>
          <w:p>
            <w:pPr>
              <w:jc w:val="center"/>
              <w:ind w:right="1303"/>
              <w:spacing w:after="0"/>
              <w:rPr>
                <w:sz w:val="20"/>
                <w:szCs w:val="20"/>
                <w:color w:val="auto"/>
              </w:rPr>
            </w:pPr>
            <w:r>
              <w:rPr>
                <w:rFonts w:ascii="Arial" w:cs="Arial" w:eastAsia="Arial" w:hAnsi="Arial"/>
                <w:sz w:val="15"/>
                <w:szCs w:val="15"/>
                <w:color w:val="auto"/>
              </w:rPr>
              <w:t>23.1</w:t>
            </w:r>
          </w:p>
        </w:tc>
        <w:tc>
          <w:tcPr>
            <w:tcW w:w="8760" w:type="dxa"/>
            <w:vAlign w:val="bottom"/>
          </w:tcPr>
          <w:p>
            <w:pPr>
              <w:jc w:val="center"/>
              <w:ind w:right="1203"/>
              <w:spacing w:after="0"/>
              <w:rPr>
                <w:sz w:val="20"/>
                <w:szCs w:val="20"/>
                <w:color w:val="auto"/>
              </w:rPr>
            </w:pPr>
            <w:r>
              <w:rPr>
                <w:rFonts w:ascii="Arial" w:cs="Arial" w:eastAsia="Arial" w:hAnsi="Arial"/>
                <w:sz w:val="15"/>
                <w:szCs w:val="15"/>
                <w:color w:val="auto"/>
              </w:rPr>
              <w:t>Consent of Independent Registered Public Accounting Firm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1240"/>
          </w:cols>
          <w:pgMar w:left="320" w:top="860"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consent to the incorporation by reference in Registration Statement Nos. 333-286613, 333-83124, 333-207413 and 333-237414 on Form S-8 of our report dated June 29, 2026, appearing in this Annual Report on Form 11-K of the Occidental Petroleum Corporation Savings Plan for the year ended December 31,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WEAVER AND TIDWELL,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Houston, Texas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29, 2026</w:t>
      </w:r>
    </w:p>
    <w:sectPr>
      <w:pgSz w:w="11900" w:h="16838" w:orient="portrait"/>
      <w:cols w:equalWidth="0" w:num="1">
        <w:col w:w="11240"/>
      </w:cols>
      <w:pgMar w:left="320" w:top="13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upperLetter"/>
      <w:start w:val="24"/>
    </w:lvl>
  </w:abstractNum>
  <w:abstractNum w:abstractNumId="1">
    <w:nsid w:val="41A7C4C9"/>
    <w:multiLevelType w:val="hybridMultilevel"/>
    <w:lvl w:ilvl="0">
      <w:lvlJc w:val="left"/>
      <w:lvlText w:val="%1."/>
      <w:numFmt w:val="upperLetter"/>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lowerLetter"/>
      <w:start w:val="1"/>
    </w:lvl>
  </w:abstractNum>
  <w:abstractNum w:abstractNumId="4">
    <w:nsid w:val="25E45D32"/>
    <w:multiLevelType w:val="hybridMultilevel"/>
    <w:lvl w:ilvl="0">
      <w:lvlJc w:val="left"/>
      <w:lvlText w:val="(%1)"/>
      <w:numFmt w:val="lowerLetter"/>
      <w:start w:val="2"/>
    </w:lvl>
  </w:abstractNum>
  <w:abstractNum w:abstractNumId="5">
    <w:nsid w:val="519B500D"/>
    <w:multiLevelType w:val="hybridMultilevel"/>
    <w:lvl w:ilvl="0">
      <w:lvlJc w:val="left"/>
      <w:lvlText w:val="(%1)"/>
      <w:numFmt w:val="lowerLetter"/>
      <w:start w:val="3"/>
    </w:lvl>
  </w:abstractNum>
  <w:abstractNum w:abstractNumId="6">
    <w:nsid w:val="431BD7B7"/>
    <w:multiLevelType w:val="hybridMultilevel"/>
    <w:lvl w:ilvl="0">
      <w:lvlJc w:val="left"/>
      <w:lvlText w:val="(%1)"/>
      <w:numFmt w:val="lowerLetter"/>
      <w:start w:val="4"/>
    </w:lvl>
  </w:abstractNum>
  <w:abstractNum w:abstractNumId="7">
    <w:nsid w:val="3F2DBA31"/>
    <w:multiLevelType w:val="hybridMultilevel"/>
    <w:lvl w:ilvl="0">
      <w:lvlJc w:val="left"/>
      <w:lvlText w:val="(%1)"/>
      <w:numFmt w:val="lowerLetter"/>
      <w:start w:val="5"/>
    </w:lvl>
  </w:abstractNum>
  <w:abstractNum w:abstractNumId="8">
    <w:nsid w:val="7C83E458"/>
    <w:multiLevelType w:val="hybridMultilevel"/>
    <w:lvl w:ilvl="0">
      <w:lvlJc w:val="left"/>
      <w:lvlText w:val="(%1)"/>
      <w:numFmt w:val="lowerLetter"/>
      <w:start w:val="7"/>
    </w:lvl>
  </w:abstractNum>
  <w:abstractNum w:abstractNumId="9">
    <w:nsid w:val="257130A3"/>
    <w:multiLevelType w:val="hybridMultilevel"/>
    <w:lvl w:ilvl="0">
      <w:lvlJc w:val="left"/>
      <w:lvlText w:val="(%1)"/>
      <w:numFmt w:val="lowerLetter"/>
      <w:start w:val="8"/>
    </w:lvl>
  </w:abstractNum>
  <w:abstractNum w:abstractNumId="10">
    <w:nsid w:val="62BBD95A"/>
    <w:multiLevelType w:val="hybridMultilevel"/>
    <w:lvl w:ilvl="0">
      <w:lvlJc w:val="left"/>
      <w:lvlText w:val="(%1)"/>
      <w:numFmt w:val="lowerRoman"/>
      <w:start w:val="1"/>
    </w:lvl>
  </w:abstractNum>
  <w:abstractNum w:abstractNumId="11">
    <w:nsid w:val="436C6125"/>
    <w:multiLevelType w:val="hybridMultilevel"/>
    <w:lvl w:ilvl="0">
      <w:lvlJc w:val="left"/>
      <w:lvlText w:val="(%1)"/>
      <w:numFmt w:val="decimal"/>
      <w:start w:val="2"/>
    </w:lvl>
    <w:lvl w:ilvl="1">
      <w:lvlJc w:val="left"/>
      <w:lvlText w:val="(%2)"/>
      <w:numFmt w:val="lowerLetter"/>
      <w:start w:val="1"/>
    </w:lvl>
  </w:abstractNum>
  <w:abstractNum w:abstractNumId="12">
    <w:nsid w:val="628C895D"/>
    <w:multiLevelType w:val="hybridMultilevel"/>
    <w:lvl w:ilvl="0">
      <w:lvlJc w:val="left"/>
      <w:lvlText w:val="(%1)"/>
      <w:numFmt w:val="lowerLetter"/>
      <w:start w:val="4"/>
    </w:lvl>
  </w:abstractNum>
  <w:abstractNum w:abstractNumId="13">
    <w:nsid w:val="333AB105"/>
    <w:multiLevelType w:val="hybridMultilevel"/>
    <w:lvl w:ilvl="0">
      <w:lvlJc w:val="left"/>
      <w:lvlText w:val="(%1)"/>
      <w:numFmt w:val="lowerLetter"/>
      <w:start w:val="5"/>
    </w:lvl>
  </w:abstractNum>
  <w:abstractNum w:abstractNumId="14">
    <w:nsid w:val="721DA317"/>
    <w:multiLevelType w:val="hybridMultilevel"/>
    <w:lvl w:ilvl="0">
      <w:lvlJc w:val="left"/>
      <w:lvlText w:val="(%1)"/>
      <w:numFmt w:val="lowerLetter"/>
      <w:start w:val="7"/>
    </w:lvl>
  </w:abstractNum>
  <w:abstractNum w:abstractNumId="15">
    <w:nsid w:val="2443A858"/>
    <w:multiLevelType w:val="hybridMultilevel"/>
    <w:lvl w:ilvl="0">
      <w:lvlJc w:val="left"/>
      <w:lvlText w:val="(%1)"/>
      <w:numFmt w:val="decimal"/>
      <w:start w:val="3"/>
    </w:lvl>
  </w:abstractNum>
  <w:abstractNum w:abstractNumId="16">
    <w:nsid w:val="2D1D5AE9"/>
    <w:multiLevelType w:val="hybridMultilevel"/>
    <w:lvl w:ilvl="0">
      <w:lvlJc w:val="left"/>
      <w:lvlText w:val="(%1)"/>
      <w:numFmt w:val="lowerLetter"/>
      <w:start w:val="1"/>
    </w:lvl>
  </w:abstractNum>
  <w:abstractNum w:abstractNumId="17">
    <w:nsid w:val="6763845E"/>
    <w:multiLevelType w:val="hybridMultilevel"/>
    <w:lvl w:ilvl="0">
      <w:lvlJc w:val="left"/>
      <w:lvlText w:val="(%1)"/>
      <w:numFmt w:val="lowerLetter"/>
      <w:start w:val="2"/>
    </w:lvl>
  </w:abstractNum>
  <w:abstractNum w:abstractNumId="18">
    <w:nsid w:val="75A2A8D4"/>
    <w:multiLevelType w:val="hybridMultilevel"/>
    <w:lvl w:ilvl="0">
      <w:lvlJc w:val="left"/>
      <w:lvlText w:val="(%1)"/>
      <w:numFmt w:val="lowerLetter"/>
      <w:start w:val="3"/>
    </w:lvl>
  </w:abstractNum>
  <w:abstractNum w:abstractNumId="19">
    <w:nsid w:val="8EDBDAB"/>
    <w:multiLevelType w:val="hybridMultilevel"/>
    <w:lvl w:ilvl="0">
      <w:lvlJc w:val="left"/>
      <w:lvlText w:val="(%1)"/>
      <w:numFmt w:val="lowerLetter"/>
      <w:start w:val="5"/>
    </w:lvl>
  </w:abstractNum>
  <w:abstractNum w:abstractNumId="20">
    <w:nsid w:val="79838CB2"/>
    <w:multiLevelType w:val="hybridMultilevel"/>
    <w:lvl w:ilvl="0">
      <w:lvlJc w:val="left"/>
      <w:lvlText w:val="(%1)"/>
      <w:numFmt w:val="decimal"/>
      <w:start w:val="4"/>
    </w:lvl>
  </w:abstractNum>
  <w:abstractNum w:abstractNumId="21">
    <w:nsid w:val="4353D0CD"/>
    <w:multiLevelType w:val="hybridMultilevel"/>
    <w:lvl w:ilvl="0">
      <w:lvlJc w:val="left"/>
      <w:lvlText w:val="(%1)"/>
      <w:numFmt w:val="lowerRoman"/>
      <w:start w:val="3"/>
    </w:lvl>
  </w:abstractNum>
  <w:abstractNum w:abstractNumId="22">
    <w:nsid w:val="B03E0C6"/>
    <w:multiLevelType w:val="hybridMultilevel"/>
    <w:lvl w:ilvl="0">
      <w:lvlJc w:val="left"/>
      <w:lvlText w:val="(%1)"/>
      <w:numFmt w:val="decimal"/>
      <w:start w:val="5"/>
    </w:lvl>
  </w:abstractNum>
  <w:abstractNum w:abstractNumId="23">
    <w:nsid w:val="189A769B"/>
    <w:multiLevelType w:val="hybridMultilevel"/>
    <w:lvl w:ilvl="0">
      <w:lvlJc w:val="left"/>
      <w:lvlText w:val="(%1)"/>
      <w:numFmt w:val="decimal"/>
      <w:start w:val="6"/>
    </w:lvl>
  </w:abstractNum>
  <w:abstractNum w:abstractNumId="24">
    <w:nsid w:val="54E49EB4"/>
    <w:multiLevelType w:val="hybridMultilevel"/>
    <w:lvl w:ilvl="0">
      <w:lvlJc w:val="left"/>
      <w:lvlText w:val="(%1)"/>
      <w:numFmt w:val="decimal"/>
      <w:start w:val="7"/>
    </w:lvl>
  </w:abstractNum>
  <w:abstractNum w:abstractNumId="25">
    <w:nsid w:val="71F32454"/>
    <w:multiLevelType w:val="hybridMultilevel"/>
    <w:lvl w:ilvl="0">
      <w:lvlJc w:val="left"/>
      <w:lvlText w:val="(%1)"/>
      <w:numFmt w:val="decimal"/>
      <w:start w:val="8"/>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1)"/>
      <w:numFmt w:val="decimal"/>
    </w:lvl>
    <w:lvl w:ilvl="1">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2026-06-29T15:55:06Z</dcterms:created>
  <dcterms:modified xsi:type="dcterms:W3CDTF">2026-06-29T15:55:06Z</dcterms:modified>
</cp:coreProperties>
</file>