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April 3, 2020</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OCCIDENTAL PETROLEUM CORPORATION</w:t>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535" w:right="419" w:bottom="1440" w:gutter="0" w:footer="0" w:header="0"/>
        </w:sectPr>
      </w:pPr>
    </w:p>
    <w:p>
      <w:pPr>
        <w:spacing w:after="0" w:line="22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001-09210</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95-4035997</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60" w:space="720"/>
            <w:col w:w="3060"/>
          </w:cols>
          <w:pgMar w:left="320" w:top="535" w:right="41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 Greenway Plaza, Suite 110</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77046</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080"/>
          </w:cols>
          <w:pgMar w:left="320" w:top="535" w:right="41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215-7000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jc w:val="both"/>
        <w:ind w:right="434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535" w:right="419" w:bottom="144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Common Stock, $0.20 par value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r>
        <w:rPr>
          <w:rFonts w:ascii="Arial" w:cs="Arial" w:eastAsia="Arial" w:hAnsi="Arial"/>
          <w:sz w:val="16"/>
          <w:szCs w:val="16"/>
          <w:color w:val="auto"/>
        </w:rPr>
        <w: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OXY</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right="148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080" w:space="720"/>
            <w:col w:w="1640" w:space="720"/>
            <w:col w:w="5000"/>
          </w:cols>
          <w:pgMar w:left="320" w:top="535" w:right="41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35" w:right="419" w:bottom="1440" w:gutter="0" w:footer="0" w:header="0"/>
          <w:type w:val="continuous"/>
        </w:sectPr>
      </w:pPr>
    </w:p>
    <w:bookmarkStart w:id="1" w:name="page2"/>
    <w:bookmarkEnd w:id="1"/>
    <w:p>
      <w:pPr>
        <w:ind w:left="980" w:right="1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April 3, 2020, Robert Peterson, 49, was appointed Senior Vice President and Chief Financial Officer of Occidental Petroleum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Cedric Burgher will transition to another role within the Company.</w:t>
      </w:r>
    </w:p>
    <w:p>
      <w:pPr>
        <w:spacing w:after="0" w:line="17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Mr. Peterson has served as Senior Vice President, Permian EOR, Occidental Oil and Gas, since September 2019. Prior to that, Mr. Peterson was Vice President, Permian Strategy, Occidental Oil and Gas, from November 2018 to September 2019, where he was responsible for developing and implementing a joint portfolio, technology and people strategy for the Company’s Permian business and ensuring alignment with Occidental’s Low Carbon Ventures strategy, and was President of OxyChem, the Company’s chemical subsidiary, from August 2014 to September 2017, where he was instrumental in completing its major capital investments and improving the profitability of the business. Mr. Peterson holds a Bachelor’s degree in Mechanical Engineering and an MBA in Corporate Finance from the University of Florida.</w:t>
      </w:r>
    </w:p>
    <w:p>
      <w:pPr>
        <w:spacing w:after="0" w:line="178"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Mr. Peterson does not have any family relationships with any director, executive officer or person nominated or chosen to become a director or executive officer of Occidental, and there are no arrangements or understandings between Mr. Peterson and any other person pursuant to which Mr. Peterson was appointed as the Senior Vice President and Chief Financial Officer of the Company. There are no related party transactions involving Mr. Peterson that are reportable under Item 404(a) of Regulation S-K.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880" w:type="dxa"/>
            <w:vAlign w:val="bottom"/>
          </w:tcPr>
          <w:p>
            <w:pPr>
              <w:spacing w:after="0"/>
              <w:rPr>
                <w:sz w:val="17"/>
                <w:szCs w:val="17"/>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560" w:type="dxa"/>
            <w:vAlign w:val="bottom"/>
            <w:gridSpan w:val="3"/>
          </w:tcPr>
          <w:p>
            <w:pPr>
              <w:ind w:left="78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 preliminary proxy statement on Schedule 14A, containing a form of proxy card, with respect to its solicitation of proxies for the Company’s 2020 Annual Meeting of Stockholders (the “</w:t>
      </w:r>
      <w:r>
        <w:rPr>
          <w:rFonts w:ascii="Arial" w:cs="Arial" w:eastAsia="Arial" w:hAnsi="Arial"/>
          <w:sz w:val="18"/>
          <w:szCs w:val="18"/>
          <w:u w:val="single" w:color="auto"/>
          <w:color w:val="auto"/>
        </w:rPr>
        <w:t>2020 Annual Meeting</w:t>
      </w:r>
      <w:r>
        <w:rPr>
          <w:rFonts w:ascii="Arial" w:cs="Arial" w:eastAsia="Arial" w:hAnsi="Arial"/>
          <w:sz w:val="18"/>
          <w:szCs w:val="18"/>
          <w:color w:val="auto"/>
        </w:rPr>
        <w:t>”). The proxy statement is in preliminary form and the Company intends to file and mail a definitive proxy statement to stockholders of the Company. This communication is not a substitute for any proxy statement or other document that the Company has filed or may file with the SEC in connection with any solicitation by the Company.</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INVESTORS AND SECURITY HOLDERS ARE URGED TO READ THE PROXY STATEMENT (INCLUDING ANY AMENDMENTS OR SUPPLEMENTS THERETO) FILED BY THE COMPANY AND ANY OTHER RELEVANT DOCUMENTS FILED WITH THE SEC CAREFULLY AND IN THEIR ENTIRETY BECAUSE THEY CONTAIN OR WILL CONTAIN IMPORTANT INFORMATION ABOUT ANY SOLICITATION BY THE COMPANY. Investors and security holders may obtain copies of these documents and other documents filed with the SEC by the Company free of charge through the website maintained by the SEC at www.sec.gov. Copies of the documents filed by the Company are also available free of charge by accessing the Company’s website at www.oxy.com.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its directors and executive officers and other members of management and employees may be deemed participants in the solicitation of proxies by the Company. Information about the Company’s executive officers and directors and their respective direct or indirect interests, by security holdings or otherwise, is available in the Company’s preliminary proxy statement for its 2020 Annual Meeting, which was filed with the SEC on April 1, 2020, and will be included in the Company’s definitive proxy statement, once available. To the extent holdings of the Company’s securities reported in the proxy statement for the 2020 Annual Meeting have changed, such changes have been or will be reflected on Statements of Change in Ownership on Forms 3, 4 or 5 filed with the SEC. These documents are or will be available free of charge at the SEC’s website at www.sec.gov.</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OCCIDENTAL PETROLEUM CORPORATION</w:t>
            </w:r>
          </w:p>
        </w:tc>
      </w:tr>
      <w:tr>
        <w:trPr>
          <w:trHeight w:val="439"/>
        </w:trPr>
        <w:tc>
          <w:tcPr>
            <w:tcW w:w="350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Nicole E. Clark</w:t>
            </w:r>
          </w:p>
        </w:tc>
      </w:tr>
      <w:tr>
        <w:trPr>
          <w:trHeight w:val="202"/>
        </w:trPr>
        <w:tc>
          <w:tcPr>
            <w:tcW w:w="3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Nicole E. Clark</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April 3, 2020</w:t>
            </w: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Vice President, Deputy General Counsel and Corporate Secretary</w:t>
            </w:r>
          </w:p>
        </w:tc>
      </w:tr>
      <w:tr>
        <w:trPr>
          <w:trHeight w:val="595"/>
        </w:trPr>
        <w:tc>
          <w:tcPr>
            <w:tcW w:w="3500" w:type="dxa"/>
            <w:vAlign w:val="bottom"/>
          </w:tcPr>
          <w:p>
            <w:pPr>
              <w:spacing w:after="0"/>
              <w:rPr>
                <w:sz w:val="24"/>
                <w:szCs w:val="24"/>
                <w:color w:val="auto"/>
              </w:rPr>
            </w:pPr>
          </w:p>
        </w:tc>
        <w:tc>
          <w:tcPr>
            <w:tcW w:w="2460" w:type="dxa"/>
            <w:vAlign w:val="bottom"/>
          </w:tcPr>
          <w:p>
            <w:pPr>
              <w:jc w:val="right"/>
              <w:ind w:right="216"/>
              <w:spacing w:after="0"/>
              <w:rPr>
                <w:sz w:val="20"/>
                <w:szCs w:val="20"/>
                <w:color w:val="auto"/>
              </w:rPr>
            </w:pPr>
            <w:r>
              <w:rPr>
                <w:rFonts w:ascii="Arial" w:cs="Arial" w:eastAsia="Arial" w:hAnsi="Arial"/>
                <w:sz w:val="14"/>
                <w:szCs w:val="14"/>
                <w:color w:val="auto"/>
              </w:rPr>
              <w:t>3</w:t>
            </w:r>
          </w:p>
        </w:tc>
        <w:tc>
          <w:tcPr>
            <w:tcW w:w="5280" w:type="dxa"/>
            <w:vAlign w:val="bottom"/>
          </w:tcPr>
          <w:p>
            <w:pPr>
              <w:spacing w:after="0"/>
              <w:rPr>
                <w:sz w:val="24"/>
                <w:szCs w:val="24"/>
                <w:color w:val="auto"/>
              </w:rPr>
            </w:pPr>
          </w:p>
        </w:tc>
      </w:tr>
      <w:tr>
        <w:trPr>
          <w:trHeight w:val="87"/>
        </w:trPr>
        <w:tc>
          <w:tcPr>
            <w:tcW w:w="350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2020-04-03T16:03:58Z</dcterms:created>
  <dcterms:modified xsi:type="dcterms:W3CDTF">2020-04-03T16:03:58Z</dcterms:modified>
</cp:coreProperties>
</file>