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3" w:lineRule="exact"/>
        <w:rPr>
          <w:sz w:val="24"/>
          <w:szCs w:val="24"/>
          <w:color w:val="auto"/>
        </w:rPr>
      </w:pPr>
    </w:p>
    <w:p>
      <w:pPr>
        <w:ind w:left="320" w:right="60"/>
        <w:spacing w:after="0" w:line="273"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-180975</wp:posOffset>
            </wp:positionV>
            <wp:extent cx="112395" cy="112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95" cy="112395"/>
                    </a:xfrm>
                    <a:prstGeom prst="rect">
                      <a:avLst/>
                    </a:prstGeom>
                    <a:noFill/>
                  </pic:spPr>
                </pic:pic>
              </a:graphicData>
            </a:graphic>
          </wp:anchor>
        </w:drawing>
      </w:r>
    </w:p>
    <w:p>
      <w:pPr>
        <w:spacing w:after="0" w:line="202" w:lineRule="exact"/>
        <w:rPr>
          <w:sz w:val="24"/>
          <w:szCs w:val="24"/>
          <w:color w:val="auto"/>
        </w:rPr>
      </w:pPr>
    </w:p>
    <w:p>
      <w:pPr>
        <w:ind w:left="320"/>
        <w:spacing w:after="0" w:line="23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-530860</wp:posOffset>
            </wp:positionV>
            <wp:extent cx="112395" cy="112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395" cy="1123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40" w:type="dxa"/>
            <w:vAlign w:val="bottom"/>
            <w:vMerge w:val="restart"/>
          </w:tcPr>
          <w:p>
            <w:pPr>
              <w:jc w:val="center"/>
              <w:ind w:right="443"/>
              <w:spacing w:after="0" w:line="133"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69"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4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5112385</wp:posOffset>
            </wp:positionH>
            <wp:positionV relativeFrom="paragraph">
              <wp:posOffset>-574675</wp:posOffset>
            </wp:positionV>
            <wp:extent cx="55245" cy="58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01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-574675</wp:posOffset>
            </wp:positionV>
            <wp:extent cx="55245" cy="58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801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604520</wp:posOffset>
            </wp:positionV>
            <wp:extent cx="7004685" cy="890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685" cy="8905875"/>
                    </a:xfrm>
                    <a:prstGeom prst="rect">
                      <a:avLst/>
                    </a:prstGeom>
                    <a:noFill/>
                  </pic:spPr>
                </pic:pic>
              </a:graphicData>
            </a:graphic>
          </wp:anchor>
        </w:drawing>
      </w:r>
    </w:p>
    <w:p>
      <w:pPr>
        <w:spacing w:after="0" w:line="1011" w:lineRule="exact"/>
        <w:rPr>
          <w:sz w:val="24"/>
          <w:szCs w:val="24"/>
          <w:color w:val="auto"/>
        </w:rPr>
      </w:pPr>
    </w:p>
    <w:p>
      <w:pPr>
        <w:sectPr>
          <w:pgSz w:w="11900" w:h="16838" w:orient="portrait"/>
          <w:cols w:equalWidth="0" w:num="2">
            <w:col w:w="2300" w:space="520"/>
            <w:col w:w="8260"/>
          </w:cols>
          <w:pgMar w:left="460" w:top="211" w:right="359" w:bottom="0" w:gutter="0" w:footer="0" w:header="0"/>
        </w:sectPr>
      </w:pPr>
    </w:p>
    <w:p>
      <w:pPr>
        <w:spacing w:after="0" w:line="10"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BERKSHIRE HATHAWAY INC</w:t>
        </w:r>
      </w:hyperlink>
    </w:p>
    <w:p>
      <w:pPr>
        <w:spacing w:after="0" w:line="270"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2"/>
                <w:szCs w:val="12"/>
                <w:color w:val="auto"/>
              </w:rPr>
              <w:t>(Last)</w:t>
            </w:r>
          </w:p>
        </w:tc>
        <w:tc>
          <w:tcPr>
            <w:tcW w:w="1120" w:type="dxa"/>
            <w:vAlign w:val="bottom"/>
          </w:tcPr>
          <w:p>
            <w:pPr>
              <w:ind w:left="340"/>
              <w:spacing w:after="0"/>
              <w:rPr>
                <w:sz w:val="20"/>
                <w:szCs w:val="20"/>
                <w:color w:val="auto"/>
              </w:rPr>
            </w:pPr>
            <w:r>
              <w:rPr>
                <w:rFonts w:ascii="Arial" w:cs="Arial" w:eastAsia="Arial" w:hAnsi="Arial"/>
                <w:sz w:val="12"/>
                <w:szCs w:val="12"/>
                <w:color w:val="auto"/>
              </w:rPr>
              <w:t>(First)</w:t>
            </w:r>
          </w:p>
        </w:tc>
        <w:tc>
          <w:tcPr>
            <w:tcW w:w="164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44"/>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3555 FARNAM STREET</w:t>
            </w:r>
          </w:p>
        </w:tc>
        <w:tc>
          <w:tcPr>
            <w:tcW w:w="1640" w:type="dxa"/>
            <w:vAlign w:val="bottom"/>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r>
      <w:tr>
        <w:trPr>
          <w:trHeight w:val="239"/>
        </w:trPr>
        <w:tc>
          <w:tcPr>
            <w:tcW w:w="9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OMAHA</w:t>
            </w:r>
          </w:p>
        </w:tc>
        <w:tc>
          <w:tcPr>
            <w:tcW w:w="112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NE</w:t>
            </w:r>
          </w:p>
        </w:tc>
        <w:tc>
          <w:tcPr>
            <w:tcW w:w="16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68131</w:t>
            </w:r>
          </w:p>
        </w:tc>
      </w:tr>
      <w:tr>
        <w:trPr>
          <w:trHeight w:val="135"/>
        </w:trPr>
        <w:tc>
          <w:tcPr>
            <w:tcW w:w="20" w:type="dxa"/>
            <w:vAlign w:val="bottom"/>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r>
      <w:tr>
        <w:trPr>
          <w:trHeight w:val="274"/>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12"/>
                <w:szCs w:val="12"/>
                <w:color w:val="auto"/>
              </w:rPr>
              <w:t>(City)</w:t>
            </w:r>
          </w:p>
        </w:tc>
        <w:tc>
          <w:tcPr>
            <w:tcW w:w="1120" w:type="dxa"/>
            <w:vAlign w:val="bottom"/>
          </w:tcPr>
          <w:p>
            <w:pPr>
              <w:ind w:left="34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760" w:type="dxa"/>
            <w:vAlign w:val="bottom"/>
            <w:gridSpan w:val="2"/>
          </w:tcPr>
          <w:p>
            <w:pPr>
              <w:spacing w:after="0" w:line="201"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OCCIDENTAL PETROLEUM CORP /DE/ </w:t>
              </w:r>
            </w:hyperlink>
            <w:r>
              <w:rPr>
                <w:rFonts w:ascii="Times New Roman" w:cs="Times New Roman" w:eastAsia="Times New Roman" w:hAnsi="Times New Roman"/>
                <w:sz w:val="19"/>
                <w:szCs w:val="19"/>
                <w:color w:val="000000"/>
              </w:rPr>
              <w:t>[</w:t>
            </w:r>
          </w:p>
        </w:tc>
        <w:tc>
          <w:tcPr>
            <w:tcW w:w="180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3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5"/>
                <w:szCs w:val="15"/>
                <w:color w:val="0000FF"/>
              </w:rPr>
              <w:t xml:space="preserve">OXY </w:t>
            </w:r>
            <w:r>
              <w:rPr>
                <w:rFonts w:ascii="Times New Roman" w:cs="Times New Roman" w:eastAsia="Times New Roman" w:hAnsi="Times New Roman"/>
                <w:sz w:val="18"/>
                <w:szCs w:val="18"/>
                <w:color w:val="000000"/>
              </w:rPr>
              <w:t>]</w:t>
            </w:r>
          </w:p>
        </w:tc>
        <w:tc>
          <w:tcPr>
            <w:tcW w:w="440" w:type="dxa"/>
            <w:vAlign w:val="bottom"/>
            <w:vMerge w:val="restart"/>
          </w:tcPr>
          <w:p>
            <w:pPr>
              <w:spacing w:after="0"/>
              <w:rPr>
                <w:sz w:val="11"/>
                <w:szCs w:val="11"/>
                <w:color w:val="auto"/>
              </w:rPr>
            </w:pPr>
          </w:p>
        </w:tc>
        <w:tc>
          <w:tcPr>
            <w:tcW w:w="1800" w:type="dxa"/>
            <w:vAlign w:val="bottom"/>
          </w:tcPr>
          <w:p>
            <w:pPr>
              <w:ind w:left="580"/>
              <w:spacing w:after="0" w:line="136" w:lineRule="exact"/>
              <w:rPr>
                <w:sz w:val="20"/>
                <w:szCs w:val="20"/>
                <w:color w:val="auto"/>
              </w:rPr>
            </w:pPr>
            <w:r>
              <w:rPr>
                <w:rFonts w:ascii="Arial" w:cs="Arial" w:eastAsia="Arial" w:hAnsi="Arial"/>
                <w:sz w:val="12"/>
                <w:szCs w:val="12"/>
                <w:color w:val="auto"/>
              </w:rPr>
              <w:t>Director</w:t>
            </w:r>
          </w:p>
        </w:tc>
        <w:tc>
          <w:tcPr>
            <w:tcW w:w="1520" w:type="dxa"/>
            <w:vAlign w:val="bottom"/>
          </w:tcPr>
          <w:p>
            <w:pPr>
              <w:ind w:left="360"/>
              <w:spacing w:after="0" w:line="136" w:lineRule="exact"/>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60" w:type="dxa"/>
            <w:vAlign w:val="bottom"/>
            <w:tcBorders>
              <w:bottom w:val="single" w:sz="8" w:color="2C2C2C"/>
            </w:tcBorders>
          </w:tcPr>
          <w:p>
            <w:pPr>
              <w:spacing w:after="0"/>
              <w:rPr>
                <w:sz w:val="13"/>
                <w:szCs w:val="13"/>
                <w:color w:val="auto"/>
              </w:rPr>
            </w:pPr>
          </w:p>
        </w:tc>
        <w:tc>
          <w:tcPr>
            <w:tcW w:w="33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0" w:type="dxa"/>
            <w:vAlign w:val="bottom"/>
          </w:tcPr>
          <w:p>
            <w:pPr>
              <w:ind w:left="580"/>
              <w:spacing w:after="0"/>
              <w:rPr>
                <w:sz w:val="20"/>
                <w:szCs w:val="20"/>
                <w:color w:val="auto"/>
              </w:rPr>
            </w:pPr>
            <w:r>
              <w:rPr>
                <w:rFonts w:ascii="Arial" w:cs="Arial" w:eastAsia="Arial" w:hAnsi="Arial"/>
                <w:sz w:val="12"/>
                <w:szCs w:val="12"/>
                <w:color w:val="auto"/>
              </w:rPr>
              <w:t>below)</w:t>
            </w:r>
          </w:p>
        </w:tc>
        <w:tc>
          <w:tcPr>
            <w:tcW w:w="1520" w:type="dxa"/>
            <w:vAlign w:val="bottom"/>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12/17/2024</w:t>
            </w: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0" w:type="dxa"/>
            <w:vAlign w:val="bottom"/>
            <w:tcBorders>
              <w:bottom w:val="single" w:sz="8" w:color="2C2C2C"/>
            </w:tcBorders>
          </w:tcPr>
          <w:p>
            <w:pPr>
              <w:spacing w:after="0"/>
              <w:rPr>
                <w:sz w:val="15"/>
                <w:szCs w:val="15"/>
                <w:color w:val="auto"/>
              </w:rPr>
            </w:pPr>
          </w:p>
        </w:tc>
        <w:tc>
          <w:tcPr>
            <w:tcW w:w="33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32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32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2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374" w:lineRule="exact"/>
        <w:rPr>
          <w:sz w:val="24"/>
          <w:szCs w:val="24"/>
          <w:color w:val="auto"/>
        </w:rPr>
      </w:pPr>
    </w:p>
    <w:p>
      <w:pPr>
        <w:sectPr>
          <w:pgSz w:w="11900" w:h="16838" w:orient="portrait"/>
          <w:cols w:equalWidth="0" w:num="2">
            <w:col w:w="3760" w:space="80"/>
            <w:col w:w="7240"/>
          </w:cols>
          <w:pgMar w:left="460" w:top="211"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2"/>
                <w:szCs w:val="12"/>
                <w:color w:val="auto"/>
              </w:rPr>
            </w:pPr>
          </w:p>
        </w:tc>
        <w:tc>
          <w:tcPr>
            <w:tcW w:w="1420" w:type="dxa"/>
            <w:vAlign w:val="bottom"/>
            <w:gridSpan w:val="3"/>
          </w:tcPr>
          <w:p>
            <w:pPr>
              <w:ind w:left="4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2"/>
                <w:szCs w:val="12"/>
                <w:color w:val="auto"/>
              </w:rPr>
            </w:pPr>
          </w:p>
        </w:tc>
        <w:tc>
          <w:tcPr>
            <w:tcW w:w="46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080" w:type="dxa"/>
            <w:vAlign w:val="bottom"/>
            <w:gridSpan w:val="5"/>
          </w:tcPr>
          <w:p>
            <w:pPr>
              <w:ind w:left="60"/>
              <w:spacing w:after="0"/>
              <w:rPr>
                <w:sz w:val="20"/>
                <w:szCs w:val="20"/>
                <w:color w:val="auto"/>
              </w:rPr>
            </w:pPr>
            <w:r>
              <w:rPr>
                <w:rFonts w:ascii="Arial" w:cs="Arial" w:eastAsia="Arial" w:hAnsi="Arial"/>
                <w:sz w:val="11"/>
                <w:szCs w:val="11"/>
                <w:b w:val="1"/>
                <w:bCs w:val="1"/>
                <w:color w:val="auto"/>
                <w:w w:val="99"/>
              </w:rPr>
              <w:t>4. Securities Acquired (A) or Disposed</w:t>
            </w:r>
          </w:p>
        </w:tc>
        <w:tc>
          <w:tcPr>
            <w:tcW w:w="6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480"/>
              <w:spacing w:after="0" w:line="119"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Of (D) (Instr. 3, 4 and 5)</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3"/>
          </w:tcPr>
          <w:p>
            <w:pPr>
              <w:jc w:val="center"/>
              <w:ind w:left="341"/>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70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460" w:type="dxa"/>
            <w:vAlign w:val="bottom"/>
            <w:gridSpan w:val="2"/>
          </w:tcPr>
          <w:p>
            <w:pPr>
              <w:jc w:val="right"/>
              <w:ind w:right="203"/>
              <w:spacing w:after="0" w:line="119"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 (Instr. 4)</w:t>
            </w:r>
          </w:p>
        </w:tc>
        <w:tc>
          <w:tcPr>
            <w:tcW w:w="1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4)</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gridSpan w:val="2"/>
            <w:vMerge w:val="restart"/>
          </w:tcPr>
          <w:p>
            <w:pPr>
              <w:ind w:left="60"/>
              <w:spacing w:after="0" w:line="119"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3"/>
              <w:spacing w:after="0"/>
              <w:rPr>
                <w:sz w:val="20"/>
                <w:szCs w:val="20"/>
                <w:color w:val="auto"/>
              </w:rPr>
            </w:pPr>
            <w:r>
              <w:rPr>
                <w:rFonts w:ascii="Times New Roman" w:cs="Times New Roman" w:eastAsia="Times New Roman" w:hAnsi="Times New Roman"/>
                <w:sz w:val="15"/>
                <w:szCs w:val="15"/>
                <w:color w:val="0000FF"/>
              </w:rPr>
              <w:t>12/17/2024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2,477,362</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46.2542</w:t>
            </w:r>
            <w:r>
              <w:rPr>
                <w:rFonts w:ascii="Times New Roman" w:cs="Times New Roman" w:eastAsia="Times New Roman" w:hAnsi="Times New Roman"/>
                <w:sz w:val="19"/>
                <w:szCs w:val="19"/>
                <w:color w:val="008000"/>
                <w:w w:val="97"/>
                <w:vertAlign w:val="superscript"/>
              </w:rPr>
              <w:t>(1)</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257,758,886</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3"/>
              <w:spacing w:after="0"/>
              <w:rPr>
                <w:sz w:val="20"/>
                <w:szCs w:val="20"/>
                <w:color w:val="auto"/>
              </w:rPr>
            </w:pPr>
            <w:r>
              <w:rPr>
                <w:rFonts w:ascii="Times New Roman" w:cs="Times New Roman" w:eastAsia="Times New Roman" w:hAnsi="Times New Roman"/>
                <w:sz w:val="15"/>
                <w:szCs w:val="15"/>
                <w:color w:val="0000FF"/>
              </w:rPr>
              <w:t>12/18/2024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2,430,924</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46.1563</w:t>
            </w:r>
            <w:r>
              <w:rPr>
                <w:rFonts w:ascii="Times New Roman" w:cs="Times New Roman" w:eastAsia="Times New Roman" w:hAnsi="Times New Roman"/>
                <w:sz w:val="19"/>
                <w:szCs w:val="19"/>
                <w:color w:val="008000"/>
                <w:w w:val="97"/>
                <w:vertAlign w:val="superscript"/>
              </w:rPr>
              <w:t>(5)</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260,189,810</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line="247" w:lineRule="exact"/>
              <w:rPr>
                <w:sz w:val="20"/>
                <w:szCs w:val="20"/>
                <w:color w:val="auto"/>
              </w:rPr>
            </w:pPr>
            <w:r>
              <w:rPr>
                <w:rFonts w:ascii="Times New Roman" w:cs="Times New Roman" w:eastAsia="Times New Roman" w:hAnsi="Times New Roman"/>
                <w:sz w:val="28"/>
                <w:szCs w:val="28"/>
                <w:color w:val="0000FF"/>
                <w:w w:val="95"/>
                <w:vertAlign w:val="subscript"/>
              </w:rPr>
              <w:t>footnotes</w:t>
            </w:r>
            <w:r>
              <w:rPr>
                <w:rFonts w:ascii="Times New Roman" w:cs="Times New Roman" w:eastAsia="Times New Roman" w:hAnsi="Times New Roman"/>
                <w:sz w:val="9"/>
                <w:szCs w:val="9"/>
                <w:color w:val="008000"/>
                <w:w w:val="95"/>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3"/>
              <w:spacing w:after="0"/>
              <w:rPr>
                <w:sz w:val="20"/>
                <w:szCs w:val="20"/>
                <w:color w:val="auto"/>
              </w:rPr>
            </w:pPr>
            <w:r>
              <w:rPr>
                <w:rFonts w:ascii="Times New Roman" w:cs="Times New Roman" w:eastAsia="Times New Roman" w:hAnsi="Times New Roman"/>
                <w:sz w:val="15"/>
                <w:szCs w:val="15"/>
                <w:color w:val="0000FF"/>
              </w:rPr>
              <w:t>12/18/2024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374,589</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46.9172</w:t>
            </w:r>
            <w:r>
              <w:rPr>
                <w:rFonts w:ascii="Times New Roman" w:cs="Times New Roman" w:eastAsia="Times New Roman" w:hAnsi="Times New Roman"/>
                <w:sz w:val="19"/>
                <w:szCs w:val="19"/>
                <w:color w:val="008000"/>
                <w:w w:val="97"/>
                <w:vertAlign w:val="superscript"/>
              </w:rPr>
              <w:t>(6)</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260,564,399</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3"/>
              <w:spacing w:after="0"/>
              <w:rPr>
                <w:sz w:val="20"/>
                <w:szCs w:val="20"/>
                <w:color w:val="auto"/>
              </w:rPr>
            </w:pPr>
            <w:r>
              <w:rPr>
                <w:rFonts w:ascii="Times New Roman" w:cs="Times New Roman" w:eastAsia="Times New Roman" w:hAnsi="Times New Roman"/>
                <w:sz w:val="15"/>
                <w:szCs w:val="15"/>
                <w:color w:val="0000FF"/>
              </w:rPr>
              <w:t>12/19/2024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3,372,309</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45.5458</w:t>
            </w:r>
            <w:r>
              <w:rPr>
                <w:rFonts w:ascii="Times New Roman" w:cs="Times New Roman" w:eastAsia="Times New Roman" w:hAnsi="Times New Roman"/>
                <w:sz w:val="19"/>
                <w:szCs w:val="19"/>
                <w:color w:val="008000"/>
                <w:w w:val="97"/>
                <w:vertAlign w:val="superscript"/>
              </w:rPr>
              <w:t>(7)</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263,936,708</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593"/>
              <w:spacing w:after="0"/>
              <w:rPr>
                <w:sz w:val="20"/>
                <w:szCs w:val="20"/>
                <w:color w:val="auto"/>
              </w:rPr>
            </w:pPr>
            <w:r>
              <w:rPr>
                <w:rFonts w:ascii="Times New Roman" w:cs="Times New Roman" w:eastAsia="Times New Roman" w:hAnsi="Times New Roman"/>
                <w:sz w:val="15"/>
                <w:szCs w:val="15"/>
                <w:color w:val="0000FF"/>
              </w:rPr>
              <w:t>12/19/2024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P</w:t>
            </w:r>
          </w:p>
        </w:tc>
        <w:tc>
          <w:tcPr>
            <w:tcW w:w="340" w:type="dxa"/>
            <w:vAlign w:val="bottom"/>
          </w:tcPr>
          <w:p>
            <w:pPr>
              <w:spacing w:after="0"/>
              <w:rPr>
                <w:sz w:val="19"/>
                <w:szCs w:val="19"/>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241,706</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46.3088</w:t>
            </w:r>
            <w:r>
              <w:rPr>
                <w:rFonts w:ascii="Times New Roman" w:cs="Times New Roman" w:eastAsia="Times New Roman" w:hAnsi="Times New Roman"/>
                <w:sz w:val="19"/>
                <w:szCs w:val="19"/>
                <w:color w:val="008000"/>
                <w:w w:val="97"/>
                <w:vertAlign w:val="superscript"/>
              </w:rPr>
              <w:t>(8)</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264,178,414</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6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36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Series A Preferred Stock</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84,897</w:t>
            </w:r>
          </w:p>
        </w:tc>
        <w:tc>
          <w:tcPr>
            <w:tcW w:w="360" w:type="dxa"/>
            <w:vAlign w:val="bottom"/>
          </w:tcPr>
          <w:p>
            <w:pPr>
              <w:spacing w:after="0"/>
              <w:rPr>
                <w:sz w:val="19"/>
                <w:szCs w:val="1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36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(3)(4)(9)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gridSpan w:val="2"/>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80" w:type="dxa"/>
            <w:vAlign w:val="bottom"/>
            <w:gridSpan w:val="18"/>
          </w:tcPr>
          <w:p>
            <w:pPr>
              <w:ind w:left="16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4"/>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78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4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of</w:t>
            </w:r>
          </w:p>
        </w:tc>
        <w:tc>
          <w:tcPr>
            <w:tcW w:w="104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0"/>
                <w:szCs w:val="10"/>
                <w:color w:val="auto"/>
              </w:rPr>
            </w:pPr>
          </w:p>
        </w:tc>
        <w:tc>
          <w:tcPr>
            <w:tcW w:w="178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Ownership</w:t>
            </w:r>
          </w:p>
        </w:tc>
        <w:tc>
          <w:tcPr>
            <w:tcW w:w="8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6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104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0"/>
                <w:szCs w:val="10"/>
                <w:color w:val="auto"/>
              </w:rPr>
            </w:pPr>
          </w:p>
        </w:tc>
        <w:tc>
          <w:tcPr>
            <w:tcW w:w="178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Derivative Security (Instr. 3 and</w:t>
            </w: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8"/>
              </w:rPr>
              <w:t>Securities</w:t>
            </w:r>
          </w:p>
        </w:tc>
        <w:tc>
          <w:tcPr>
            <w:tcW w:w="360" w:type="dxa"/>
            <w:vAlign w:val="bottom"/>
          </w:tcPr>
          <w:p>
            <w:pPr>
              <w:spacing w:after="0"/>
              <w:rPr>
                <w:sz w:val="10"/>
                <w:szCs w:val="10"/>
                <w:color w:val="auto"/>
              </w:rPr>
            </w:pPr>
          </w:p>
        </w:tc>
        <w:tc>
          <w:tcPr>
            <w:tcW w:w="56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8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Price of</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8)</w:t>
            </w: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ind w:right="268"/>
              <w:spacing w:after="0" w:line="119" w:lineRule="exact"/>
              <w:rPr>
                <w:sz w:val="20"/>
                <w:szCs w:val="20"/>
                <w:color w:val="auto"/>
              </w:rPr>
            </w:pPr>
            <w:r>
              <w:rPr>
                <w:rFonts w:ascii="Arial" w:cs="Arial" w:eastAsia="Arial" w:hAnsi="Arial"/>
                <w:sz w:val="11"/>
                <w:szCs w:val="11"/>
                <w:b w:val="1"/>
                <w:bCs w:val="1"/>
                <w:color w:val="auto"/>
                <w:w w:val="81"/>
              </w:rPr>
              <w:t>4)</w:t>
            </w: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2"/>
              </w:rPr>
              <w:t>Direct (D)</w:t>
            </w:r>
          </w:p>
        </w:tc>
        <w:tc>
          <w:tcPr>
            <w:tcW w:w="140" w:type="dxa"/>
            <w:vAlign w:val="bottom"/>
          </w:tcPr>
          <w:p>
            <w:pPr>
              <w:spacing w:after="0"/>
              <w:rPr>
                <w:sz w:val="10"/>
                <w:szCs w:val="10"/>
                <w:color w:val="auto"/>
              </w:rPr>
            </w:pPr>
          </w:p>
        </w:tc>
        <w:tc>
          <w:tcPr>
            <w:tcW w:w="8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or Indirect</w:t>
            </w:r>
          </w:p>
        </w:tc>
        <w:tc>
          <w:tcPr>
            <w:tcW w:w="8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Following</w:t>
            </w:r>
          </w:p>
        </w:tc>
        <w:tc>
          <w:tcPr>
            <w:tcW w:w="360" w:type="dxa"/>
            <w:vAlign w:val="bottom"/>
          </w:tcPr>
          <w:p>
            <w:pPr>
              <w:spacing w:after="0"/>
              <w:rPr>
                <w:sz w:val="10"/>
                <w:szCs w:val="10"/>
                <w:color w:val="auto"/>
              </w:rPr>
            </w:pP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of (D)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(Instr. 3, 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3"/>
                <w:szCs w:val="13"/>
                <w:color w:val="auto"/>
              </w:rPr>
            </w:pP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 Number</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to</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7"/>
              </w:rPr>
              <w:t>See footnotes</w:t>
            </w:r>
            <w:r>
              <w:rPr>
                <w:rFonts w:ascii="Times New Roman" w:cs="Times New Roman" w:eastAsia="Times New Roman" w:hAnsi="Times New Roman"/>
                <w:sz w:val="19"/>
                <w:szCs w:val="19"/>
                <w:color w:val="008000"/>
                <w:w w:val="97"/>
                <w:vertAlign w:val="superscript"/>
              </w:rPr>
              <w:t>(3)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Purchase</w:t>
            </w:r>
          </w:p>
        </w:tc>
        <w:tc>
          <w:tcPr>
            <w:tcW w:w="660" w:type="dxa"/>
            <w:vAlign w:val="bottom"/>
          </w:tcPr>
          <w:p>
            <w:pPr>
              <w:ind w:left="20"/>
              <w:spacing w:after="0" w:line="18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59.624</w:t>
            </w:r>
            <w:r>
              <w:rPr>
                <w:rFonts w:ascii="Times New Roman" w:cs="Times New Roman" w:eastAsia="Times New Roman" w:hAnsi="Times New Roman"/>
                <w:sz w:val="19"/>
                <w:szCs w:val="19"/>
                <w:color w:val="008000"/>
                <w:vertAlign w:val="superscript"/>
              </w:rPr>
              <w:t>(10)</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tcPr>
          <w:p>
            <w:pPr>
              <w:jc w:val="right"/>
              <w:ind w:right="223"/>
              <w:spacing w:after="0"/>
              <w:rPr>
                <w:sz w:val="20"/>
                <w:szCs w:val="20"/>
                <w:color w:val="auto"/>
              </w:rPr>
            </w:pPr>
            <w:r>
              <w:rPr>
                <w:rFonts w:ascii="Times New Roman" w:cs="Times New Roman" w:eastAsia="Times New Roman" w:hAnsi="Times New Roman"/>
                <w:sz w:val="10"/>
                <w:szCs w:val="10"/>
                <w:color w:val="008000"/>
                <w:w w:val="95"/>
              </w:rPr>
              <w:t>(11)</w:t>
            </w:r>
          </w:p>
        </w:tc>
        <w:tc>
          <w:tcPr>
            <w:tcW w:w="640" w:type="dxa"/>
            <w:vAlign w:val="bottom"/>
            <w:gridSpan w:val="2"/>
          </w:tcPr>
          <w:p>
            <w:pPr>
              <w:jc w:val="right"/>
              <w:ind w:right="172"/>
              <w:spacing w:after="0"/>
              <w:rPr>
                <w:sz w:val="20"/>
                <w:szCs w:val="20"/>
                <w:color w:val="auto"/>
              </w:rPr>
            </w:pPr>
            <w:r>
              <w:rPr>
                <w:rFonts w:ascii="Times New Roman" w:cs="Times New Roman" w:eastAsia="Times New Roman" w:hAnsi="Times New Roman"/>
                <w:sz w:val="10"/>
                <w:szCs w:val="10"/>
                <w:color w:val="008000"/>
              </w:rPr>
              <w:t>(11)</w:t>
            </w: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118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5"/>
                <w:szCs w:val="15"/>
                <w:color w:val="0000FF"/>
              </w:rPr>
              <w:t>83,858,848.81</w:t>
            </w:r>
            <w:r>
              <w:rPr>
                <w:rFonts w:ascii="Times New Roman" w:cs="Times New Roman" w:eastAsia="Times New Roman" w:hAnsi="Times New Roman"/>
                <w:sz w:val="19"/>
                <w:szCs w:val="19"/>
                <w:color w:val="008000"/>
                <w:vertAlign w:val="superscript"/>
              </w:rPr>
              <w:t>(10)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2"/>
                <w:szCs w:val="12"/>
                <w:color w:val="0000FF"/>
                <w:w w:val="95"/>
              </w:rPr>
              <w:t>83,858,848.81</w:t>
            </w:r>
            <w:r>
              <w:rPr>
                <w:rFonts w:ascii="Times New Roman" w:cs="Times New Roman" w:eastAsia="Times New Roman" w:hAnsi="Times New Roman"/>
                <w:sz w:val="19"/>
                <w:szCs w:val="19"/>
                <w:color w:val="008000"/>
                <w:w w:val="95"/>
                <w:vertAlign w:val="superscript"/>
              </w:rPr>
              <w:t>(10)</w:t>
            </w:r>
          </w:p>
        </w:tc>
        <w:tc>
          <w:tcPr>
            <w:tcW w:w="56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00" w:type="dxa"/>
            <w:vAlign w:val="bottom"/>
            <w:gridSpan w:val="2"/>
          </w:tcPr>
          <w:p>
            <w:pPr>
              <w:ind w:left="60"/>
              <w:spacing w:after="0" w:line="72" w:lineRule="exact"/>
              <w:rPr>
                <w:sz w:val="20"/>
                <w:szCs w:val="20"/>
                <w:color w:val="auto"/>
              </w:rPr>
            </w:pPr>
            <w:r>
              <w:rPr>
                <w:rFonts w:ascii="Times New Roman" w:cs="Times New Roman" w:eastAsia="Times New Roman" w:hAnsi="Times New Roman"/>
                <w:sz w:val="8"/>
                <w:szCs w:val="8"/>
                <w:color w:val="0000FF"/>
              </w:rPr>
              <w:t>Shares of</w:t>
            </w: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ind w:left="160"/>
              <w:spacing w:after="0" w:line="72" w:lineRule="exact"/>
              <w:rPr>
                <w:sz w:val="20"/>
                <w:szCs w:val="20"/>
                <w:color w:val="auto"/>
              </w:rPr>
            </w:pPr>
            <w:r>
              <w:rPr>
                <w:rFonts w:ascii="Times New Roman" w:cs="Times New Roman" w:eastAsia="Times New Roman" w:hAnsi="Times New Roman"/>
                <w:sz w:val="8"/>
                <w:szCs w:val="8"/>
                <w:color w:val="0000FF"/>
              </w:rPr>
              <w:t>Stock</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ind w:left="60"/>
              <w:spacing w:after="0" w:line="72" w:lineRule="exact"/>
              <w:rPr>
                <w:sz w:val="20"/>
                <w:szCs w:val="20"/>
                <w:color w:val="auto"/>
              </w:rPr>
            </w:pPr>
            <w:r>
              <w:rPr>
                <w:rFonts w:ascii="Times New Roman" w:cs="Times New Roman" w:eastAsia="Times New Roman" w:hAnsi="Times New Roman"/>
                <w:sz w:val="7"/>
                <w:szCs w:val="7"/>
                <w:color w:val="008000"/>
              </w:rPr>
              <w:t>(4)(12)</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60" w:type="dxa"/>
            <w:vAlign w:val="bottom"/>
            <w:tcBorders>
              <w:top w:val="single" w:sz="8" w:color="2C2C2C"/>
            </w:tcBorders>
            <w:gridSpan w:val="5"/>
          </w:tcPr>
          <w:p>
            <w:pPr>
              <w:ind w:left="60"/>
              <w:spacing w:after="0" w:line="209" w:lineRule="exact"/>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2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60" w:type="dxa"/>
            <w:vAlign w:val="bottom"/>
            <w:gridSpan w:val="7"/>
          </w:tcPr>
          <w:p>
            <w:pPr>
              <w:spacing w:after="0" w:line="201"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BERKSHIRE HATHAWAY INC</w:t>
              </w:r>
            </w:hyperlink>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56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260" w:type="dxa"/>
            <w:vAlign w:val="bottom"/>
            <w:tcBorders>
              <w:top w:val="single" w:sz="8" w:color="0000EE"/>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0000FF"/>
              </w:rPr>
              <w:t>OMAHA</w:t>
            </w:r>
          </w:p>
        </w:tc>
        <w:tc>
          <w:tcPr>
            <w:tcW w:w="6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68131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60" w:type="dxa"/>
            <w:vAlign w:val="bottom"/>
            <w:gridSpan w:val="5"/>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260" w:type="dxa"/>
            <w:vAlign w:val="bottom"/>
            <w:gridSpan w:val="4"/>
          </w:tcPr>
          <w:p>
            <w:pPr>
              <w:spacing w:after="0" w:line="201"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BUFFETT WARREN E</w:t>
              </w:r>
            </w:hyperlink>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560" w:type="dxa"/>
            <w:vAlign w:val="bottom"/>
            <w:tcBorders>
              <w:top w:val="single" w:sz="8" w:color="0000EE"/>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-3983355</wp:posOffset>
            </wp:positionV>
            <wp:extent cx="27940" cy="1946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194627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3555 FARNAM STREET</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1" w:right="359" w:bottom="0" w:gutter="0" w:footer="0" w:header="0"/>
          <w:type w:val="continuous"/>
        </w:sectPr>
      </w:pPr>
    </w:p>
    <w:p>
      <w:pPr>
        <w:spacing w:after="0" w:line="27" w:lineRule="exact"/>
        <w:rPr>
          <w:sz w:val="20"/>
          <w:szCs w:val="20"/>
          <w:color w:val="auto"/>
        </w:rPr>
      </w:pPr>
    </w:p>
    <w:p>
      <w:pPr>
        <w:ind w:left="100"/>
        <w:spacing w:after="0"/>
        <w:tabs>
          <w:tab w:leader="none" w:pos="1480" w:val="left"/>
          <w:tab w:leader="none" w:pos="2900" w:val="left"/>
        </w:tabs>
        <w:rPr>
          <w:sz w:val="20"/>
          <w:szCs w:val="20"/>
          <w:color w:val="auto"/>
        </w:rPr>
      </w:pPr>
      <w:r>
        <w:rPr>
          <w:rFonts w:ascii="Times New Roman" w:cs="Times New Roman" w:eastAsia="Times New Roman" w:hAnsi="Times New Roman"/>
          <w:sz w:val="15"/>
          <w:szCs w:val="15"/>
          <w:color w:val="0000FF"/>
        </w:rPr>
        <w:t>OMAHA</w:t>
      </w:r>
      <w:r>
        <w:rPr>
          <w:sz w:val="20"/>
          <w:szCs w:val="20"/>
          <w:color w:val="auto"/>
        </w:rPr>
        <w:tab/>
      </w:r>
      <w:r>
        <w:rPr>
          <w:rFonts w:ascii="Times New Roman" w:cs="Times New Roman" w:eastAsia="Times New Roman" w:hAnsi="Times New Roman"/>
          <w:sz w:val="15"/>
          <w:szCs w:val="15"/>
          <w:color w:val="0000FF"/>
        </w:rPr>
        <w:t>NE</w:t>
      </w:r>
      <w:r>
        <w:rPr>
          <w:sz w:val="20"/>
          <w:szCs w:val="20"/>
          <w:color w:val="auto"/>
        </w:rPr>
        <w:tab/>
      </w:r>
      <w:r>
        <w:rPr>
          <w:rFonts w:ascii="Times New Roman" w:cs="Times New Roman" w:eastAsia="Times New Roman" w:hAnsi="Times New Roman"/>
          <w:sz w:val="15"/>
          <w:szCs w:val="15"/>
          <w:color w:val="0000FF"/>
        </w:rPr>
        <w:t>68131</w:t>
      </w:r>
    </w:p>
    <w:p>
      <w:pPr>
        <w:sectPr>
          <w:pgSz w:w="11900" w:h="16838" w:orient="portrait"/>
          <w:cols w:equalWidth="0" w:num="1">
            <w:col w:w="11080"/>
          </w:cols>
          <w:pgMar w:left="460" w:top="211" w:right="359" w:bottom="0" w:gutter="0" w:footer="0" w:header="0"/>
          <w:type w:val="continuous"/>
        </w:sectPr>
      </w:pPr>
    </w:p>
    <w:bookmarkStart w:id="1" w:name="page2"/>
    <w:bookmarkEnd w:id="1"/>
    <w:p>
      <w:pPr>
        <w:spacing w:after="0"/>
        <w:tabs>
          <w:tab w:leader="none" w:pos="1500" w:val="left"/>
          <w:tab w:leader="none" w:pos="292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288925</wp:posOffset>
            </wp:positionH>
            <wp:positionV relativeFrom="page">
              <wp:posOffset>88900</wp:posOffset>
            </wp:positionV>
            <wp:extent cx="2804160" cy="170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4160" cy="170180"/>
                    </a:xfrm>
                    <a:prstGeom prst="rect">
                      <a:avLst/>
                    </a:prstGeom>
                    <a:noFill/>
                  </pic:spPr>
                </pic:pic>
              </a:graphicData>
            </a:graphic>
          </wp:anchor>
        </w:drawing>
        <w:drawing>
          <wp:inline distT="0" distB="0" distL="0" distR="0">
            <wp:extent cx="40640" cy="1701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0640" cy="170180"/>
                    </a:xfrm>
                    <a:prstGeom prst="rect">
                      <a:avLst/>
                    </a:prstGeom>
                    <a:noFill/>
                    <a:ln>
                      <a:noFill/>
                    </a:ln>
                  </pic:spPr>
                </pic:pic>
              </a:graphicData>
            </a:graphic>
          </wp:inline>
        </w:drawing>
      </w:r>
      <w:r>
        <w:rPr>
          <w:rFonts w:ascii="Arial" w:cs="Arial" w:eastAsia="Arial" w:hAnsi="Arial"/>
          <w:sz w:val="12"/>
          <w:szCs w:val="12"/>
          <w:color w:val="auto"/>
        </w:rPr>
        <w:t xml:space="preserve"> (City)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left="60" w:right="20" w:hanging="10"/>
        <w:spacing w:after="0" w:line="239" w:lineRule="auto"/>
        <w:tabs>
          <w:tab w:leader="none" w:pos="17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$45.8000 to $46.5600. The Reporting Persons undertake to provide Occidental Petroleum Corporation ("Occidental"), any security holder of Occidental, or the staff of the Securities and Exchange Commission, upon request, full information regarding the number of shares purchased at each separate price within the range set forth in footnote 1 to this Form 4.</w:t>
      </w:r>
    </w:p>
    <w:p>
      <w:pPr>
        <w:spacing w:after="0" w:line="25" w:lineRule="exact"/>
        <w:rPr>
          <w:rFonts w:ascii="Times New Roman" w:cs="Times New Roman" w:eastAsia="Times New Roman" w:hAnsi="Times New Roman"/>
          <w:sz w:val="12"/>
          <w:szCs w:val="12"/>
          <w:color w:val="008000"/>
        </w:rPr>
      </w:pPr>
    </w:p>
    <w:p>
      <w:pPr>
        <w:ind w:left="160" w:hanging="11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common stock reported on this form are held by Berkshire Hathaway Inc. ("Berkshire") indirectly through its subsidiary, National Indemnity Company.</w:t>
      </w:r>
    </w:p>
    <w:p>
      <w:pPr>
        <w:spacing w:after="0" w:line="39" w:lineRule="exact"/>
        <w:rPr>
          <w:rFonts w:ascii="Times New Roman" w:cs="Times New Roman" w:eastAsia="Times New Roman" w:hAnsi="Times New Roman"/>
          <w:sz w:val="12"/>
          <w:szCs w:val="12"/>
          <w:color w:val="008000"/>
        </w:rPr>
      </w:pPr>
    </w:p>
    <w:p>
      <w:pPr>
        <w:ind w:left="60" w:hanging="10"/>
        <w:spacing w:after="0" w:line="236" w:lineRule="auto"/>
        <w:tabs>
          <w:tab w:leader="none" w:pos="17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Berkshire is in the chain of ownership of each subsidiary listed, it may be deemed presently to both beneficially own and have a pecuniary interest in all shares and derivative securities, as applicable, presently directly owned by such subsidiaries. Warren E. Buffett, as the controlling stockholder of Berkshire, may be deemed presently to beneficially own, but only to the extent he has a pecuniary interest in, the shares and derivative securities, as applicable, presently owned by each of these subsidiaries. Mr. Buffett disclaims beneficial ownership of the reported securities except to the extent of his pecuniary interest therein. In addition, in order to avoid double counting, all shares and derivative securities, as applicable, reported as being owned by each subsidiary listed only reflect shares or derivative securities, as applicable, that are owned directly by such subsidiary,</w:t>
      </w:r>
    </w:p>
    <w:p>
      <w:pPr>
        <w:spacing w:after="0" w:line="24" w:lineRule="exact"/>
        <w:rPr>
          <w:rFonts w:ascii="Times New Roman" w:cs="Times New Roman" w:eastAsia="Times New Roman" w:hAnsi="Times New Roman"/>
          <w:sz w:val="12"/>
          <w:szCs w:val="12"/>
          <w:color w:val="008000"/>
        </w:rPr>
      </w:pPr>
    </w:p>
    <w:p>
      <w:pPr>
        <w:ind w:left="160" w:hanging="11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and do not reflect any shares that such subsidiary may be deemed to beneficially own by virtue of ownership or control of any other subsidiary otherwise reported on this form.</w:t>
      </w:r>
    </w:p>
    <w:p>
      <w:pPr>
        <w:spacing w:after="0" w:line="39" w:lineRule="exact"/>
        <w:rPr>
          <w:rFonts w:ascii="Times New Roman" w:cs="Times New Roman" w:eastAsia="Times New Roman" w:hAnsi="Times New Roman"/>
          <w:sz w:val="12"/>
          <w:szCs w:val="12"/>
          <w:color w:val="008000"/>
        </w:rPr>
      </w:pPr>
    </w:p>
    <w:p>
      <w:pPr>
        <w:ind w:left="60" w:right="100" w:hanging="10"/>
        <w:spacing w:after="0" w:line="239" w:lineRule="auto"/>
        <w:tabs>
          <w:tab w:leader="none" w:pos="17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$45.8100 to $46.8099. The Reporting Persons undertake to provide Occidental, any security holder of Occidental, or the staff of the Securities and Exchange Commission, upon request, full information regarding the number of shares purchased at each separate price within the range set forth in footnote 5 to this Form 4.</w:t>
      </w:r>
    </w:p>
    <w:p>
      <w:pPr>
        <w:spacing w:after="0" w:line="25" w:lineRule="exact"/>
        <w:rPr>
          <w:rFonts w:ascii="Times New Roman" w:cs="Times New Roman" w:eastAsia="Times New Roman" w:hAnsi="Times New Roman"/>
          <w:sz w:val="12"/>
          <w:szCs w:val="12"/>
          <w:color w:val="008000"/>
        </w:rPr>
      </w:pPr>
    </w:p>
    <w:p>
      <w:pPr>
        <w:ind w:left="60" w:right="100" w:hanging="10"/>
        <w:spacing w:after="0" w:line="239" w:lineRule="auto"/>
        <w:tabs>
          <w:tab w:leader="none" w:pos="17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$46.8100 to $47.0000. The Reporting Persons undertake to provide Occidental, any security holder of Occidental, or the staff of the Securities and Exchange Commission, upon request, full information regarding the number of shares purchased at each separate price within the range set forth in footnote 6 to this Form 4.</w:t>
      </w:r>
    </w:p>
    <w:p>
      <w:pPr>
        <w:spacing w:after="0" w:line="25" w:lineRule="exact"/>
        <w:rPr>
          <w:rFonts w:ascii="Times New Roman" w:cs="Times New Roman" w:eastAsia="Times New Roman" w:hAnsi="Times New Roman"/>
          <w:sz w:val="12"/>
          <w:szCs w:val="12"/>
          <w:color w:val="008000"/>
        </w:rPr>
      </w:pPr>
    </w:p>
    <w:p>
      <w:pPr>
        <w:ind w:left="60" w:right="100" w:hanging="10"/>
        <w:spacing w:after="0" w:line="239" w:lineRule="auto"/>
        <w:tabs>
          <w:tab w:leader="none" w:pos="17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$45.1726 to $46.1725. The Reporting Persons undertake to provide Occidental, any security holder of Occidental, or the staff of the Securities and Exchange Commission, upon request, full information regarding the number of shares purchased at each separate price within the range set forth in footnote 7 to this Form 4.</w:t>
      </w:r>
    </w:p>
    <w:p>
      <w:pPr>
        <w:spacing w:after="0" w:line="25" w:lineRule="exact"/>
        <w:rPr>
          <w:rFonts w:ascii="Times New Roman" w:cs="Times New Roman" w:eastAsia="Times New Roman" w:hAnsi="Times New Roman"/>
          <w:sz w:val="12"/>
          <w:szCs w:val="12"/>
          <w:color w:val="008000"/>
        </w:rPr>
      </w:pPr>
    </w:p>
    <w:p>
      <w:pPr>
        <w:ind w:left="60" w:right="100" w:hanging="10"/>
        <w:spacing w:after="0" w:line="239" w:lineRule="auto"/>
        <w:tabs>
          <w:tab w:leader="none" w:pos="17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$46.1750 to $46.6300. The Reporting Persons undertake to provide Occidental, any security holder of Occidental, or the staff of the Securities and Exchange Commission, upon request, full information regarding the number of shares purchased at each separate price within the range set forth in footnote 8 to this Form 4.</w:t>
      </w:r>
    </w:p>
    <w:p>
      <w:pPr>
        <w:spacing w:after="0" w:line="25" w:lineRule="exact"/>
        <w:rPr>
          <w:rFonts w:ascii="Times New Roman" w:cs="Times New Roman" w:eastAsia="Times New Roman" w:hAnsi="Times New Roman"/>
          <w:sz w:val="12"/>
          <w:szCs w:val="12"/>
          <w:color w:val="008000"/>
        </w:rPr>
      </w:pPr>
    </w:p>
    <w:p>
      <w:pPr>
        <w:ind w:left="160" w:hanging="11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preferred stock reported on this form were issued on August 8, 2019 and are held by Berkshire indirectly through its subsidiary, National Indemnity Company.</w:t>
      </w:r>
    </w:p>
    <w:p>
      <w:pPr>
        <w:spacing w:after="0" w:line="39" w:lineRule="exact"/>
        <w:rPr>
          <w:rFonts w:ascii="Times New Roman" w:cs="Times New Roman" w:eastAsia="Times New Roman" w:hAnsi="Times New Roman"/>
          <w:sz w:val="12"/>
          <w:szCs w:val="12"/>
          <w:color w:val="008000"/>
        </w:rPr>
      </w:pPr>
    </w:p>
    <w:p>
      <w:pPr>
        <w:ind w:left="60" w:right="80" w:hanging="10"/>
        <w:spacing w:after="0" w:line="236" w:lineRule="auto"/>
        <w:tabs>
          <w:tab w:leader="none" w:pos="2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contain provisions that adjust the exercise price and the number of shares of the issuer's common stock issuable on exercise upon the occurrence of certain events. As such, the exercise price and the number of shares of the issuer's common stock issuable on exercise as reported on this form are subject to change upon the occurrence of future events in accordance with the terms of the warrants. The warrants were initially for 80,000,000 shares with an initial exercise price of $62.50 per share. On June 26, 2020, the issuer's board of directors declared a distribution to its common shareholders of warrants to purchase additional shares of common stock, which distribution resulted in an anti-dilution adjustment to the warrants, which lowered the exercise price to $59.624 and increased the number of shares issuable on exercise of the warrants to 83,858,848.81.</w:t>
      </w:r>
    </w:p>
    <w:p>
      <w:pPr>
        <w:spacing w:after="0" w:line="24" w:lineRule="exact"/>
        <w:rPr>
          <w:rFonts w:ascii="Times New Roman" w:cs="Times New Roman" w:eastAsia="Times New Roman" w:hAnsi="Times New Roman"/>
          <w:sz w:val="12"/>
          <w:szCs w:val="12"/>
          <w:color w:val="008000"/>
        </w:rPr>
      </w:pPr>
    </w:p>
    <w:p>
      <w:pPr>
        <w:ind w:left="60" w:right="280" w:hanging="10"/>
        <w:spacing w:after="0" w:line="252" w:lineRule="auto"/>
        <w:tabs>
          <w:tab w:leader="none" w:pos="23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were issued on August 8, 2019 and are exercisable at the applicable holder's option, in whole or in part, until the first anniversary of the date on which no shares of the issuer's series A preferred stock remain outstanding, at which time the warrants expire.</w:t>
      </w:r>
    </w:p>
    <w:p>
      <w:pPr>
        <w:spacing w:after="0" w:line="17" w:lineRule="exact"/>
        <w:rPr>
          <w:rFonts w:ascii="Times New Roman" w:cs="Times New Roman" w:eastAsia="Times New Roman" w:hAnsi="Times New Roman"/>
          <w:sz w:val="12"/>
          <w:szCs w:val="12"/>
          <w:color w:val="008000"/>
        </w:rPr>
      </w:pPr>
    </w:p>
    <w:p>
      <w:pPr>
        <w:ind w:left="220" w:hanging="170"/>
        <w:spacing w:after="0"/>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to purchase the issuer's common stock reported on this form are held by Berkshire indirectly through its subsidiary, National Indemnity Company.</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5"/>
          <w:szCs w:val="15"/>
          <w:color w:val="0000FF"/>
        </w:rPr>
        <w:t>/s/ Warren E. Buffett,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-4445</wp:posOffset>
            </wp:positionV>
            <wp:extent cx="13284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spacing w:after="0" w:line="6" w:lineRule="exact"/>
        <w:rPr>
          <w:sz w:val="20"/>
          <w:szCs w:val="20"/>
          <w:color w:val="auto"/>
        </w:rPr>
      </w:pPr>
    </w:p>
    <w:p>
      <w:pPr>
        <w:ind w:left="6620"/>
        <w:spacing w:after="0"/>
        <w:tabs>
          <w:tab w:leader="none" w:pos="8800" w:val="left"/>
        </w:tabs>
        <w:rPr>
          <w:sz w:val="20"/>
          <w:szCs w:val="20"/>
          <w:color w:val="auto"/>
        </w:rPr>
      </w:pPr>
      <w:r>
        <w:rPr>
          <w:rFonts w:ascii="Times New Roman" w:cs="Times New Roman" w:eastAsia="Times New Roman" w:hAnsi="Times New Roman"/>
          <w:sz w:val="15"/>
          <w:szCs w:val="15"/>
          <w:color w:val="0000FF"/>
        </w:rPr>
        <w:t>himself and each other reporting</w:t>
        <w:tab/>
        <w:t>12/19/2024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-10795</wp:posOffset>
            </wp:positionV>
            <wp:extent cx="18402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5"/>
          <w:szCs w:val="15"/>
          <w:color w:val="0000FF"/>
        </w:rPr>
        <w:t>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-10795</wp:posOffset>
            </wp:positionV>
            <wp:extent cx="6743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674370" cy="7620"/>
                    </a:xfrm>
                    <a:prstGeom prst="rect">
                      <a:avLst/>
                    </a:prstGeom>
                    <a:noFill/>
                  </pic:spPr>
                </pic:pic>
              </a:graphicData>
            </a:graphic>
          </wp:anchor>
        </w:drawing>
      </w:r>
    </w:p>
    <w:p>
      <w:pPr>
        <w:spacing w:after="0" w:line="35"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60" w:right="4040" w:hanging="10"/>
        <w:spacing w:after="0" w:line="334" w:lineRule="auto"/>
        <w:tabs>
          <w:tab w:leader="none" w:pos="18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6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40" w:top="11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3" Type="http://schemas.openxmlformats.org/officeDocument/2006/relationships/hyperlink" Target="http://www.sec.gov/cgi-bin/browse-edgar?action=getcompany&amp;CIK=0001067983" TargetMode="External"/><Relationship Id="rId14" Type="http://schemas.openxmlformats.org/officeDocument/2006/relationships/hyperlink" Target="http://www.sec.gov/cgi-bin/browse-edgar?action=getcompany&amp;CIK=0000797468" TargetMode="External"/><Relationship Id="rId15"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2024-12-19T20:41:59Z</dcterms:created>
  <dcterms:modified xsi:type="dcterms:W3CDTF">2024-12-19T20:41:59Z</dcterms:modified>
</cp:coreProperties>
</file>