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1"/>
        </w:trPr>
        <w:tc>
          <w:tcPr>
            <w:tcW w:w="140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760" w:type="dxa"/>
            <w:vAlign w:val="bottom"/>
            <w:gridSpan w:val="3"/>
          </w:tcPr>
          <w:p>
            <w:pPr>
              <w:ind w:left="40"/>
              <w:spacing w:after="0"/>
              <w:rPr>
                <w:sz w:val="20"/>
                <w:szCs w:val="20"/>
                <w:color w:val="auto"/>
              </w:rPr>
            </w:pPr>
            <w:r>
              <w:rPr>
                <w:rFonts w:ascii="Arial" w:cs="Arial" w:eastAsia="Arial" w:hAnsi="Arial"/>
                <w:sz w:val="22"/>
                <w:szCs w:val="22"/>
                <w:b w:val="1"/>
                <w:bCs w:val="1"/>
                <w:color w:val="auto"/>
              </w:rPr>
              <w:t>FORM 4</w:t>
            </w:r>
          </w:p>
        </w:tc>
        <w:tc>
          <w:tcPr>
            <w:tcW w:w="6240" w:type="dxa"/>
            <w:vAlign w:val="bottom"/>
            <w:gridSpan w:val="24"/>
          </w:tcPr>
          <w:p>
            <w:pPr>
              <w:jc w:val="center"/>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14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gridSpan w:val="5"/>
            <w:vMerge w:val="restart"/>
          </w:tcPr>
          <w:p>
            <w:pPr>
              <w:jc w:val="center"/>
              <w:spacing w:after="0" w:line="135" w:lineRule="exact"/>
              <w:rPr>
                <w:sz w:val="20"/>
                <w:szCs w:val="20"/>
                <w:color w:val="auto"/>
              </w:rPr>
            </w:pPr>
            <w:r>
              <w:rPr>
                <w:rFonts w:ascii="Arial" w:cs="Arial" w:eastAsia="Arial" w:hAnsi="Arial"/>
                <w:sz w:val="12"/>
                <w:szCs w:val="12"/>
                <w:color w:val="auto"/>
              </w:rPr>
              <w:t>Washington, D.C. 20549</w:t>
            </w: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20" w:type="dxa"/>
            <w:vAlign w:val="bottom"/>
            <w:gridSpan w:val="8"/>
            <w:vMerge w:val="restart"/>
          </w:tcPr>
          <w:p>
            <w:pPr>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vMerge w:val="restart"/>
          </w:tcPr>
          <w:p>
            <w:pPr>
              <w:ind w:left="220"/>
              <w:spacing w:after="0"/>
              <w:rPr>
                <w:sz w:val="20"/>
                <w:szCs w:val="20"/>
                <w:color w:val="auto"/>
              </w:rPr>
            </w:pPr>
            <w:r>
              <w:rPr>
                <w:rFonts w:ascii="Arial" w:cs="Arial" w:eastAsia="Arial" w:hAnsi="Arial"/>
                <w:sz w:val="11"/>
                <w:szCs w:val="11"/>
                <w:color w:val="auto"/>
              </w:rPr>
              <w:t>Check this box if no longer subject to</w:t>
            </w:r>
          </w:p>
        </w:tc>
        <w:tc>
          <w:tcPr>
            <w:tcW w:w="260" w:type="dxa"/>
            <w:vAlign w:val="bottom"/>
          </w:tcPr>
          <w:p>
            <w:pPr>
              <w:spacing w:after="0" w:line="20" w:lineRule="exact"/>
              <w:rPr>
                <w:sz w:val="1"/>
                <w:szCs w:val="1"/>
                <w:color w:val="auto"/>
              </w:rPr>
            </w:pPr>
          </w:p>
        </w:tc>
        <w:tc>
          <w:tcPr>
            <w:tcW w:w="5980" w:type="dxa"/>
            <w:vAlign w:val="bottom"/>
            <w:gridSpan w:val="23"/>
            <w:vMerge w:val="restart"/>
          </w:tcPr>
          <w:p>
            <w:pPr>
              <w:ind w:left="180"/>
              <w:spacing w:after="0" w:line="180" w:lineRule="exact"/>
              <w:rPr>
                <w:sz w:val="20"/>
                <w:szCs w:val="20"/>
                <w:color w:val="auto"/>
              </w:rPr>
            </w:pPr>
            <w:r>
              <w:rPr>
                <w:rFonts w:ascii="Arial" w:cs="Arial" w:eastAsia="Arial" w:hAnsi="Arial"/>
                <w:sz w:val="20"/>
                <w:szCs w:val="20"/>
                <w:b w:val="1"/>
                <w:bCs w:val="1"/>
                <w:color w:val="auto"/>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4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5980" w:type="dxa"/>
            <w:vAlign w:val="bottom"/>
            <w:gridSpan w:val="23"/>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color w:val="auto"/>
              </w:rPr>
              <w:t>OMB Number:</w:t>
            </w:r>
          </w:p>
        </w:tc>
        <w:tc>
          <w:tcPr>
            <w:tcW w:w="420" w:type="dxa"/>
            <w:vAlign w:val="bottom"/>
          </w:tcPr>
          <w:p>
            <w:pPr>
              <w:spacing w:after="0"/>
              <w:rPr>
                <w:sz w:val="12"/>
                <w:szCs w:val="12"/>
                <w:color w:val="auto"/>
              </w:rPr>
            </w:pP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tcPr>
          <w:p>
            <w:pPr>
              <w:ind w:left="220"/>
              <w:spacing w:after="0"/>
              <w:rPr>
                <w:sz w:val="20"/>
                <w:szCs w:val="20"/>
                <w:color w:val="auto"/>
              </w:rPr>
            </w:pPr>
            <w:r>
              <w:rPr>
                <w:rFonts w:ascii="Arial" w:cs="Arial" w:eastAsia="Arial" w:hAnsi="Arial"/>
                <w:sz w:val="11"/>
                <w:szCs w:val="11"/>
                <w:color w:val="auto"/>
              </w:rPr>
              <w:t>Section 16. Form 4 or Form 5</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color w:val="auto"/>
              </w:rPr>
              <w:t>Estimated average burden</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60" w:type="dxa"/>
            <w:vAlign w:val="bottom"/>
            <w:gridSpan w:val="4"/>
          </w:tcPr>
          <w:p>
            <w:pPr>
              <w:ind w:left="22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0" w:type="dxa"/>
            <w:vAlign w:val="bottom"/>
            <w:gridSpan w:val="19"/>
            <w:vMerge w:val="restart"/>
          </w:tcPr>
          <w:p>
            <w:pPr>
              <w:jc w:val="center"/>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300" w:type="dxa"/>
            <w:vAlign w:val="bottom"/>
          </w:tcPr>
          <w:p>
            <w:pPr>
              <w:spacing w:after="0"/>
              <w:rPr>
                <w:sz w:val="11"/>
                <w:szCs w:val="11"/>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80" w:type="dxa"/>
            <w:vAlign w:val="bottom"/>
            <w:gridSpan w:val="2"/>
            <w:vMerge w:val="restart"/>
          </w:tcPr>
          <w:p>
            <w:pPr>
              <w:ind w:left="220"/>
              <w:spacing w:after="0" w:line="89" w:lineRule="exact"/>
              <w:rPr>
                <w:sz w:val="20"/>
                <w:szCs w:val="20"/>
                <w:color w:val="auto"/>
              </w:rPr>
            </w:pPr>
            <w:r>
              <w:rPr>
                <w:rFonts w:ascii="Arial" w:cs="Arial" w:eastAsia="Arial" w:hAnsi="Arial"/>
                <w:sz w:val="10"/>
                <w:szCs w:val="10"/>
                <w:color w:val="auto"/>
              </w:rPr>
              <w:t>Instruction 1(b).</w:t>
            </w: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0" w:type="dxa"/>
            <w:vAlign w:val="bottom"/>
            <w:gridSpan w:val="19"/>
            <w:vMerge w:val="continue"/>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0" w:type="dxa"/>
            <w:vAlign w:val="bottom"/>
            <w:gridSpan w:val="19"/>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gridSpan w:val="13"/>
          </w:tcPr>
          <w:p>
            <w:pPr>
              <w:jc w:val="center"/>
              <w:spacing w:after="0"/>
              <w:rPr>
                <w:sz w:val="20"/>
                <w:szCs w:val="20"/>
                <w:color w:val="auto"/>
              </w:rPr>
            </w:pPr>
            <w:r>
              <w:rPr>
                <w:rFonts w:ascii="Arial" w:cs="Arial" w:eastAsia="Arial" w:hAnsi="Arial"/>
                <w:sz w:val="12"/>
                <w:szCs w:val="12"/>
                <w:color w:val="auto"/>
              </w:rPr>
              <w:t>or Section 30(h) of the Investment Company Act of 1940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380" w:type="dxa"/>
            <w:vAlign w:val="bottom"/>
            <w:tcBorders>
              <w:bottom w:val="single" w:sz="8" w:color="2C2C2C"/>
            </w:tcBorders>
            <w:gridSpan w:val="8"/>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6"/>
          </w:tcPr>
          <w:p>
            <w:pPr>
              <w:ind w:left="60"/>
              <w:spacing w:after="0" w:line="19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gridSpan w:val="13"/>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ind w:left="20"/>
              <w:spacing w:after="0"/>
              <w:rPr>
                <w:rFonts w:ascii="Arial" w:cs="Arial" w:eastAsia="Arial" w:hAnsi="Arial"/>
                <w:sz w:val="20"/>
                <w:szCs w:val="20"/>
                <w:color w:val="0000EE"/>
              </w:rPr>
            </w:pPr>
            <w:hyperlink r:id="rId8">
              <w:r>
                <w:rPr>
                  <w:rFonts w:ascii="Arial" w:cs="Arial" w:eastAsia="Arial" w:hAnsi="Arial"/>
                  <w:sz w:val="20"/>
                  <w:szCs w:val="20"/>
                  <w:color w:val="0000EE"/>
                </w:rPr>
                <w:t>BERKSHIRE HATHAWAY INC</w:t>
              </w:r>
            </w:hyperlink>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16"/>
          </w:tcPr>
          <w:p>
            <w:pPr>
              <w:spacing w:after="0" w:line="99" w:lineRule="exact"/>
              <w:rPr>
                <w:rFonts w:ascii="Arial" w:cs="Arial" w:eastAsia="Arial" w:hAnsi="Arial"/>
                <w:sz w:val="11"/>
                <w:szCs w:val="11"/>
                <w:color w:val="0000EE"/>
              </w:rPr>
            </w:pPr>
            <w:hyperlink r:id="rId9">
              <w:r>
                <w:rPr>
                  <w:rFonts w:ascii="Arial" w:cs="Arial" w:eastAsia="Arial" w:hAnsi="Arial"/>
                  <w:sz w:val="11"/>
                  <w:szCs w:val="11"/>
                  <w:color w:val="0000EE"/>
                </w:rPr>
                <w:t xml:space="preserve">OCCIDENTAL PETROLEUM CORP /DE/ </w:t>
              </w:r>
            </w:hyperlink>
            <w:r>
              <w:rPr>
                <w:rFonts w:ascii="Arial" w:cs="Arial" w:eastAsia="Arial" w:hAnsi="Arial"/>
                <w:sz w:val="11"/>
                <w:szCs w:val="11"/>
                <w:color w:val="000000"/>
              </w:rPr>
              <w:t>[</w:t>
            </w:r>
          </w:p>
        </w:tc>
        <w:tc>
          <w:tcPr>
            <w:tcW w:w="1580" w:type="dxa"/>
            <w:vAlign w:val="bottom"/>
            <w:gridSpan w:val="6"/>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gridSpan w:val="7"/>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380" w:type="dxa"/>
            <w:vAlign w:val="bottom"/>
            <w:gridSpan w:val="7"/>
            <w:vMerge w:val="restart"/>
          </w:tcPr>
          <w:p>
            <w:pPr>
              <w:ind w:left="1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7"/>
            <w:vMerge w:val="restart"/>
          </w:tcPr>
          <w:p>
            <w:pPr>
              <w:spacing w:after="0" w:line="206" w:lineRule="exact"/>
              <w:rPr>
                <w:sz w:val="20"/>
                <w:szCs w:val="20"/>
                <w:color w:val="auto"/>
              </w:rPr>
            </w:pPr>
            <w:r>
              <w:rPr>
                <w:rFonts w:ascii="Arial" w:cs="Arial" w:eastAsia="Arial" w:hAnsi="Arial"/>
                <w:sz w:val="16"/>
                <w:szCs w:val="16"/>
                <w:color w:val="0000FF"/>
              </w:rPr>
              <w:t xml:space="preserve">OXY </w:t>
            </w:r>
            <w:r>
              <w:rPr>
                <w:rFonts w:ascii="Arial" w:cs="Arial" w:eastAsia="Arial" w:hAnsi="Arial"/>
                <w:sz w:val="19"/>
                <w:szCs w:val="19"/>
                <w:color w:val="000000"/>
              </w:rPr>
              <w:t>]</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3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7"/>
            <w:vMerge w:val="continue"/>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3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3"/>
                <w:szCs w:val="3"/>
                <w:color w:val="auto"/>
              </w:rPr>
            </w:pPr>
          </w:p>
        </w:tc>
        <w:tc>
          <w:tcPr>
            <w:tcW w:w="1380" w:type="dxa"/>
            <w:vAlign w:val="bottom"/>
            <w:gridSpan w:val="7"/>
            <w:vMerge w:val="restart"/>
          </w:tcPr>
          <w:p>
            <w:pPr>
              <w:ind w:left="140"/>
              <w:spacing w:after="0" w:line="136"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760" w:type="dxa"/>
            <w:vAlign w:val="bottom"/>
            <w:gridSpan w:val="3"/>
          </w:tcPr>
          <w:p>
            <w:pPr>
              <w:ind w:left="62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13"/>
          </w:tcPr>
          <w:p>
            <w:pPr>
              <w:spacing w:after="0"/>
              <w:rPr>
                <w:sz w:val="20"/>
                <w:szCs w:val="20"/>
                <w:color w:val="auto"/>
              </w:rPr>
            </w:pPr>
            <w:r>
              <w:rPr>
                <w:rFonts w:ascii="Arial" w:cs="Arial" w:eastAsia="Arial" w:hAnsi="Arial"/>
                <w:sz w:val="12"/>
                <w:szCs w:val="12"/>
                <w:color w:val="auto"/>
              </w:rPr>
              <w:t>3. Date of Earliest Transaction (Month/Day/Year)</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2"/>
                <w:szCs w:val="12"/>
                <w:color w:val="auto"/>
              </w:rPr>
              <w:t>below)</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below)</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5"/>
            <w:vMerge w:val="restart"/>
          </w:tcPr>
          <w:p>
            <w:pPr>
              <w:ind w:left="20"/>
              <w:spacing w:after="0"/>
              <w:rPr>
                <w:sz w:val="20"/>
                <w:szCs w:val="20"/>
                <w:color w:val="auto"/>
              </w:rPr>
            </w:pPr>
            <w:r>
              <w:rPr>
                <w:rFonts w:ascii="Arial" w:cs="Arial" w:eastAsia="Arial" w:hAnsi="Arial"/>
                <w:sz w:val="16"/>
                <w:szCs w:val="16"/>
                <w:color w:val="0000FF"/>
              </w:rPr>
              <w:t>3555 FARNAM STREET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10"/>
          </w:tcPr>
          <w:p>
            <w:pPr>
              <w:ind w:left="420"/>
              <w:spacing w:after="0"/>
              <w:rPr>
                <w:sz w:val="20"/>
                <w:szCs w:val="20"/>
                <w:color w:val="auto"/>
              </w:rPr>
            </w:pPr>
            <w:r>
              <w:rPr>
                <w:rFonts w:ascii="Arial" w:cs="Arial" w:eastAsia="Arial" w:hAnsi="Arial"/>
                <w:sz w:val="16"/>
                <w:szCs w:val="16"/>
                <w:color w:val="0000FF"/>
              </w:rPr>
              <w:t>06/26/2023</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14"/>
          </w:tcPr>
          <w:p>
            <w:pPr>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20" w:type="dxa"/>
            <w:vAlign w:val="bottom"/>
            <w:gridSpan w:val="7"/>
          </w:tcPr>
          <w:p>
            <w:pPr>
              <w:ind w:left="160"/>
              <w:spacing w:after="0" w:line="135" w:lineRule="exact"/>
              <w:rPr>
                <w:sz w:val="20"/>
                <w:szCs w:val="20"/>
                <w:color w:val="auto"/>
              </w:rPr>
            </w:pPr>
            <w:r>
              <w:rPr>
                <w:rFonts w:ascii="Arial" w:cs="Arial" w:eastAsia="Arial" w:hAnsi="Arial"/>
                <w:sz w:val="12"/>
                <w:szCs w:val="12"/>
                <w:color w:val="auto"/>
              </w:rPr>
              <w:t>Form filed by One Reporting Person</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6"/>
                <w:szCs w:val="16"/>
                <w:color w:val="0000FF"/>
                <w:w w:val="98"/>
              </w:rPr>
              <w:t>OMAHA</w:t>
            </w:r>
          </w:p>
        </w:tc>
        <w:tc>
          <w:tcPr>
            <w:tcW w:w="1760" w:type="dxa"/>
            <w:vAlign w:val="bottom"/>
            <w:gridSpan w:val="3"/>
            <w:vMerge w:val="restart"/>
          </w:tcPr>
          <w:p>
            <w:pPr>
              <w:ind w:left="620"/>
              <w:spacing w:after="0"/>
              <w:rPr>
                <w:sz w:val="20"/>
                <w:szCs w:val="20"/>
                <w:color w:val="auto"/>
              </w:rPr>
            </w:pPr>
            <w:r>
              <w:rPr>
                <w:rFonts w:ascii="Arial" w:cs="Arial" w:eastAsia="Arial" w:hAnsi="Arial"/>
                <w:sz w:val="16"/>
                <w:szCs w:val="16"/>
                <w:color w:val="0000FF"/>
              </w:rPr>
              <w:t>NE</w:t>
            </w: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color w:val="0000FF"/>
              </w:rPr>
              <w:t>68131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0" w:type="dxa"/>
            <w:vAlign w:val="bottom"/>
            <w:gridSpan w:val="1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340" w:type="dxa"/>
            <w:vAlign w:val="bottom"/>
            <w:gridSpan w:val="14"/>
            <w:vMerge w:val="restart"/>
          </w:tcPr>
          <w:p>
            <w:pPr>
              <w:spacing w:after="0"/>
              <w:rPr>
                <w:sz w:val="20"/>
                <w:szCs w:val="20"/>
                <w:color w:val="auto"/>
              </w:rPr>
            </w:pPr>
            <w:r>
              <w:rPr>
                <w:rFonts w:ascii="Arial" w:cs="Arial" w:eastAsia="Arial" w:hAnsi="Arial"/>
                <w:sz w:val="20"/>
                <w:szCs w:val="20"/>
                <w:color w:val="auto"/>
                <w:w w:val="99"/>
              </w:rPr>
              <w:t>Rule 10b5-1(c) Transaction Indication</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1760" w:type="dxa"/>
            <w:vAlign w:val="bottom"/>
            <w:gridSpan w:val="3"/>
            <w:vMerge w:val="restart"/>
          </w:tcPr>
          <w:p>
            <w:pPr>
              <w:ind w:left="620"/>
              <w:spacing w:after="0"/>
              <w:rPr>
                <w:sz w:val="20"/>
                <w:szCs w:val="20"/>
                <w:color w:val="auto"/>
              </w:rPr>
            </w:pPr>
            <w:r>
              <w:rPr>
                <w:rFonts w:ascii="Arial" w:cs="Arial" w:eastAsia="Arial" w:hAnsi="Arial"/>
                <w:sz w:val="12"/>
                <w:szCs w:val="12"/>
                <w:color w:val="auto"/>
              </w:rPr>
              <w:t>(State)</w:t>
            </w:r>
          </w:p>
        </w:tc>
        <w:tc>
          <w:tcPr>
            <w:tcW w:w="1000" w:type="dxa"/>
            <w:vAlign w:val="bottom"/>
            <w:gridSpan w:val="2"/>
            <w:vMerge w:val="restart"/>
          </w:tcPr>
          <w:p>
            <w:pPr>
              <w:ind w:left="8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3340" w:type="dxa"/>
            <w:vAlign w:val="bottom"/>
            <w:gridSpan w:val="14"/>
            <w:vMerge w:val="continue"/>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940" w:type="dxa"/>
            <w:vAlign w:val="bottom"/>
            <w:gridSpan w:val="27"/>
            <w:vMerge w:val="restart"/>
          </w:tcPr>
          <w:p>
            <w:pPr>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940" w:type="dxa"/>
            <w:vAlign w:val="bottom"/>
            <w:gridSpan w:val="2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13"/>
          </w:tcPr>
          <w:p>
            <w:pPr>
              <w:spacing w:after="0" w:line="117" w:lineRule="exact"/>
              <w:rPr>
                <w:sz w:val="20"/>
                <w:szCs w:val="20"/>
                <w:color w:val="auto"/>
              </w:rPr>
            </w:pPr>
            <w:r>
              <w:rPr>
                <w:rFonts w:ascii="Arial" w:cs="Arial" w:eastAsia="Arial" w:hAnsi="Arial"/>
                <w:sz w:val="11"/>
                <w:szCs w:val="11"/>
                <w:color w:val="auto"/>
              </w:rPr>
              <w:t>affirmative defense conditions of Rule 10b5-1(c). See Instruction 10.</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25"/>
          </w:tcPr>
          <w:p>
            <w:pPr>
              <w:ind w:left="4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3"/>
                <w:szCs w:val="13"/>
                <w:color w:val="auto"/>
              </w:rPr>
            </w:pPr>
          </w:p>
        </w:tc>
        <w:tc>
          <w:tcPr>
            <w:tcW w:w="1400" w:type="dxa"/>
            <w:vAlign w:val="bottom"/>
            <w:gridSpan w:val="7"/>
          </w:tcPr>
          <w:p>
            <w:pPr>
              <w:ind w:left="3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283"/>
              <w:spacing w:after="0"/>
              <w:rPr>
                <w:sz w:val="20"/>
                <w:szCs w:val="20"/>
                <w:color w:val="auto"/>
              </w:rPr>
            </w:pPr>
            <w:r>
              <w:rPr>
                <w:rFonts w:ascii="Arial" w:cs="Arial" w:eastAsia="Arial" w:hAnsi="Arial"/>
                <w:sz w:val="11"/>
                <w:szCs w:val="11"/>
                <w:b w:val="1"/>
                <w:bCs w:val="1"/>
                <w:color w:val="auto"/>
                <w:w w:val="86"/>
              </w:rPr>
              <w:t>3.</w:t>
            </w:r>
          </w:p>
        </w:tc>
        <w:tc>
          <w:tcPr>
            <w:tcW w:w="260" w:type="dxa"/>
            <w:vAlign w:val="bottom"/>
          </w:tcPr>
          <w:p>
            <w:pPr>
              <w:spacing w:after="0"/>
              <w:rPr>
                <w:sz w:val="13"/>
                <w:szCs w:val="13"/>
                <w:color w:val="auto"/>
              </w:rPr>
            </w:pPr>
          </w:p>
        </w:tc>
        <w:tc>
          <w:tcPr>
            <w:tcW w:w="2220" w:type="dxa"/>
            <w:vAlign w:val="bottom"/>
            <w:gridSpan w:val="7"/>
          </w:tcPr>
          <w:p>
            <w:pPr>
              <w:ind w:left="100"/>
              <w:spacing w:after="0"/>
              <w:rPr>
                <w:sz w:val="20"/>
                <w:szCs w:val="20"/>
                <w:color w:val="auto"/>
              </w:rPr>
            </w:pPr>
            <w:r>
              <w:rPr>
                <w:rFonts w:ascii="Arial" w:cs="Arial" w:eastAsia="Arial" w:hAnsi="Arial"/>
                <w:sz w:val="11"/>
                <w:szCs w:val="11"/>
                <w:b w:val="1"/>
                <w:bCs w:val="1"/>
                <w:color w:val="auto"/>
              </w:rPr>
              <w:t>4. Securities Acquired (A) or Disposed</w:t>
            </w:r>
          </w:p>
        </w:tc>
        <w:tc>
          <w:tcPr>
            <w:tcW w:w="116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6"/>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ind w:left="380"/>
              <w:spacing w:after="0" w:line="121"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Of (D) (Instr. 3, 4 and 5)</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7"/>
          </w:tcPr>
          <w:p>
            <w:pPr>
              <w:jc w:val="center"/>
              <w:ind w:left="193"/>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jc w:val="right"/>
              <w:ind w:right="283"/>
              <w:spacing w:after="0" w:line="124" w:lineRule="exact"/>
              <w:rPr>
                <w:sz w:val="20"/>
                <w:szCs w:val="20"/>
                <w:color w:val="auto"/>
              </w:rPr>
            </w:pPr>
            <w:r>
              <w:rPr>
                <w:rFonts w:ascii="Arial" w:cs="Arial" w:eastAsia="Arial" w:hAnsi="Arial"/>
                <w:sz w:val="11"/>
                <w:szCs w:val="11"/>
                <w:b w:val="1"/>
                <w:bCs w:val="1"/>
                <w:color w:val="auto"/>
                <w:w w:val="81"/>
              </w:rPr>
              <w:t>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gridSpan w:val="6"/>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20" w:type="dxa"/>
            <w:vAlign w:val="bottom"/>
            <w:vMerge w:val="continue"/>
          </w:tcPr>
          <w:p>
            <w:pPr>
              <w:spacing w:after="0"/>
              <w:rPr>
                <w:sz w:val="10"/>
                <w:szCs w:val="10"/>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4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6"/>
            <w:vMerge w:val="restart"/>
          </w:tcPr>
          <w:p>
            <w:pPr>
              <w:jc w:val="center"/>
              <w:ind w:left="628"/>
              <w:spacing w:after="0"/>
              <w:rPr>
                <w:sz w:val="20"/>
                <w:szCs w:val="20"/>
                <w:color w:val="auto"/>
              </w:rPr>
            </w:pPr>
            <w:r>
              <w:rPr>
                <w:rFonts w:ascii="Arial" w:cs="Arial" w:eastAsia="Arial" w:hAnsi="Arial"/>
                <w:sz w:val="16"/>
                <w:szCs w:val="16"/>
                <w:color w:val="0000FF"/>
                <w:w w:val="92"/>
              </w:rPr>
              <w:t>06/26/2023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vMerge w:val="restart"/>
          </w:tcPr>
          <w:p>
            <w:pPr>
              <w:jc w:val="right"/>
              <w:ind w:right="163"/>
              <w:spacing w:after="0"/>
              <w:rPr>
                <w:sz w:val="20"/>
                <w:szCs w:val="20"/>
                <w:color w:val="auto"/>
              </w:rPr>
            </w:pPr>
            <w:r>
              <w:rPr>
                <w:rFonts w:ascii="Arial" w:cs="Arial" w:eastAsia="Arial" w:hAnsi="Arial"/>
                <w:sz w:val="12"/>
                <w:szCs w:val="12"/>
                <w:color w:val="0000FF"/>
              </w:rPr>
              <w:t>P</w:t>
            </w:r>
          </w:p>
        </w:tc>
        <w:tc>
          <w:tcPr>
            <w:tcW w:w="26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638,301</w:t>
            </w:r>
          </w:p>
        </w:tc>
        <w:tc>
          <w:tcPr>
            <w:tcW w:w="4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57.0143</w:t>
            </w:r>
            <w:r>
              <w:rPr>
                <w:rFonts w:ascii="Arial" w:cs="Arial" w:eastAsia="Arial" w:hAnsi="Arial"/>
                <w:sz w:val="20"/>
                <w:szCs w:val="20"/>
                <w:color w:val="008000"/>
                <w:w w:val="86"/>
                <w:vertAlign w:val="superscript"/>
              </w:rPr>
              <w:t>(1)</w:t>
            </w:r>
          </w:p>
        </w:tc>
        <w:tc>
          <w:tcPr>
            <w:tcW w:w="60" w:type="dxa"/>
            <w:vAlign w:val="bottom"/>
          </w:tcPr>
          <w:p>
            <w:pPr>
              <w:spacing w:after="0"/>
              <w:rPr>
                <w:sz w:val="20"/>
                <w:szCs w:val="20"/>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222,629,243</w:t>
            </w:r>
          </w:p>
        </w:tc>
        <w:tc>
          <w:tcPr>
            <w:tcW w:w="440" w:type="dxa"/>
            <w:vAlign w:val="bottom"/>
            <w:vMerge w:val="restart"/>
          </w:tcPr>
          <w:p>
            <w:pPr>
              <w:ind w:left="380"/>
              <w:spacing w:after="0"/>
              <w:rPr>
                <w:sz w:val="20"/>
                <w:szCs w:val="20"/>
                <w:color w:val="auto"/>
              </w:rPr>
            </w:pPr>
            <w:r>
              <w:rPr>
                <w:rFonts w:ascii="Arial" w:cs="Arial" w:eastAsia="Arial" w:hAnsi="Arial"/>
                <w:sz w:val="16"/>
                <w:szCs w:val="16"/>
                <w:color w:val="0000FF"/>
                <w:w w:val="88"/>
              </w:rPr>
              <w:t>I</w:t>
            </w:r>
          </w:p>
        </w:tc>
        <w:tc>
          <w:tcPr>
            <w:tcW w:w="4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6"/>
          </w:tcPr>
          <w:p>
            <w:pPr>
              <w:ind w:left="60"/>
              <w:spacing w:after="0" w:line="189" w:lineRule="exact"/>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color w:val="008000"/>
              </w:rPr>
              <w:t>(3)(4)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6"/>
            <w:vMerge w:val="restart"/>
          </w:tcPr>
          <w:p>
            <w:pPr>
              <w:jc w:val="center"/>
              <w:ind w:left="628"/>
              <w:spacing w:after="0"/>
              <w:rPr>
                <w:sz w:val="20"/>
                <w:szCs w:val="20"/>
                <w:color w:val="auto"/>
              </w:rPr>
            </w:pPr>
            <w:r>
              <w:rPr>
                <w:rFonts w:ascii="Arial" w:cs="Arial" w:eastAsia="Arial" w:hAnsi="Arial"/>
                <w:sz w:val="16"/>
                <w:szCs w:val="16"/>
                <w:color w:val="0000FF"/>
                <w:w w:val="92"/>
              </w:rPr>
              <w:t>06/27/2023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vMerge w:val="restart"/>
          </w:tcPr>
          <w:p>
            <w:pPr>
              <w:jc w:val="right"/>
              <w:ind w:right="163"/>
              <w:spacing w:after="0"/>
              <w:rPr>
                <w:sz w:val="20"/>
                <w:szCs w:val="20"/>
                <w:color w:val="auto"/>
              </w:rPr>
            </w:pPr>
            <w:r>
              <w:rPr>
                <w:rFonts w:ascii="Arial" w:cs="Arial" w:eastAsia="Arial" w:hAnsi="Arial"/>
                <w:sz w:val="12"/>
                <w:szCs w:val="12"/>
                <w:color w:val="0000FF"/>
              </w:rPr>
              <w:t>P</w:t>
            </w:r>
          </w:p>
        </w:tc>
        <w:tc>
          <w:tcPr>
            <w:tcW w:w="26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1,239,180</w:t>
            </w:r>
          </w:p>
        </w:tc>
        <w:tc>
          <w:tcPr>
            <w:tcW w:w="4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57.1694</w:t>
            </w:r>
            <w:r>
              <w:rPr>
                <w:rFonts w:ascii="Arial" w:cs="Arial" w:eastAsia="Arial" w:hAnsi="Arial"/>
                <w:sz w:val="20"/>
                <w:szCs w:val="20"/>
                <w:color w:val="008000"/>
                <w:w w:val="86"/>
                <w:vertAlign w:val="superscript"/>
              </w:rPr>
              <w:t>(5)</w:t>
            </w:r>
          </w:p>
        </w:tc>
        <w:tc>
          <w:tcPr>
            <w:tcW w:w="60" w:type="dxa"/>
            <w:vAlign w:val="bottom"/>
          </w:tcPr>
          <w:p>
            <w:pPr>
              <w:spacing w:after="0"/>
              <w:rPr>
                <w:sz w:val="20"/>
                <w:szCs w:val="20"/>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223,868,423</w:t>
            </w:r>
          </w:p>
        </w:tc>
        <w:tc>
          <w:tcPr>
            <w:tcW w:w="440" w:type="dxa"/>
            <w:vAlign w:val="bottom"/>
            <w:vMerge w:val="restart"/>
          </w:tcPr>
          <w:p>
            <w:pPr>
              <w:ind w:left="380"/>
              <w:spacing w:after="0"/>
              <w:rPr>
                <w:sz w:val="20"/>
                <w:szCs w:val="20"/>
                <w:color w:val="auto"/>
              </w:rPr>
            </w:pPr>
            <w:r>
              <w:rPr>
                <w:rFonts w:ascii="Arial" w:cs="Arial" w:eastAsia="Arial" w:hAnsi="Arial"/>
                <w:sz w:val="16"/>
                <w:szCs w:val="16"/>
                <w:color w:val="0000FF"/>
                <w:w w:val="88"/>
              </w:rPr>
              <w:t>I</w:t>
            </w:r>
          </w:p>
        </w:tc>
        <w:tc>
          <w:tcPr>
            <w:tcW w:w="4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6"/>
          </w:tcPr>
          <w:p>
            <w:pPr>
              <w:ind w:left="60"/>
              <w:spacing w:after="0" w:line="189" w:lineRule="exact"/>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color w:val="008000"/>
              </w:rPr>
              <w:t>(3)(4)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6"/>
            <w:vMerge w:val="restart"/>
          </w:tcPr>
          <w:p>
            <w:pPr>
              <w:jc w:val="center"/>
              <w:ind w:left="628"/>
              <w:spacing w:after="0"/>
              <w:rPr>
                <w:sz w:val="20"/>
                <w:szCs w:val="20"/>
                <w:color w:val="auto"/>
              </w:rPr>
            </w:pPr>
            <w:r>
              <w:rPr>
                <w:rFonts w:ascii="Arial" w:cs="Arial" w:eastAsia="Arial" w:hAnsi="Arial"/>
                <w:sz w:val="16"/>
                <w:szCs w:val="16"/>
                <w:color w:val="0000FF"/>
                <w:w w:val="92"/>
              </w:rPr>
              <w:t>06/28/2023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vMerge w:val="restart"/>
          </w:tcPr>
          <w:p>
            <w:pPr>
              <w:jc w:val="right"/>
              <w:ind w:right="163"/>
              <w:spacing w:after="0"/>
              <w:rPr>
                <w:sz w:val="20"/>
                <w:szCs w:val="20"/>
                <w:color w:val="auto"/>
              </w:rPr>
            </w:pPr>
            <w:r>
              <w:rPr>
                <w:rFonts w:ascii="Arial" w:cs="Arial" w:eastAsia="Arial" w:hAnsi="Arial"/>
                <w:sz w:val="12"/>
                <w:szCs w:val="12"/>
                <w:color w:val="0000FF"/>
              </w:rPr>
              <w:t>P</w:t>
            </w:r>
          </w:p>
        </w:tc>
        <w:tc>
          <w:tcPr>
            <w:tcW w:w="26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260,769</w:t>
            </w:r>
          </w:p>
        </w:tc>
        <w:tc>
          <w:tcPr>
            <w:tcW w:w="4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57.02</w:t>
            </w:r>
            <w:r>
              <w:rPr>
                <w:rFonts w:ascii="Arial" w:cs="Arial" w:eastAsia="Arial" w:hAnsi="Arial"/>
                <w:sz w:val="20"/>
                <w:szCs w:val="20"/>
                <w:color w:val="008000"/>
                <w:w w:val="85"/>
                <w:vertAlign w:val="superscript"/>
              </w:rPr>
              <w:t>(6)</w:t>
            </w:r>
          </w:p>
        </w:tc>
        <w:tc>
          <w:tcPr>
            <w:tcW w:w="60" w:type="dxa"/>
            <w:vAlign w:val="bottom"/>
          </w:tcPr>
          <w:p>
            <w:pPr>
              <w:spacing w:after="0"/>
              <w:rPr>
                <w:sz w:val="20"/>
                <w:szCs w:val="20"/>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224,129,192</w:t>
            </w:r>
          </w:p>
        </w:tc>
        <w:tc>
          <w:tcPr>
            <w:tcW w:w="440" w:type="dxa"/>
            <w:vAlign w:val="bottom"/>
            <w:vMerge w:val="restart"/>
          </w:tcPr>
          <w:p>
            <w:pPr>
              <w:ind w:left="380"/>
              <w:spacing w:after="0"/>
              <w:rPr>
                <w:sz w:val="20"/>
                <w:szCs w:val="20"/>
                <w:color w:val="auto"/>
              </w:rPr>
            </w:pPr>
            <w:r>
              <w:rPr>
                <w:rFonts w:ascii="Arial" w:cs="Arial" w:eastAsia="Arial" w:hAnsi="Arial"/>
                <w:sz w:val="16"/>
                <w:szCs w:val="16"/>
                <w:color w:val="0000FF"/>
                <w:w w:val="88"/>
              </w:rPr>
              <w:t>I</w:t>
            </w:r>
          </w:p>
        </w:tc>
        <w:tc>
          <w:tcPr>
            <w:tcW w:w="4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6"/>
          </w:tcPr>
          <w:p>
            <w:pPr>
              <w:ind w:left="60"/>
              <w:spacing w:after="0" w:line="189" w:lineRule="exact"/>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color w:val="008000"/>
              </w:rPr>
              <w:t>(3)(4)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Series A Preferred Stock</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vMerge w:val="restart"/>
          </w:tcPr>
          <w:p>
            <w:pPr>
              <w:jc w:val="center"/>
              <w:ind w:left="258"/>
              <w:spacing w:after="0"/>
              <w:rPr>
                <w:sz w:val="20"/>
                <w:szCs w:val="20"/>
                <w:color w:val="auto"/>
              </w:rPr>
            </w:pPr>
            <w:r>
              <w:rPr>
                <w:rFonts w:ascii="Arial" w:cs="Arial" w:eastAsia="Arial" w:hAnsi="Arial"/>
                <w:sz w:val="16"/>
                <w:szCs w:val="16"/>
                <w:color w:val="0000FF"/>
                <w:w w:val="89"/>
              </w:rPr>
              <w:t>91,964</w:t>
            </w:r>
          </w:p>
        </w:tc>
        <w:tc>
          <w:tcPr>
            <w:tcW w:w="360" w:type="dxa"/>
            <w:vAlign w:val="bottom"/>
          </w:tcPr>
          <w:p>
            <w:pPr>
              <w:spacing w:after="0"/>
              <w:rPr>
                <w:sz w:val="20"/>
                <w:szCs w:val="20"/>
                <w:color w:val="auto"/>
              </w:rPr>
            </w:pPr>
          </w:p>
        </w:tc>
        <w:tc>
          <w:tcPr>
            <w:tcW w:w="440" w:type="dxa"/>
            <w:vAlign w:val="bottom"/>
            <w:vMerge w:val="restart"/>
          </w:tcPr>
          <w:p>
            <w:pPr>
              <w:ind w:left="380"/>
              <w:spacing w:after="0"/>
              <w:rPr>
                <w:sz w:val="20"/>
                <w:szCs w:val="20"/>
                <w:color w:val="auto"/>
              </w:rPr>
            </w:pPr>
            <w:r>
              <w:rPr>
                <w:rFonts w:ascii="Arial" w:cs="Arial" w:eastAsia="Arial" w:hAnsi="Arial"/>
                <w:sz w:val="16"/>
                <w:szCs w:val="16"/>
                <w:color w:val="0000FF"/>
                <w:w w:val="88"/>
              </w:rPr>
              <w:t>I</w:t>
            </w:r>
          </w:p>
        </w:tc>
        <w:tc>
          <w:tcPr>
            <w:tcW w:w="4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6"/>
          </w:tcPr>
          <w:p>
            <w:pPr>
              <w:ind w:left="60"/>
              <w:spacing w:after="0" w:line="189" w:lineRule="exact"/>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color w:val="008000"/>
              </w:rPr>
              <w:t>(4)(7)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226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24"/>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60" w:type="dxa"/>
            <w:vAlign w:val="bottom"/>
            <w:gridSpan w:val="22"/>
          </w:tcPr>
          <w:p>
            <w:pPr>
              <w:ind w:left="5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jc w:val="center"/>
              <w:ind w:righ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ind w:left="140"/>
              <w:spacing w:after="0"/>
              <w:rPr>
                <w:sz w:val="20"/>
                <w:szCs w:val="20"/>
                <w:color w:val="auto"/>
              </w:rPr>
            </w:pPr>
            <w:r>
              <w:rPr>
                <w:rFonts w:ascii="Arial" w:cs="Arial" w:eastAsia="Arial" w:hAnsi="Arial"/>
                <w:sz w:val="11"/>
                <w:szCs w:val="11"/>
                <w:b w:val="1"/>
                <w:bCs w:val="1"/>
                <w:color w:val="auto"/>
                <w:w w:val="86"/>
              </w:rPr>
              <w:t>5.</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gridSpan w:val="5"/>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60" w:type="dxa"/>
            <w:vAlign w:val="bottom"/>
            <w:tcBorders>
              <w:right w:val="single" w:sz="8" w:color="2C2C2C"/>
            </w:tcBorders>
            <w:gridSpan w:val="5"/>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1380" w:type="dxa"/>
            <w:vAlign w:val="bottom"/>
            <w:gridSpan w:val="10"/>
          </w:tcPr>
          <w:p>
            <w:pPr>
              <w:ind w:left="60"/>
              <w:spacing w:after="0" w:line="124" w:lineRule="exact"/>
              <w:rPr>
                <w:sz w:val="20"/>
                <w:szCs w:val="20"/>
                <w:color w:val="auto"/>
              </w:rPr>
            </w:pPr>
            <w:r>
              <w:rPr>
                <w:rFonts w:ascii="Arial" w:cs="Arial" w:eastAsia="Arial" w:hAnsi="Arial"/>
                <w:sz w:val="11"/>
                <w:szCs w:val="11"/>
                <w:b w:val="1"/>
                <w:bCs w:val="1"/>
                <w:color w:val="auto"/>
              </w:rPr>
              <w:t>Transaction  Number</w:t>
            </w:r>
          </w:p>
        </w:tc>
        <w:tc>
          <w:tcPr>
            <w:tcW w:w="10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660" w:type="dxa"/>
            <w:vAlign w:val="bottom"/>
            <w:tcBorders>
              <w:right w:val="single" w:sz="8" w:color="2C2C2C"/>
            </w:tcBorders>
            <w:gridSpan w:val="5"/>
          </w:tcPr>
          <w:p>
            <w:pPr>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66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w w:val="94"/>
              </w:rPr>
              <w:t>Code (Instr.</w:t>
            </w: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10"/>
                <w:szCs w:val="10"/>
                <w:color w:val="auto"/>
              </w:rPr>
            </w:pPr>
          </w:p>
        </w:tc>
        <w:tc>
          <w:tcPr>
            <w:tcW w:w="18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Derivative Security (Instr. 3</w:t>
            </w:r>
          </w:p>
        </w:tc>
        <w:tc>
          <w:tcPr>
            <w:tcW w:w="62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60" w:type="dxa"/>
            <w:vAlign w:val="bottom"/>
            <w:tcBorders>
              <w:right w:val="single" w:sz="8" w:color="2C2C2C"/>
            </w:tcBorders>
            <w:gridSpan w:val="5"/>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and 4)</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line="124" w:lineRule="exact"/>
              <w:rPr>
                <w:sz w:val="20"/>
                <w:szCs w:val="20"/>
                <w:color w:val="auto"/>
              </w:rPr>
            </w:pPr>
            <w:r>
              <w:rPr>
                <w:rFonts w:ascii="Arial" w:cs="Arial" w:eastAsia="Arial" w:hAnsi="Arial"/>
                <w:sz w:val="11"/>
                <w:szCs w:val="11"/>
                <w:b w:val="1"/>
                <w:bCs w:val="1"/>
                <w:color w:val="auto"/>
              </w:rPr>
              <w:t>(Instr. 5)</w:t>
            </w: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Direct (D)</w:t>
            </w:r>
          </w:p>
        </w:tc>
        <w:tc>
          <w:tcPr>
            <w:tcW w:w="660" w:type="dxa"/>
            <w:vAlign w:val="bottom"/>
            <w:tcBorders>
              <w:right w:val="single" w:sz="8" w:color="2C2C2C"/>
            </w:tcBorders>
            <w:gridSpan w:val="5"/>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Indirect</w:t>
            </w:r>
          </w:p>
        </w:tc>
        <w:tc>
          <w:tcPr>
            <w:tcW w:w="660" w:type="dxa"/>
            <w:vAlign w:val="bottom"/>
            <w:tcBorders>
              <w:right w:val="single" w:sz="8" w:color="2C2C2C"/>
            </w:tcBorders>
            <w:gridSpan w:val="5"/>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40" w:type="dxa"/>
            <w:vAlign w:val="bottom"/>
          </w:tcPr>
          <w:p>
            <w:pPr>
              <w:spacing w:after="0"/>
              <w:rPr>
                <w:sz w:val="13"/>
                <w:szCs w:val="13"/>
                <w:color w:val="auto"/>
              </w:rPr>
            </w:pPr>
          </w:p>
        </w:tc>
        <w:tc>
          <w:tcPr>
            <w:tcW w:w="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   (D)</w:t>
            </w: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280" w:type="dxa"/>
            <w:vAlign w:val="bottom"/>
            <w:gridSpan w:val="5"/>
          </w:tcPr>
          <w:p>
            <w:pPr>
              <w:ind w:left="120"/>
              <w:spacing w:after="0"/>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3"/>
                <w:szCs w:val="13"/>
                <w:color w:val="auto"/>
              </w:rPr>
            </w:pPr>
          </w:p>
        </w:tc>
        <w:tc>
          <w:tcPr>
            <w:tcW w:w="86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Shares</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Warrants</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3"/>
          </w:tcPr>
          <w:p>
            <w:pPr>
              <w:ind w:left="60"/>
              <w:spacing w:after="0" w:line="136" w:lineRule="exact"/>
              <w:rPr>
                <w:sz w:val="20"/>
                <w:szCs w:val="20"/>
                <w:color w:val="auto"/>
              </w:rPr>
            </w:pPr>
            <w:r>
              <w:rPr>
                <w:rFonts w:ascii="Arial" w:cs="Arial" w:eastAsia="Arial" w:hAnsi="Arial"/>
                <w:sz w:val="12"/>
                <w:szCs w:val="12"/>
                <w:color w:val="0000FF"/>
              </w:rPr>
              <w:t>to</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right w:val="single" w:sz="8" w:color="2C2C2C"/>
            </w:tcBorders>
            <w:gridSpan w:val="5"/>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Purchase</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59.624</w:t>
            </w:r>
            <w:r>
              <w:rPr>
                <w:rFonts w:ascii="Arial" w:cs="Arial" w:eastAsia="Arial" w:hAnsi="Arial"/>
                <w:sz w:val="20"/>
                <w:szCs w:val="20"/>
                <w:color w:val="008000"/>
                <w:vertAlign w:val="superscript"/>
              </w:rPr>
              <w:t>(8)</w:t>
            </w: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w w:val="90"/>
              </w:rPr>
              <w:t>Common</w:t>
            </w:r>
          </w:p>
        </w:tc>
        <w:tc>
          <w:tcPr>
            <w:tcW w:w="1220" w:type="dxa"/>
            <w:vAlign w:val="bottom"/>
            <w:gridSpan w:val="4"/>
            <w:vMerge w:val="restart"/>
          </w:tcPr>
          <w:p>
            <w:pPr>
              <w:ind w:left="120"/>
              <w:spacing w:after="0"/>
              <w:rPr>
                <w:sz w:val="20"/>
                <w:szCs w:val="20"/>
                <w:color w:val="auto"/>
              </w:rPr>
            </w:pPr>
            <w:r>
              <w:rPr>
                <w:rFonts w:ascii="Arial" w:cs="Arial" w:eastAsia="Arial" w:hAnsi="Arial"/>
                <w:sz w:val="16"/>
                <w:szCs w:val="16"/>
                <w:color w:val="0000FF"/>
                <w:w w:val="91"/>
              </w:rPr>
              <w:t>83,858,848.81</w:t>
            </w:r>
            <w:r>
              <w:rPr>
                <w:rFonts w:ascii="Arial" w:cs="Arial" w:eastAsia="Arial" w:hAnsi="Arial"/>
                <w:sz w:val="20"/>
                <w:szCs w:val="20"/>
                <w:color w:val="008000"/>
                <w:w w:val="91"/>
                <w:vertAlign w:val="superscript"/>
              </w:rPr>
              <w:t>(8)</w:t>
            </w: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2"/>
                <w:szCs w:val="12"/>
                <w:color w:val="0000FF"/>
                <w:w w:val="98"/>
              </w:rPr>
              <w:t>83,858,848.81</w:t>
            </w:r>
            <w:r>
              <w:rPr>
                <w:rFonts w:ascii="Arial" w:cs="Arial" w:eastAsia="Arial" w:hAnsi="Arial"/>
                <w:sz w:val="20"/>
                <w:szCs w:val="20"/>
                <w:color w:val="008000"/>
                <w:w w:val="98"/>
                <w:vertAlign w:val="superscript"/>
              </w:rPr>
              <w:t>(8)</w:t>
            </w: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right w:val="single" w:sz="8" w:color="2C2C2C"/>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restart"/>
          </w:tcPr>
          <w:p>
            <w:pPr>
              <w:jc w:val="right"/>
              <w:ind w:right="243"/>
              <w:spacing w:after="0"/>
              <w:rPr>
                <w:sz w:val="20"/>
                <w:szCs w:val="20"/>
                <w:color w:val="auto"/>
              </w:rPr>
            </w:pPr>
            <w:r>
              <w:rPr>
                <w:rFonts w:ascii="Arial" w:cs="Arial" w:eastAsia="Arial" w:hAnsi="Arial"/>
                <w:sz w:val="10"/>
                <w:szCs w:val="10"/>
                <w:color w:val="008000"/>
                <w:w w:val="97"/>
              </w:rPr>
              <w:t>(9)</w:t>
            </w:r>
          </w:p>
        </w:tc>
        <w:tc>
          <w:tcPr>
            <w:tcW w:w="260" w:type="dxa"/>
            <w:vAlign w:val="bottom"/>
          </w:tcPr>
          <w:p>
            <w:pPr>
              <w:spacing w:after="0"/>
              <w:rPr>
                <w:sz w:val="6"/>
                <w:szCs w:val="6"/>
                <w:color w:val="auto"/>
              </w:rPr>
            </w:pPr>
          </w:p>
        </w:tc>
        <w:tc>
          <w:tcPr>
            <w:tcW w:w="420" w:type="dxa"/>
            <w:vAlign w:val="bottom"/>
            <w:vMerge w:val="restart"/>
          </w:tcPr>
          <w:p>
            <w:pPr>
              <w:jc w:val="right"/>
              <w:ind w:right="214"/>
              <w:spacing w:after="0"/>
              <w:rPr>
                <w:sz w:val="20"/>
                <w:szCs w:val="20"/>
                <w:color w:val="auto"/>
              </w:rPr>
            </w:pPr>
            <w:r>
              <w:rPr>
                <w:rFonts w:ascii="Arial" w:cs="Arial" w:eastAsia="Arial" w:hAnsi="Arial"/>
                <w:sz w:val="10"/>
                <w:szCs w:val="10"/>
                <w:color w:val="008000"/>
                <w:w w:val="97"/>
              </w:rPr>
              <w:t>(9)</w:t>
            </w:r>
          </w:p>
        </w:tc>
        <w:tc>
          <w:tcPr>
            <w:tcW w:w="520" w:type="dxa"/>
            <w:vAlign w:val="bottom"/>
            <w:vMerge w:val="continue"/>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420" w:type="dxa"/>
            <w:vAlign w:val="bottom"/>
            <w:vMerge w:val="restart"/>
          </w:tcPr>
          <w:p>
            <w:pPr>
              <w:ind w:left="2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6"/>
                <w:szCs w:val="6"/>
                <w:color w:val="auto"/>
              </w:rPr>
            </w:pPr>
          </w:p>
        </w:tc>
        <w:tc>
          <w:tcPr>
            <w:tcW w:w="660" w:type="dxa"/>
            <w:vAlign w:val="bottom"/>
            <w:tcBorders>
              <w:right w:val="single" w:sz="8" w:color="2C2C2C"/>
            </w:tcBorders>
            <w:gridSpan w:val="5"/>
            <w:vMerge w:val="restart"/>
          </w:tcPr>
          <w:p>
            <w:pPr>
              <w:spacing w:after="0" w:line="190" w:lineRule="exact"/>
              <w:rPr>
                <w:sz w:val="20"/>
                <w:szCs w:val="20"/>
                <w:color w:val="auto"/>
              </w:rPr>
            </w:pPr>
            <w:r>
              <w:rPr>
                <w:rFonts w:ascii="Arial" w:cs="Arial" w:eastAsia="Arial" w:hAnsi="Arial"/>
                <w:sz w:val="12"/>
                <w:szCs w:val="12"/>
                <w:color w:val="0000FF"/>
                <w:w w:val="94"/>
              </w:rPr>
              <w:t>footnotes</w:t>
            </w:r>
            <w:r>
              <w:rPr>
                <w:rFonts w:ascii="Arial" w:cs="Arial" w:eastAsia="Arial" w:hAnsi="Arial"/>
                <w:sz w:val="20"/>
                <w:szCs w:val="20"/>
                <w:color w:val="008000"/>
                <w:w w:val="94"/>
                <w:vertAlign w:val="superscript"/>
              </w:rPr>
              <w:t>(3)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Shares of</w:t>
            </w:r>
          </w:p>
        </w:tc>
        <w:tc>
          <w:tcPr>
            <w:tcW w:w="6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520" w:type="dxa"/>
            <w:vAlign w:val="bottom"/>
          </w:tcPr>
          <w:p>
            <w:pPr>
              <w:ind w:left="140"/>
              <w:spacing w:after="0" w:line="121" w:lineRule="exact"/>
              <w:rPr>
                <w:sz w:val="20"/>
                <w:szCs w:val="20"/>
                <w:color w:val="auto"/>
              </w:rPr>
            </w:pPr>
            <w:r>
              <w:rPr>
                <w:rFonts w:ascii="Arial" w:cs="Arial" w:eastAsia="Arial" w:hAnsi="Arial"/>
                <w:sz w:val="12"/>
                <w:szCs w:val="12"/>
                <w:color w:val="0000FF"/>
              </w:rPr>
              <w:t>Stock</w:t>
            </w:r>
          </w:p>
        </w:tc>
        <w:tc>
          <w:tcPr>
            <w:tcW w:w="12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right w:val="single" w:sz="8" w:color="2C2C2C"/>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0"/>
                <w:szCs w:val="10"/>
                <w:color w:val="008000"/>
              </w:rPr>
              <w:t>(4)(10)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gridSpan w:val="7"/>
          </w:tcPr>
          <w:p>
            <w:pPr>
              <w:ind w:left="20"/>
              <w:spacing w:after="0" w:line="205" w:lineRule="exact"/>
              <w:rPr>
                <w:rFonts w:ascii="Arial" w:cs="Arial" w:eastAsia="Arial" w:hAnsi="Arial"/>
                <w:sz w:val="20"/>
                <w:szCs w:val="20"/>
                <w:color w:val="0000EE"/>
              </w:rPr>
            </w:pPr>
            <w:hyperlink r:id="rId8">
              <w:r>
                <w:rPr>
                  <w:rFonts w:ascii="Arial" w:cs="Arial" w:eastAsia="Arial" w:hAnsi="Arial"/>
                  <w:sz w:val="20"/>
                  <w:szCs w:val="20"/>
                  <w:color w:val="0000EE"/>
                </w:rPr>
                <w:t>BERKSHIRE HATHAWAY INC</w:t>
              </w:r>
            </w:hyperlink>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5"/>
          </w:tcPr>
          <w:p>
            <w:pPr>
              <w:ind w:left="20"/>
              <w:spacing w:after="0"/>
              <w:rPr>
                <w:sz w:val="20"/>
                <w:szCs w:val="20"/>
                <w:color w:val="auto"/>
              </w:rPr>
            </w:pPr>
            <w:r>
              <w:rPr>
                <w:rFonts w:ascii="Arial" w:cs="Arial" w:eastAsia="Arial" w:hAnsi="Arial"/>
                <w:sz w:val="16"/>
                <w:szCs w:val="16"/>
                <w:color w:val="0000FF"/>
              </w:rPr>
              <w:t>3555 FARNAM STREET</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color w:val="0000FF"/>
                <w:w w:val="98"/>
              </w:rPr>
              <w:t>OMAHA</w:t>
            </w:r>
          </w:p>
        </w:tc>
        <w:tc>
          <w:tcPr>
            <w:tcW w:w="68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color w:val="0000FF"/>
              </w:rPr>
              <w:t>NE</w:t>
            </w:r>
          </w:p>
        </w:tc>
        <w:tc>
          <w:tcPr>
            <w:tcW w:w="1000" w:type="dxa"/>
            <w:vAlign w:val="bottom"/>
            <w:gridSpan w:val="2"/>
          </w:tcPr>
          <w:p>
            <w:pPr>
              <w:ind w:left="440"/>
              <w:spacing w:after="0"/>
              <w:rPr>
                <w:sz w:val="20"/>
                <w:szCs w:val="20"/>
                <w:color w:val="auto"/>
              </w:rPr>
            </w:pPr>
            <w:r>
              <w:rPr>
                <w:rFonts w:ascii="Arial" w:cs="Arial" w:eastAsia="Arial" w:hAnsi="Arial"/>
                <w:sz w:val="16"/>
                <w:szCs w:val="16"/>
                <w:color w:val="0000FF"/>
              </w:rPr>
              <w:t>68131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900" w:type="dxa"/>
            <w:vAlign w:val="bottom"/>
            <w:tcBorders>
              <w:bottom w:val="single" w:sz="8" w:color="2C2C2C"/>
            </w:tcBorders>
            <w:gridSpan w:val="3"/>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5"/>
          </w:tcPr>
          <w:p>
            <w:pPr>
              <w:ind w:left="20"/>
              <w:spacing w:after="0" w:line="205" w:lineRule="exact"/>
              <w:rPr>
                <w:rFonts w:ascii="Arial" w:cs="Arial" w:eastAsia="Arial" w:hAnsi="Arial"/>
                <w:sz w:val="20"/>
                <w:szCs w:val="20"/>
                <w:color w:val="0000EE"/>
              </w:rPr>
            </w:pPr>
            <w:hyperlink r:id="rId10">
              <w:r>
                <w:rPr>
                  <w:rFonts w:ascii="Arial" w:cs="Arial" w:eastAsia="Arial" w:hAnsi="Arial"/>
                  <w:sz w:val="20"/>
                  <w:szCs w:val="20"/>
                  <w:color w:val="0000EE"/>
                </w:rPr>
                <w:t>BUFFETT WARREN E</w:t>
              </w:r>
            </w:hyperlink>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5"/>
          </w:tcPr>
          <w:p>
            <w:pPr>
              <w:ind w:left="20"/>
              <w:spacing w:after="0"/>
              <w:rPr>
                <w:sz w:val="20"/>
                <w:szCs w:val="20"/>
                <w:color w:val="auto"/>
              </w:rPr>
            </w:pPr>
            <w:r>
              <w:rPr>
                <w:rFonts w:ascii="Arial" w:cs="Arial" w:eastAsia="Arial" w:hAnsi="Arial"/>
                <w:sz w:val="16"/>
                <w:szCs w:val="16"/>
                <w:color w:val="0000FF"/>
              </w:rPr>
              <w:t>3555 FARNAM STREET</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color w:val="0000FF"/>
                <w:w w:val="98"/>
              </w:rPr>
              <w:t>OMAHA</w:t>
            </w:r>
          </w:p>
        </w:tc>
        <w:tc>
          <w:tcPr>
            <w:tcW w:w="68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color w:val="0000FF"/>
              </w:rPr>
              <w:t>NE</w:t>
            </w:r>
          </w:p>
        </w:tc>
        <w:tc>
          <w:tcPr>
            <w:tcW w:w="1000" w:type="dxa"/>
            <w:vAlign w:val="bottom"/>
            <w:gridSpan w:val="2"/>
          </w:tcPr>
          <w:p>
            <w:pPr>
              <w:ind w:left="440"/>
              <w:spacing w:after="0"/>
              <w:rPr>
                <w:sz w:val="20"/>
                <w:szCs w:val="20"/>
                <w:color w:val="auto"/>
              </w:rPr>
            </w:pPr>
            <w:r>
              <w:rPr>
                <w:rFonts w:ascii="Arial" w:cs="Arial" w:eastAsia="Arial" w:hAnsi="Arial"/>
                <w:sz w:val="16"/>
                <w:szCs w:val="16"/>
                <w:color w:val="0000FF"/>
              </w:rPr>
              <w:t>68131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-9775825</wp:posOffset>
            </wp:positionV>
            <wp:extent cx="7049135" cy="10135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7049135" cy="1013587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sectPr>
      </w:pPr>
    </w:p>
    <w:p>
      <w:pPr>
        <w:spacing w:after="0" w:line="29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 w:hanging="4"/>
        <w:spacing w:after="0" w:line="252" w:lineRule="auto"/>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$56.4900 to $57.2500. The Reporting Persons undertake to provide Occidental Petroleum 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pacing w:after="0" w:line="23" w:lineRule="exact"/>
        <w:rPr>
          <w:rFonts w:ascii="Arial" w:cs="Arial" w:eastAsia="Arial" w:hAnsi="Arial"/>
          <w:sz w:val="12"/>
          <w:szCs w:val="12"/>
          <w:color w:val="008000"/>
        </w:rPr>
      </w:pPr>
    </w:p>
    <w:p>
      <w:pPr>
        <w:ind w:left="124" w:hanging="124"/>
        <w:spacing w:after="0"/>
        <w:tabs>
          <w:tab w:leader="none" w:pos="12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the issuer's common stock reported on this form are held by Berkshire Hathaway Inc. ("Berkshire") indirectly through its subsidiary, National Indemnity Company.</w:t>
      </w:r>
    </w:p>
    <w:p>
      <w:pPr>
        <w:spacing w:after="0" w:line="47" w:lineRule="exact"/>
        <w:rPr>
          <w:rFonts w:ascii="Arial" w:cs="Arial" w:eastAsia="Arial" w:hAnsi="Arial"/>
          <w:sz w:val="12"/>
          <w:szCs w:val="12"/>
          <w:color w:val="008000"/>
        </w:rPr>
      </w:pPr>
    </w:p>
    <w:p>
      <w:pPr>
        <w:ind w:left="4" w:right="60" w:hanging="4"/>
        <w:spacing w:after="0" w:line="244" w:lineRule="auto"/>
        <w:tabs>
          <w:tab w:leader="none" w:pos="12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 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29" w:lineRule="exact"/>
        <w:rPr>
          <w:rFonts w:ascii="Arial" w:cs="Arial" w:eastAsia="Arial" w:hAnsi="Arial"/>
          <w:sz w:val="12"/>
          <w:szCs w:val="12"/>
          <w:color w:val="008000"/>
        </w:rPr>
      </w:pPr>
    </w:p>
    <w:p>
      <w:pPr>
        <w:ind w:left="124" w:hanging="124"/>
        <w:spacing w:after="0"/>
        <w:tabs>
          <w:tab w:leader="none" w:pos="12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47" w:lineRule="exact"/>
        <w:rPr>
          <w:rFonts w:ascii="Arial" w:cs="Arial" w:eastAsia="Arial" w:hAnsi="Arial"/>
          <w:sz w:val="12"/>
          <w:szCs w:val="12"/>
          <w:color w:val="008000"/>
        </w:rPr>
      </w:pPr>
    </w:p>
    <w:p>
      <w:pPr>
        <w:ind w:left="4" w:right="40" w:hanging="4"/>
        <w:spacing w:after="0" w:line="252" w:lineRule="auto"/>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$56.9000 to $57.2500.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3" w:lineRule="exact"/>
        <w:rPr>
          <w:rFonts w:ascii="Arial" w:cs="Arial" w:eastAsia="Arial" w:hAnsi="Arial"/>
          <w:sz w:val="12"/>
          <w:szCs w:val="12"/>
          <w:color w:val="008000"/>
        </w:rPr>
      </w:pPr>
    </w:p>
    <w:p>
      <w:pPr>
        <w:ind w:left="4" w:right="40" w:hanging="4"/>
        <w:spacing w:after="0" w:line="252" w:lineRule="auto"/>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$56.7700 to $57.2000.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3" w:lineRule="exact"/>
        <w:rPr>
          <w:rFonts w:ascii="Arial" w:cs="Arial" w:eastAsia="Arial" w:hAnsi="Arial"/>
          <w:sz w:val="12"/>
          <w:szCs w:val="12"/>
          <w:color w:val="008000"/>
        </w:rPr>
      </w:pPr>
    </w:p>
    <w:p>
      <w:pPr>
        <w:ind w:left="4" w:hanging="4"/>
        <w:spacing w:after="0" w:line="268" w:lineRule="auto"/>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the issuer's preferred stock reported on this form were issued on August 8, 2019 and are held by Berkshire indirectly through its subsidiary, National Indemnity Company. Between June 16, 2023 and June 23, 2023, the issuer redeemed a total of 1,568 shares of Series A Preferred Stock at the contractually specified redemption price of $110,000 per share.</w:t>
      </w:r>
    </w:p>
    <w:p>
      <w:pPr>
        <w:spacing w:after="0" w:line="13" w:lineRule="exact"/>
        <w:rPr>
          <w:rFonts w:ascii="Arial" w:cs="Arial" w:eastAsia="Arial" w:hAnsi="Arial"/>
          <w:sz w:val="12"/>
          <w:szCs w:val="12"/>
          <w:color w:val="008000"/>
        </w:rPr>
      </w:pPr>
    </w:p>
    <w:p>
      <w:pPr>
        <w:ind w:left="4" w:right="80" w:hanging="4"/>
        <w:spacing w:after="0" w:line="244" w:lineRule="auto"/>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spacing w:after="0" w:line="29" w:lineRule="exact"/>
        <w:rPr>
          <w:rFonts w:ascii="Arial" w:cs="Arial" w:eastAsia="Arial" w:hAnsi="Arial"/>
          <w:sz w:val="12"/>
          <w:szCs w:val="12"/>
          <w:color w:val="008000"/>
        </w:rPr>
      </w:pPr>
    </w:p>
    <w:p>
      <w:pPr>
        <w:ind w:left="4" w:right="240" w:hanging="4"/>
        <w:spacing w:after="0" w:line="268" w:lineRule="auto"/>
        <w:tabs>
          <w:tab w:leader="none" w:pos="12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13" w:lineRule="exact"/>
        <w:rPr>
          <w:rFonts w:ascii="Arial" w:cs="Arial" w:eastAsia="Arial" w:hAnsi="Arial"/>
          <w:sz w:val="12"/>
          <w:szCs w:val="12"/>
          <w:color w:val="008000"/>
        </w:rPr>
      </w:pPr>
    </w:p>
    <w:p>
      <w:pPr>
        <w:ind w:left="4" w:right="240" w:hanging="4"/>
        <w:spacing w:after="0" w:line="286" w:lineRule="auto"/>
        <w:tabs>
          <w:tab w:leader="none" w:pos="18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warrants to purchase the issuer's common stock reported on this form are held by Berkshire indirectly through the following Berkshire subsidiaries: Berkshire Hathaway Life Insurance Company of Nebraska (3,018,918.56), Berkshire Hathaway Specialty Insurance Company (1,677,176.98), Columbia Insurance Company (10,608,144.37), Government Employees Insurance Company (27,254,125.86), GEICO Indemnity Company (8,385,884.88), GEICO Casualty Company (3,270,495.10), BHG Life Insurance Company (5,870,119.42), and National Indemnity Company (23,773,983.64).</w:t>
      </w:r>
    </w:p>
    <w:p>
      <w:pPr>
        <w:spacing w:after="0" w:line="31"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/s/ Warren E. Buffett,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-8255</wp:posOffset>
            </wp:positionV>
            <wp:extent cx="12795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1279525" cy="7620"/>
                    </a:xfrm>
                    <a:prstGeom prst="rect">
                      <a:avLst/>
                    </a:prstGeom>
                    <a:noFill/>
                  </pic:spPr>
                </pic:pic>
              </a:graphicData>
            </a:graphic>
          </wp:anchor>
        </w:drawing>
      </w:r>
    </w:p>
    <w:p>
      <w:pPr>
        <w:spacing w:after="0" w:line="1"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6"/>
          <w:szCs w:val="16"/>
          <w:color w:val="0000FF"/>
        </w:rPr>
        <w:t>of himself and each other</w:t>
      </w:r>
      <w:r>
        <w:rPr>
          <w:sz w:val="20"/>
          <w:szCs w:val="20"/>
          <w:color w:val="auto"/>
        </w:rPr>
        <w:tab/>
      </w:r>
      <w:r>
        <w:rPr>
          <w:rFonts w:ascii="Arial" w:cs="Arial" w:eastAsia="Arial" w:hAnsi="Arial"/>
          <w:sz w:val="14"/>
          <w:szCs w:val="14"/>
          <w:color w:val="0000FF"/>
        </w:rPr>
        <w:t>06/28/2023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-13335</wp:posOffset>
            </wp:positionV>
            <wp:extent cx="18637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863725"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reporting 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-13335</wp:posOffset>
            </wp:positionV>
            <wp:extent cx="11068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106805" cy="7620"/>
                    </a:xfrm>
                    <a:prstGeom prst="rect">
                      <a:avLst/>
                    </a:prstGeom>
                    <a:noFill/>
                  </pic:spPr>
                </pic:pic>
              </a:graphicData>
            </a:graphic>
          </wp:anchor>
        </w:drawing>
      </w:r>
    </w:p>
    <w:p>
      <w:pPr>
        <w:spacing w:after="0" w:line="37"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40" w:hanging="4"/>
        <w:spacing w:after="0" w:line="321"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4"/>
      </w:cols>
      <w:pgMar w:left="496" w:top="16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8" Type="http://schemas.openxmlformats.org/officeDocument/2006/relationships/hyperlink" Target="http://www.sec.gov/cgi-bin/browse-edgar?action=getcompany&amp;CIK=0001067983" TargetMode="External"/><Relationship Id="rId9" Type="http://schemas.openxmlformats.org/officeDocument/2006/relationships/hyperlink" Target="http://www.sec.gov/cgi-bin/browse-edgar?action=getcompany&amp;CIK=0000797468" TargetMode="External"/><Relationship Id="rId10"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2023-06-28T19:51:43Z</dcterms:created>
  <dcterms:modified xsi:type="dcterms:W3CDTF">2023-06-28T19:51:43Z</dcterms:modified>
</cp:coreProperties>
</file>