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 xml:space="preserve">WASHINGTON, D.C. 20549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40" w:before="0" w:after="120"/>
        <w:jc w:val="center"/>
        <w:rPr/>
      </w:pPr>
      <w:r>
        <w:rPr>
          <w:rFonts w:ascii="Times New Roman;serif" w:hAnsi="Times New Roman;serif"/>
          <w:b/>
          <w:color w:val="000000"/>
          <w:sz w:val="16"/>
        </w:rPr>
        <w:t>of the Securities Exchange Act of 1934</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 October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OCCIDENTAL PETROLEUM CORPORATION</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53" w:type="dxa"/>
        <w:jc w:val="center"/>
        <w:tblInd w:w="0" w:type="dxa"/>
        <w:tblLayout w:type="fixed"/>
        <w:tblCellMar>
          <w:top w:w="28" w:type="dxa"/>
          <w:left w:w="28" w:type="dxa"/>
          <w:bottom w:w="28" w:type="dxa"/>
          <w:right w:w="28" w:type="dxa"/>
        </w:tblCellMar>
      </w:tblPr>
      <w:tblGrid>
        <w:gridCol w:w="791"/>
        <w:gridCol w:w="697"/>
        <w:gridCol w:w="702"/>
        <w:gridCol w:w="358"/>
        <w:gridCol w:w="358"/>
        <w:gridCol w:w="363"/>
        <w:gridCol w:w="432"/>
        <w:gridCol w:w="432"/>
        <w:gridCol w:w="620"/>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Delaware</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1-9210</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95-4035997</w:t>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(Commission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(IRS Employer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tbl>
      <w:tblPr>
        <w:tblW w:w="3943" w:type="dxa"/>
        <w:jc w:val="center"/>
        <w:tblInd w:w="0" w:type="dxa"/>
        <w:tblLayout w:type="fixed"/>
        <w:tblCellMar>
          <w:top w:w="28" w:type="dxa"/>
          <w:left w:w="28" w:type="dxa"/>
          <w:bottom w:w="28" w:type="dxa"/>
          <w:right w:w="28" w:type="dxa"/>
        </w:tblCellMar>
      </w:tblPr>
      <w:tblGrid>
        <w:gridCol w:w="1090"/>
        <w:gridCol w:w="959"/>
        <w:gridCol w:w="965"/>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5 Greenway Plaza, Suite 110</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Houston, Texas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77046</w:t>
            </w:r>
          </w:p>
        </w:tc>
      </w:tr>
      <w:tr>
        <w:trPr/>
        <w:tc>
          <w:tcPr>
            <w:tcW w:w="30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312" w:before="0" w:after="24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(713) 215-7000</w:t>
      </w:r>
    </w:p>
    <w:p>
      <w:pPr>
        <w:pStyle w:val="TextBody"/>
        <w:bidi w:val="0"/>
        <w:spacing w:lineRule="auto" w:line="312" w:before="0" w:after="0"/>
        <w:jc w:val="center"/>
        <w:rPr/>
      </w:pPr>
      <w:r>
        <w:rPr>
          <w:rFonts w:ascii="Times New Roman;serif" w:hAnsi="Times New Roman;serif"/>
          <w:b/>
          <w:color w:val="000000"/>
          <w:sz w:val="16"/>
        </w:rPr>
        <w:t>Not Applicable</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49" w:type="dxa"/>
        <w:jc w:val="left"/>
        <w:tblInd w:w="0" w:type="dxa"/>
        <w:tblLayout w:type="fixed"/>
        <w:tblCellMar>
          <w:top w:w="28" w:type="dxa"/>
          <w:left w:w="28" w:type="dxa"/>
          <w:bottom w:w="28" w:type="dxa"/>
          <w:right w:w="28" w:type="dxa"/>
        </w:tblCellMar>
      </w:tblPr>
      <w:tblGrid>
        <w:gridCol w:w="1399"/>
        <w:gridCol w:w="1235"/>
        <w:gridCol w:w="1251"/>
        <w:gridCol w:w="474"/>
        <w:gridCol w:w="474"/>
        <w:gridCol w:w="476"/>
        <w:gridCol w:w="773"/>
        <w:gridCol w:w="773"/>
        <w:gridCol w:w="1094"/>
      </w:tblGrid>
      <w:tr>
        <w:trPr/>
        <w:tc>
          <w:tcPr>
            <w:tcW w:w="139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Name of Each Exchange on Which </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Registered</w:t>
            </w:r>
          </w:p>
        </w:tc>
      </w:tr>
      <w:tr>
        <w:trPr/>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Common Stock, $0.20 par value</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w:t>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Warrants to Purchase Common Stock, $0.20 par value</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 WS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2120"/>
                <wp:effectExtent l="0" t="0" r="0" b="0"/>
                <wp:wrapNone/>
                <wp:docPr id="1" name="Frame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October 13, 2026, Occidental Petroleum Corporation (the "Company") provided a summary of factors management believes will impact the Company's third quarter of 2026 results (the "Earnings Considerations"). A copy of the Earnings Considerations is furnished as Exhibit 99.1 to this Current Report on Form 8-K and is incorporated herein by reference.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and in Exhibit 99.1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312" w:before="0" w:after="200"/>
        <w:ind w:left="0" w:right="0" w:hanging="108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9416"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2281"/>
        <w:gridCol w:w="2281"/>
        <w:gridCol w:w="3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Exhibit No.</w:t>
            </w:r>
          </w:p>
        </w:tc>
        <w:tc>
          <w:tcPr>
            <w:tcW w:w="78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8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oxyex99193026preearningsre.htm">
              <w:r>
                <w:rPr>
                  <w:rStyle w:val="InternetLink"/>
                  <w:rFonts w:ascii="Times New Roman;serif" w:hAnsi="Times New Roman;serif"/>
                  <w:b w:val="false"/>
                  <w:color w:val="000080"/>
                  <w:sz w:val="24"/>
                </w:rPr>
                <w:t>Occidental Petroleum Corporation Third Quarter 2026 Earnings Considerations</w:t>
              </w:r>
            </w:hyperlink>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8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2120"/>
                <wp:effectExtent l="0" t="0" r="0" b="0"/>
                <wp:wrapNone/>
                <wp:docPr id="2" name="Frame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9660" w:type="dxa"/>
        <w:jc w:val="left"/>
        <w:tblInd w:w="0" w:type="dxa"/>
        <w:tblLayout w:type="fixed"/>
        <w:tblCellMar>
          <w:top w:w="28" w:type="dxa"/>
          <w:left w:w="28" w:type="dxa"/>
          <w:bottom w:w="28" w:type="dxa"/>
          <w:right w:w="28" w:type="dxa"/>
        </w:tblCellMar>
      </w:tblPr>
      <w:tblGrid>
        <w:gridCol w:w="647"/>
        <w:gridCol w:w="568"/>
        <w:gridCol w:w="570"/>
        <w:gridCol w:w="790"/>
        <w:gridCol w:w="790"/>
        <w:gridCol w:w="790"/>
        <w:gridCol w:w="1610"/>
        <w:gridCol w:w="1610"/>
        <w:gridCol w:w="228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October 13, 2026</w:t>
            </w:r>
          </w:p>
        </w:tc>
        <w:tc>
          <w:tcPr>
            <w:tcW w:w="787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OCCIDENTAL PETROLEUM CORPORATION</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Christopher O. Champion</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Christopher O. Champion</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Vice President, Chief Accounting Officer and Controller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2120"/>
                <wp:effectExtent l="0" t="0" r="0" b="0"/>
                <wp:wrapNone/>
                <wp:docPr id="3" name="Frame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286"/>
        <w:gridCol w:w="252"/>
        <w:gridCol w:w="253"/>
        <w:gridCol w:w="364"/>
        <w:gridCol w:w="364"/>
        <w:gridCol w:w="517"/>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38150" cy="447675"/>
                          </a:xfrm>
                          <a:prstGeom prst="rect">
                            <a:avLst/>
                          </a:prstGeom>
                        </pic:spPr>
                      </pic:pic>
                    </a:graphicData>
                  </a:graphic>
                </wp:inline>
              </w:drawing>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bl>
    <w:p>
      <w:pPr>
        <w:pStyle w:val="TextBody"/>
        <w:bidi w:val="0"/>
        <w:spacing w:lineRule="auto" w:line="288" w:before="0" w:after="0"/>
        <w:jc w:val="left"/>
        <w:rPr>
          <w:rFonts w:ascii="Arial Narrow;sans-serif" w:hAnsi="Arial Narrow;sans-serif"/>
          <w:b/>
          <w:color w:val="1D83DE"/>
          <w:sz w:val="28"/>
        </w:rPr>
      </w:pPr>
      <w:r>
        <w:rPr>
          <w:rFonts w:ascii="Arial Narrow;sans-serif" w:hAnsi="Arial Narrow;sans-serif"/>
          <w:b/>
          <w:color w:val="1D83DE"/>
          <w:sz w:val="28"/>
        </w:rPr>
        <w:t>Third Quarter 2026 Earnings Considerations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Occidental Petroleum Corporation ("Occidental") is providing the following summary of earnings considerations that management believes will impact results for the third quarter of 2026. The summary is intended only to provide information regarding current estimates of these factors. It is not comprehensive of all results for and changes that have occurred in the third quarter of 2026 and is not an estimate of the third quarter of 2026 earnings for Occidental. Further, this summary may not account for all adjustments and charges required to fully reflect changes in industry conditions, is preliminary and is subject to finalization of Occidental's financial reporting process for the third quarter of 2026.</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i/>
          <w:color w:val="1D83DE"/>
          <w:sz w:val="24"/>
        </w:rPr>
      </w:pPr>
      <w:r>
        <w:rPr>
          <w:rFonts w:ascii="Arial Narrow;sans-serif" w:hAnsi="Arial Narrow;sans-serif"/>
          <w:b/>
          <w:i/>
          <w:color w:val="1D83DE"/>
          <w:sz w:val="24"/>
        </w:rPr>
        <w:t>Factors impacting third quarter 2026 results include:</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Total company production for the third quarter of 2026 is within Occidental's guidance range and includes the temporary Gulf of America downtime described below.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In September, Occidental temporarily curtailed production at certain Gulf of America facilities due to a third-party gas pipeline constraint and maintenance activities. Production has been partially restored, with the remaining impacted production expected to return as the third-party gas pipeline constraint is resolved.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Occidental is providing the following estimates of third quarter 2026 results impacted by the unplanned downtime referenced above:</w:t>
      </w:r>
    </w:p>
    <w:tbl>
      <w:tblPr>
        <w:tblW w:w="8082" w:type="dxa"/>
        <w:jc w:val="left"/>
        <w:tblInd w:w="0" w:type="dxa"/>
        <w:tblLayout w:type="fixed"/>
        <w:tblCellMar>
          <w:top w:w="28" w:type="dxa"/>
          <w:left w:w="28" w:type="dxa"/>
          <w:bottom w:w="28" w:type="dxa"/>
          <w:right w:w="28" w:type="dxa"/>
        </w:tblCellMar>
      </w:tblPr>
      <w:tblGrid>
        <w:gridCol w:w="1567"/>
        <w:gridCol w:w="1379"/>
        <w:gridCol w:w="1388"/>
        <w:gridCol w:w="275"/>
        <w:gridCol w:w="275"/>
        <w:gridCol w:w="275"/>
        <w:gridCol w:w="570"/>
        <w:gridCol w:w="1480"/>
        <w:gridCol w:w="873"/>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Three months ended September 30, 2026</w:t>
            </w:r>
          </w:p>
        </w:tc>
      </w:tr>
      <w:tr>
        <w:trPr/>
        <w:tc>
          <w:tcPr>
            <w:tcW w:w="4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Gulf of America net sales volumes (Mboed)</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110 </w:t>
            </w:r>
          </w:p>
        </w:tc>
        <w:tc>
          <w:tcPr>
            <w:tcW w:w="8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Domestic lease operating cost ($/boe)</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4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8.54 </w:t>
            </w:r>
          </w:p>
        </w:tc>
        <w:tc>
          <w:tcPr>
            <w:tcW w:w="8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company production oil (%)</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48.8 </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ind w:left="0" w:right="0" w:hanging="360"/>
        <w:jc w:val="both"/>
        <w:rPr/>
      </w:pPr>
      <w:r>
        <w:rPr/>
      </w:r>
    </w:p>
    <w:p>
      <w:pPr>
        <w:pStyle w:val="TextBody"/>
        <w:bidi w:val="0"/>
        <w:spacing w:lineRule="auto" w:line="288" w:before="0" w:after="0"/>
        <w:jc w:val="left"/>
        <w:rPr>
          <w:rFonts w:ascii="Arial Narrow;sans-serif" w:hAnsi="Arial Narrow;sans-serif"/>
          <w:b/>
          <w:i/>
          <w:color w:val="1D83DE"/>
          <w:sz w:val="24"/>
        </w:rPr>
      </w:pPr>
      <w:r>
        <w:rPr>
          <w:rFonts w:ascii="Arial Narrow;sans-serif" w:hAnsi="Arial Narrow;sans-serif"/>
          <w:b/>
          <w:i/>
          <w:color w:val="1D83DE"/>
          <w:sz w:val="24"/>
        </w:rPr>
        <w:t>Average Diluted Shares Outstanding</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Average diluted shares outstanding for the third quarter of 2026 were 1,012.8 million shares.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1D83DE"/>
          <w:sz w:val="24"/>
        </w:rPr>
      </w:pPr>
      <w:r>
        <w:rPr>
          <w:rFonts w:ascii="Arial Narrow;sans-serif" w:hAnsi="Arial Narrow;sans-serif"/>
          <w:b/>
          <w:i/>
          <w:color w:val="1D83DE"/>
          <w:sz w:val="24"/>
        </w:rPr>
        <w:t>Cash Flow related to Crude Oil Collars</w:t>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Crude oil collar settlements for the third quarter of 2026 negatively impacted operating cash flow before working capital by $94 million.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1D83DE"/>
          <w:sz w:val="24"/>
        </w:rPr>
      </w:pPr>
      <w:r>
        <w:rPr>
          <w:rFonts w:ascii="Arial Narrow;sans-serif" w:hAnsi="Arial Narrow;sans-serif"/>
          <w:b/>
          <w:i/>
          <w:color w:val="1D83DE"/>
          <w:sz w:val="24"/>
        </w:rPr>
        <w:t>Realizations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presents information about Occidental's average realized prices and index prices:</w:t>
      </w:r>
    </w:p>
    <w:tbl>
      <w:tblPr>
        <w:tblW w:w="10205" w:type="dxa"/>
        <w:jc w:val="left"/>
        <w:tblInd w:w="0" w:type="dxa"/>
        <w:tblLayout w:type="fixed"/>
        <w:tblCellMar>
          <w:top w:w="28" w:type="dxa"/>
          <w:left w:w="28" w:type="dxa"/>
          <w:bottom w:w="28" w:type="dxa"/>
          <w:right w:w="28" w:type="dxa"/>
        </w:tblCellMar>
      </w:tblPr>
      <w:tblGrid>
        <w:gridCol w:w="2138"/>
        <w:gridCol w:w="1868"/>
        <w:gridCol w:w="1881"/>
        <w:gridCol w:w="1332"/>
        <w:gridCol w:w="686"/>
        <w:gridCol w:w="1815"/>
        <w:gridCol w:w="109"/>
        <w:gridCol w:w="109"/>
        <w:gridCol w:w="109"/>
        <w:gridCol w:w="158"/>
      </w:tblGrid>
      <w:tr>
        <w:trPr/>
        <w:tc>
          <w:tcPr>
            <w:tcW w:w="213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vAlign w:val="center"/>
          </w:tcPr>
          <w:p>
            <w:pPr>
              <w:pStyle w:val="TableContents"/>
              <w:bidi w:val="0"/>
              <w:spacing w:before="0" w:after="283"/>
              <w:jc w:val="left"/>
              <w:rPr>
                <w:sz w:val="4"/>
                <w:szCs w:val="4"/>
              </w:rPr>
            </w:pPr>
            <w:r>
              <w:rPr>
                <w:sz w:val="4"/>
                <w:szCs w:val="4"/>
              </w:rPr>
            </w:r>
          </w:p>
        </w:tc>
        <w:tc>
          <w:tcPr>
            <w:tcW w:w="3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Three months ended 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w:t>
            </w:r>
          </w:p>
        </w:tc>
        <w:tc>
          <w:tcPr>
            <w:tcW w:w="3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($/Bbl)</w:t>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85.93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85.80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85.91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($/Bbl)</w:t>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($/Mcf)</w:t>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Index Prices</w:t>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 oil ($/Bbl)</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85.79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 oil ($/Bbl)</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91.62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gas ($/Mcf)</w:t>
            </w:r>
          </w:p>
        </w:tc>
        <w:tc>
          <w:tcPr>
            <w:tcW w:w="133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5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 as Percentage of Average Index Prices</w:t>
            </w:r>
          </w:p>
        </w:tc>
        <w:tc>
          <w:tcPr>
            <w:tcW w:w="3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WTI</w:t>
            </w:r>
          </w:p>
        </w:tc>
        <w:tc>
          <w:tcPr>
            <w:tcW w:w="20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w:t>
            </w:r>
            <w:r>
              <w:rPr>
                <w:color w:val="00539B"/>
              </w:rPr>
              <w:t> </w:t>
            </w:r>
          </w:p>
        </w:tc>
        <w:tc>
          <w:tcPr>
            <w:tcW w:w="1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Brent</w:t>
            </w:r>
          </w:p>
        </w:tc>
        <w:tc>
          <w:tcPr>
            <w:tcW w:w="20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94</w:t>
            </w:r>
            <w:r>
              <w:rPr>
                <w:color w:val="00539B"/>
              </w:rPr>
              <w:t> </w:t>
            </w:r>
          </w:p>
        </w:tc>
        <w:tc>
          <w:tcPr>
            <w:tcW w:w="1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NGL as a percentage of average WTI</w:t>
            </w:r>
          </w:p>
        </w:tc>
        <w:tc>
          <w:tcPr>
            <w:tcW w:w="201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29</w:t>
            </w:r>
            <w:r>
              <w:rPr>
                <w:color w:val="00539B"/>
              </w:rPr>
              <w:t> </w:t>
            </w:r>
          </w:p>
        </w:tc>
        <w:tc>
          <w:tcPr>
            <w:tcW w:w="18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natural gas as a percentage of average NYMEX</w:t>
            </w:r>
          </w:p>
        </w:tc>
        <w:tc>
          <w:tcPr>
            <w:tcW w:w="201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54</w:t>
            </w:r>
            <w:r>
              <w:rPr>
                <w:color w:val="00539B"/>
              </w:rPr>
              <w:t> </w:t>
            </w:r>
          </w:p>
        </w:tc>
        <w:tc>
          <w:tcPr>
            <w:tcW w:w="181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20"/>
        <w:jc w:val="left"/>
        <w:rPr>
          <w:rFonts w:ascii="Arial Narrow;sans-serif" w:hAnsi="Arial Narrow;sans-serif"/>
          <w:b/>
          <w:color w:val="1D83DE"/>
          <w:sz w:val="24"/>
        </w:rPr>
      </w:pPr>
      <w:r>
        <w:rPr>
          <w:rFonts w:ascii="Arial Narrow;sans-serif" w:hAnsi="Arial Narrow;sans-serif"/>
          <w:b/>
          <w:color w:val="1D83DE"/>
          <w:sz w:val="24"/>
        </w:rPr>
        <w:t>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Third Quarter 2026 Earnings Considerations ("Earnings Considerations") contain forward-looking statements within the meaning of the "safe harbor" provisions of the Private Securities Litigation Reform Act of 1995, including, but not limited to, statements about Occidental's expectations, beliefs, plans or forecasts.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"will," "may," "intend," "believe," "subject to," "expect," "could," "project" or similar expressions that convey the prospective nature of events or outcomes are generally indicative of forward-looking statements. You should not place undue reliance on these forward-looking statements, which speak only as of the date of the Earnings Considerations unless an earlier date is specified. Unless legally required, Occidental does not undertake any obligation to update, modify or withdraw any forward-looking statements as a result of new information, future events or otherwise.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Actual outcomes or results, including the impact of the Earnings Considerations, may differ from anticipated results or estimates, sometimes materially.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including retained liabilities and indemnification obligations associated with the chemical business; uncertainties about the estimated quantities of oil, natural gas liquids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processing and transportation considerations; volatility in the securities, capital or credit markets,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including capital market disruptions and instability of financial institutions;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and announced greenhouse gas emissions reduction targets or net-zero goals; changes in government grant or loan programs;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deductions, incentives or credits; and actions by third parties that are beyond Occidental's control.</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Additional information concerning these and other factors that may cause Occidental's results of operations and financial position to differ from expectations can be found in Occidental's other filings with the U.S. Securities and Exchange Commission, including Occidental's Annual Report on Form 10-K for the fiscal year ended December 31, 2025, Quarterly Reports on Form 10-Q and Current Reports on Form 8-K.</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1868</Words>
  <Characters>11368</Characters>
  <CharactersWithSpaces>13106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