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85482.xml.htm"/>
      <w:bookmarkStart w:id="1" w:name="kswkform3_178588548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POLLACK BRAD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OCCIDENTAL PETROLEUM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GREENWAY PLAZA,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OCCIDENTAL PETROLEUM CORP /DE/</w:t>
              </w:r>
            </w:hyperlink>
            <w:r>
              <w:rPr/>
              <w:t xml:space="preserve"> [ </w:t>
            </w:r>
            <w:r>
              <w:rPr>
                <w:rFonts w:ascii="Times;serif" w:hAnsi="Times;serif"/>
                <w:color w:val="0000FF"/>
                <w:sz w:val="24"/>
                <w:shd w:fill="FFFFFF" w:val="clear"/>
              </w:rPr>
              <w:t>OXY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16,376</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OPC Savings Plan</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Based on a plan statement dated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Brittany A. Smith, Attorney-in-Fact for Brad Pollack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filingpoa-polla.htm"/>
      <w:bookmarkStart w:id="3" w:name="kssection16filingpoapoll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The undersigned hereby makes, constitutes and appoints each of Nicole E. Clark and Brittany A. Smith,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Occidental Petroleum Corporation (the “Company”),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and execute any and all forms, schedules and other documents (including any amendments thereto) the undersigned is required to file with the SEC, or which the Attorney-in-Fact considers it advisable for the undersigned to file with the SEC, under Section 16 of the Securities Exchange Act of 1934, as amended (the “Exchange Act”) or any rule or regulation thereunder including Forms 3, 4 and 5 (all such forms, schedules and other documents being referred to herein as “SEC Filings”); 3. Submit and file SEC Filings with the SEC utilizing the EDGAR system or cause them to be submitted and filed by a person appointed under Section 5 below; 4. File, submit or otherwise deliver SEC Filings to any securities exchange on which the Company’s securities may be listed or traded; 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6. Cause the Company to accept a delegation of authority from any of the undersigned’s EDGAR account administrators and, pursuant to that delegation, authorize the Company’s EDGAR account administrators to appoint, remove or replace users for the undersigned’s EDGAR account; and 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documents prepared or executed by the Attorney-in-Fact on behalf of the undersigned pursuant to this Power of Attorney will be in such form and will contain such information as the Attorney- 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SEC Filings with respect to the undersigned's holdings of and transactions in securities of the Company, unless earlier revoked by the undersigned in a signed writing delivered to an Attorney-in-Fact. This Power of Attorney revokes all previous powers of attorney with respect to the subject matter of this Power of Attorney. In the event that any one of the Attorneys-in-Fact referenced herein ceases to hold the office of Corporate Secretary, Assistant Corporate Secretary or Assistant Secretary, this Power of Attorney will be without force or effect regarding that attorney-in-fact but will remain in full force and effect with regard to each remaining Attorney-in-Fact as long as each such Attorney-in-Fact is empowered as Corporate Secretary, Assistant Corporate Secretary or Assistant Secretary by the Company. IN WITNESS WHEREOF, the undersigned has executed this Power of Attorney as of July 29, 2026. /s/ Brad D. Pollack Brad D. Pollack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3435" TargetMode="External"/><Relationship Id="rId3" Type="http://schemas.openxmlformats.org/officeDocument/2006/relationships/hyperlink" Target="http://www.sec.gov/cgi-bin/browse-edgar?action=getcompany&amp;CIK=00007974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1339</Words>
  <Characters>7375</Characters>
  <CharactersWithSpaces>8664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section16filingpoa-polla</dc:title>
</cp:coreProperties>
</file>