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2" w:lineRule="exact"/>
        <w:rPr>
          <w:sz w:val="24"/>
          <w:szCs w:val="24"/>
          <w:color w:val="auto"/>
        </w:rPr>
      </w:pPr>
    </w:p>
    <w:p>
      <w:pPr>
        <w:ind w:left="320"/>
        <w:spacing w:after="0" w:line="27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-187960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jc w:val="center"/>
              <w:ind w:right="44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63"/>
              <w:spacing w:after="0" w:line="133" w:lineRule="exact"/>
              <w:rPr>
                <w:sz w:val="20"/>
                <w:szCs w:val="20"/>
                <w:color w:val="auto"/>
              </w:rPr>
            </w:pPr>
            <w:r>
              <w:rPr>
                <w:rFonts w:ascii="Arial" w:cs="Arial" w:eastAsia="Arial" w:hAnsi="Arial"/>
                <w:sz w:val="12"/>
                <w:szCs w:val="12"/>
                <w:color w:val="auto"/>
                <w:w w:val="97"/>
              </w:rPr>
              <w:t>Washington, D.C. 20549</w:t>
            </w:r>
          </w:p>
        </w:tc>
        <w:tc>
          <w:tcPr>
            <w:tcW w:w="2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63"/>
              <w:spacing w:after="0" w:line="169"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60" w:type="dxa"/>
            <w:vAlign w:val="bottom"/>
            <w:vMerge w:val="restart"/>
          </w:tcPr>
          <w:p>
            <w:pPr>
              <w:jc w:val="center"/>
              <w:ind w:right="46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2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5125085</wp:posOffset>
            </wp:positionH>
            <wp:positionV relativeFrom="paragraph">
              <wp:posOffset>-573405</wp:posOffset>
            </wp:positionV>
            <wp:extent cx="55245" cy="58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674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-573405</wp:posOffset>
            </wp:positionV>
            <wp:extent cx="55245" cy="586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674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-1793875</wp:posOffset>
            </wp:positionH>
            <wp:positionV relativeFrom="paragraph">
              <wp:posOffset>18415</wp:posOffset>
            </wp:positionV>
            <wp:extent cx="7004685" cy="9057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685" cy="90570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560"/>
            <w:col w:w="8280"/>
          </w:cols>
          <w:pgMar w:left="460" w:top="211" w:right="359" w:bottom="0" w:gutter="0" w:footer="0" w:header="0"/>
        </w:sectPr>
      </w:pPr>
    </w:p>
    <w:p>
      <w:pPr>
        <w:spacing w:after="0" w:line="10"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BERKSHIRE HATHAWAY INC</w:t>
        </w:r>
      </w:hyperlink>
    </w:p>
    <w:p>
      <w:pPr>
        <w:spacing w:after="0" w:line="269" w:lineRule="exact"/>
        <w:rPr>
          <w:sz w:val="24"/>
          <w:szCs w:val="24"/>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2"/>
                <w:szCs w:val="12"/>
                <w:color w:val="auto"/>
              </w:rPr>
              <w:t>(Last)</w:t>
            </w:r>
          </w:p>
        </w:tc>
        <w:tc>
          <w:tcPr>
            <w:tcW w:w="1120" w:type="dxa"/>
            <w:vAlign w:val="bottom"/>
          </w:tcPr>
          <w:p>
            <w:pPr>
              <w:ind w:left="320"/>
              <w:spacing w:after="0"/>
              <w:rPr>
                <w:sz w:val="20"/>
                <w:szCs w:val="20"/>
                <w:color w:val="auto"/>
              </w:rPr>
            </w:pPr>
            <w:r>
              <w:rPr>
                <w:rFonts w:ascii="Arial" w:cs="Arial" w:eastAsia="Arial" w:hAnsi="Arial"/>
                <w:sz w:val="12"/>
                <w:szCs w:val="12"/>
                <w:color w:val="auto"/>
              </w:rPr>
              <w:t>(First)</w:t>
            </w:r>
          </w:p>
        </w:tc>
        <w:tc>
          <w:tcPr>
            <w:tcW w:w="1640" w:type="dxa"/>
            <w:vAlign w:val="bottom"/>
          </w:tcPr>
          <w:p>
            <w:pPr>
              <w:ind w:left="440"/>
              <w:spacing w:after="0"/>
              <w:rPr>
                <w:sz w:val="20"/>
                <w:szCs w:val="20"/>
                <w:color w:val="auto"/>
              </w:rPr>
            </w:pPr>
            <w:r>
              <w:rPr>
                <w:rFonts w:ascii="Arial" w:cs="Arial" w:eastAsia="Arial" w:hAnsi="Arial"/>
                <w:sz w:val="12"/>
                <w:szCs w:val="12"/>
                <w:color w:val="auto"/>
              </w:rPr>
              <w:t>(Middle)</w:t>
            </w:r>
          </w:p>
        </w:tc>
      </w:tr>
      <w:tr>
        <w:trPr>
          <w:trHeight w:val="244"/>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rPr>
              <w:t>3555 FARNAM STREET</w:t>
            </w:r>
          </w:p>
        </w:tc>
        <w:tc>
          <w:tcPr>
            <w:tcW w:w="1640" w:type="dxa"/>
            <w:vAlign w:val="bottom"/>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r>
      <w:tr>
        <w:trPr>
          <w:trHeight w:val="238"/>
        </w:trPr>
        <w:tc>
          <w:tcPr>
            <w:tcW w:w="9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OMAHA</w:t>
            </w:r>
          </w:p>
        </w:tc>
        <w:tc>
          <w:tcPr>
            <w:tcW w:w="11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NE</w:t>
            </w:r>
          </w:p>
        </w:tc>
        <w:tc>
          <w:tcPr>
            <w:tcW w:w="164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68131</w:t>
            </w:r>
          </w:p>
        </w:tc>
      </w:tr>
      <w:tr>
        <w:trPr>
          <w:trHeight w:val="134"/>
        </w:trPr>
        <w:tc>
          <w:tcPr>
            <w:tcW w:w="20" w:type="dxa"/>
            <w:vAlign w:val="bottom"/>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r>
      <w:tr>
        <w:trPr>
          <w:trHeight w:val="274"/>
        </w:trPr>
        <w:tc>
          <w:tcPr>
            <w:tcW w:w="20" w:type="dxa"/>
            <w:vAlign w:val="bottom"/>
          </w:tcPr>
          <w:p>
            <w:pPr>
              <w:spacing w:after="0"/>
              <w:rPr>
                <w:sz w:val="23"/>
                <w:szCs w:val="23"/>
                <w:color w:val="auto"/>
              </w:rPr>
            </w:pPr>
          </w:p>
        </w:tc>
        <w:tc>
          <w:tcPr>
            <w:tcW w:w="920" w:type="dxa"/>
            <w:vAlign w:val="bottom"/>
          </w:tcPr>
          <w:p>
            <w:pPr>
              <w:ind w:left="20"/>
              <w:spacing w:after="0"/>
              <w:rPr>
                <w:sz w:val="20"/>
                <w:szCs w:val="20"/>
                <w:color w:val="auto"/>
              </w:rPr>
            </w:pPr>
            <w:r>
              <w:rPr>
                <w:rFonts w:ascii="Arial" w:cs="Arial" w:eastAsia="Arial" w:hAnsi="Arial"/>
                <w:sz w:val="12"/>
                <w:szCs w:val="12"/>
                <w:color w:val="auto"/>
              </w:rPr>
              <w:t>(City)</w:t>
            </w:r>
          </w:p>
        </w:tc>
        <w:tc>
          <w:tcPr>
            <w:tcW w:w="1120" w:type="dxa"/>
            <w:vAlign w:val="bottom"/>
          </w:tcPr>
          <w:p>
            <w:pPr>
              <w:ind w:left="32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780" w:type="dxa"/>
            <w:vAlign w:val="bottom"/>
            <w:gridSpan w:val="2"/>
          </w:tcPr>
          <w:p>
            <w:pPr>
              <w:spacing w:after="0" w:line="20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OCCIDENTAL PETROLEUM CORP /DE/ </w:t>
              </w:r>
            </w:hyperlink>
            <w:r>
              <w:rPr>
                <w:rFonts w:ascii="Times New Roman" w:cs="Times New Roman" w:eastAsia="Times New Roman" w:hAnsi="Times New Roman"/>
                <w:sz w:val="19"/>
                <w:szCs w:val="19"/>
                <w:color w:val="000000"/>
              </w:rPr>
              <w:t>[</w:t>
            </w:r>
          </w:p>
        </w:tc>
        <w:tc>
          <w:tcPr>
            <w:tcW w:w="16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68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10% Owner</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320" w:type="dxa"/>
            <w:vAlign w:val="bottom"/>
            <w:tcBorders>
              <w:top w:val="single" w:sz="8" w:color="0000EE"/>
            </w:tcBorders>
          </w:tcPr>
          <w:p>
            <w:pPr>
              <w:spacing w:after="0" w:line="194" w:lineRule="exact"/>
              <w:rPr>
                <w:sz w:val="20"/>
                <w:szCs w:val="20"/>
                <w:color w:val="auto"/>
              </w:rPr>
            </w:pPr>
            <w:r>
              <w:rPr>
                <w:rFonts w:ascii="Times New Roman" w:cs="Times New Roman" w:eastAsia="Times New Roman" w:hAnsi="Times New Roman"/>
                <w:sz w:val="15"/>
                <w:szCs w:val="15"/>
                <w:color w:val="0000FF"/>
              </w:rPr>
              <w:t xml:space="preserve">OXY </w:t>
            </w:r>
            <w:r>
              <w:rPr>
                <w:rFonts w:ascii="Times New Roman" w:cs="Times New Roman" w:eastAsia="Times New Roman" w:hAnsi="Times New Roman"/>
                <w:sz w:val="18"/>
                <w:szCs w:val="18"/>
                <w:color w:val="000000"/>
              </w:rPr>
              <w:t>]</w:t>
            </w:r>
          </w:p>
        </w:tc>
        <w:tc>
          <w:tcPr>
            <w:tcW w:w="460" w:type="dxa"/>
            <w:vAlign w:val="bottom"/>
          </w:tcPr>
          <w:p>
            <w:pPr>
              <w:spacing w:after="0"/>
              <w:rPr>
                <w:sz w:val="16"/>
                <w:szCs w:val="16"/>
                <w:color w:val="auto"/>
              </w:rPr>
            </w:pPr>
          </w:p>
        </w:tc>
        <w:tc>
          <w:tcPr>
            <w:tcW w:w="1620" w:type="dxa"/>
            <w:vAlign w:val="bottom"/>
          </w:tcPr>
          <w:p>
            <w:pPr>
              <w:ind w:left="560"/>
              <w:spacing w:after="0" w:line="136" w:lineRule="exact"/>
              <w:rPr>
                <w:sz w:val="20"/>
                <w:szCs w:val="20"/>
                <w:color w:val="auto"/>
              </w:rPr>
            </w:pPr>
            <w:r>
              <w:rPr>
                <w:rFonts w:ascii="Arial" w:cs="Arial" w:eastAsia="Arial" w:hAnsi="Arial"/>
                <w:sz w:val="12"/>
                <w:szCs w:val="12"/>
                <w:color w:val="auto"/>
              </w:rPr>
              <w:t>Director</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ind w:left="560"/>
              <w:spacing w:after="0" w:line="130" w:lineRule="exact"/>
              <w:rPr>
                <w:sz w:val="20"/>
                <w:szCs w:val="20"/>
                <w:color w:val="auto"/>
              </w:rPr>
            </w:pPr>
            <w:r>
              <w:rPr>
                <w:rFonts w:ascii="Arial" w:cs="Arial" w:eastAsia="Arial" w:hAnsi="Arial"/>
                <w:sz w:val="12"/>
                <w:szCs w:val="12"/>
                <w:color w:val="auto"/>
              </w:rPr>
              <w:t>Officer (give title</w:t>
            </w:r>
          </w:p>
        </w:tc>
        <w:tc>
          <w:tcPr>
            <w:tcW w:w="1680" w:type="dxa"/>
            <w:vAlign w:val="bottom"/>
          </w:tcPr>
          <w:p>
            <w:pPr>
              <w:ind w:left="54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4"/>
        </w:trPr>
        <w:tc>
          <w:tcPr>
            <w:tcW w:w="60" w:type="dxa"/>
            <w:vAlign w:val="bottom"/>
            <w:tcBorders>
              <w:bottom w:val="single" w:sz="8" w:color="2C2C2C"/>
            </w:tcBorders>
          </w:tcPr>
          <w:p>
            <w:pPr>
              <w:spacing w:after="0"/>
              <w:rPr>
                <w:sz w:val="12"/>
                <w:szCs w:val="12"/>
                <w:color w:val="auto"/>
              </w:rPr>
            </w:pPr>
          </w:p>
        </w:tc>
        <w:tc>
          <w:tcPr>
            <w:tcW w:w="33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620" w:type="dxa"/>
            <w:vAlign w:val="bottom"/>
          </w:tcPr>
          <w:p>
            <w:pPr>
              <w:ind w:left="560"/>
              <w:spacing w:after="0"/>
              <w:rPr>
                <w:sz w:val="20"/>
                <w:szCs w:val="20"/>
                <w:color w:val="auto"/>
              </w:rPr>
            </w:pPr>
            <w:r>
              <w:rPr>
                <w:rFonts w:ascii="Arial" w:cs="Arial" w:eastAsia="Arial" w:hAnsi="Arial"/>
                <w:sz w:val="12"/>
                <w:szCs w:val="12"/>
                <w:color w:val="auto"/>
              </w:rPr>
              <w:t>below)</w:t>
            </w:r>
          </w:p>
        </w:tc>
        <w:tc>
          <w:tcPr>
            <w:tcW w:w="1680" w:type="dxa"/>
            <w:vAlign w:val="bottom"/>
          </w:tcPr>
          <w:p>
            <w:pPr>
              <w:ind w:left="5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3. Date of Earliest Transaction (Month/Day/Year)</w:t>
            </w:r>
          </w:p>
        </w:tc>
        <w:tc>
          <w:tcPr>
            <w:tcW w:w="1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09/26/2022</w:t>
            </w: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 w:type="dxa"/>
            <w:vAlign w:val="bottom"/>
            <w:tcBorders>
              <w:bottom w:val="single" w:sz="8" w:color="2C2C2C"/>
            </w:tcBorders>
          </w:tcPr>
          <w:p>
            <w:pPr>
              <w:spacing w:after="0"/>
              <w:rPr>
                <w:sz w:val="14"/>
                <w:szCs w:val="14"/>
                <w:color w:val="auto"/>
              </w:rPr>
            </w:pPr>
          </w:p>
        </w:tc>
        <w:tc>
          <w:tcPr>
            <w:tcW w:w="33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Form filed by More than One Reporting Person</w:t>
            </w:r>
          </w:p>
        </w:tc>
        <w:tc>
          <w:tcPr>
            <w:tcW w:w="0" w:type="dxa"/>
            <w:vAlign w:val="bottom"/>
          </w:tcPr>
          <w:p>
            <w:pPr>
              <w:spacing w:after="0"/>
              <w:rPr>
                <w:sz w:val="1"/>
                <w:szCs w:val="1"/>
                <w:color w:val="auto"/>
              </w:rPr>
            </w:pPr>
          </w:p>
        </w:tc>
      </w:tr>
    </w:tbl>
    <w:p>
      <w:pPr>
        <w:spacing w:after="0" w:line="365" w:lineRule="exact"/>
        <w:rPr>
          <w:sz w:val="24"/>
          <w:szCs w:val="24"/>
          <w:color w:val="auto"/>
        </w:rPr>
      </w:pPr>
    </w:p>
    <w:p>
      <w:pPr>
        <w:sectPr>
          <w:pgSz w:w="11900" w:h="16838" w:orient="portrait"/>
          <w:cols w:equalWidth="0" w:num="2">
            <w:col w:w="3760" w:space="80"/>
            <w:col w:w="7240"/>
          </w:cols>
          <w:pgMar w:left="460" w:top="211"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40" w:type="dxa"/>
            <w:vAlign w:val="bottom"/>
          </w:tcPr>
          <w:p>
            <w:pPr>
              <w:spacing w:after="0"/>
              <w:rPr>
                <w:sz w:val="12"/>
                <w:szCs w:val="12"/>
                <w:color w:val="auto"/>
              </w:rPr>
            </w:pPr>
          </w:p>
        </w:tc>
        <w:tc>
          <w:tcPr>
            <w:tcW w:w="1440" w:type="dxa"/>
            <w:vAlign w:val="bottom"/>
            <w:gridSpan w:val="3"/>
          </w:tcPr>
          <w:p>
            <w:pPr>
              <w:ind w:left="5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w w:val="98"/>
              </w:rPr>
              <w:t>2A. Deemed</w:t>
            </w:r>
          </w:p>
        </w:tc>
        <w:tc>
          <w:tcPr>
            <w:tcW w:w="240" w:type="dxa"/>
            <w:vAlign w:val="bottom"/>
          </w:tcPr>
          <w:p>
            <w:pPr>
              <w:spacing w:after="0"/>
              <w:rPr>
                <w:sz w:val="12"/>
                <w:szCs w:val="12"/>
                <w:color w:val="auto"/>
              </w:rPr>
            </w:pPr>
          </w:p>
        </w:tc>
        <w:tc>
          <w:tcPr>
            <w:tcW w:w="4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2"/>
                <w:szCs w:val="12"/>
                <w:color w:val="auto"/>
              </w:rPr>
            </w:pPr>
          </w:p>
        </w:tc>
        <w:tc>
          <w:tcPr>
            <w:tcW w:w="2020" w:type="dxa"/>
            <w:vAlign w:val="bottom"/>
            <w:gridSpan w:val="4"/>
          </w:tcPr>
          <w:p>
            <w:pPr>
              <w:spacing w:after="0"/>
              <w:rPr>
                <w:sz w:val="20"/>
                <w:szCs w:val="20"/>
                <w:color w:val="auto"/>
              </w:rPr>
            </w:pPr>
            <w:r>
              <w:rPr>
                <w:rFonts w:ascii="Arial" w:cs="Arial" w:eastAsia="Arial" w:hAnsi="Arial"/>
                <w:sz w:val="11"/>
                <w:szCs w:val="11"/>
                <w:b w:val="1"/>
                <w:bCs w:val="1"/>
                <w:color w:val="auto"/>
                <w:w w:val="99"/>
              </w:rPr>
              <w:t>4. Securities Acquired (A) or Disposed</w:t>
            </w:r>
          </w:p>
        </w:tc>
        <w:tc>
          <w:tcPr>
            <w:tcW w:w="6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ind w:left="500"/>
              <w:spacing w:after="0" w:line="118"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40" w:type="dxa"/>
            <w:vAlign w:val="bottom"/>
            <w:gridSpan w:val="5"/>
          </w:tcPr>
          <w:p>
            <w:pPr>
              <w:ind w:left="60"/>
              <w:spacing w:after="0" w:line="118"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40"/>
              <w:spacing w:after="0" w:line="118" w:lineRule="exact"/>
              <w:rPr>
                <w:sz w:val="20"/>
                <w:szCs w:val="20"/>
                <w:color w:val="auto"/>
              </w:rPr>
            </w:pPr>
            <w:r>
              <w:rPr>
                <w:rFonts w:ascii="Arial" w:cs="Arial" w:eastAsia="Arial" w:hAnsi="Arial"/>
                <w:sz w:val="11"/>
                <w:szCs w:val="11"/>
                <w:b w:val="1"/>
                <w:bCs w:val="1"/>
                <w:color w:val="auto"/>
              </w:rPr>
              <w:t>Transaction</w:t>
            </w:r>
          </w:p>
        </w:tc>
        <w:tc>
          <w:tcPr>
            <w:tcW w:w="1240" w:type="dxa"/>
            <w:vAlign w:val="bottom"/>
            <w:gridSpan w:val="2"/>
          </w:tcPr>
          <w:p>
            <w:pPr>
              <w:spacing w:after="0" w:line="118" w:lineRule="exact"/>
              <w:rPr>
                <w:sz w:val="20"/>
                <w:szCs w:val="20"/>
                <w:color w:val="auto"/>
              </w:rPr>
            </w:pPr>
            <w:r>
              <w:rPr>
                <w:rFonts w:ascii="Arial" w:cs="Arial" w:eastAsia="Arial" w:hAnsi="Arial"/>
                <w:sz w:val="11"/>
                <w:szCs w:val="11"/>
                <w:b w:val="1"/>
                <w:bCs w:val="1"/>
                <w:color w:val="auto"/>
              </w:rPr>
              <w:t>Of (D) (Instr. 3, 4 and 5)</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ind w:left="60"/>
              <w:spacing w:after="0" w:line="118" w:lineRule="exact"/>
              <w:rPr>
                <w:sz w:val="20"/>
                <w:szCs w:val="20"/>
                <w:color w:val="auto"/>
              </w:rPr>
            </w:pPr>
            <w:r>
              <w:rPr>
                <w:rFonts w:ascii="Arial" w:cs="Arial" w:eastAsia="Arial" w:hAnsi="Arial"/>
                <w:sz w:val="11"/>
                <w:szCs w:val="11"/>
                <w:b w:val="1"/>
                <w:bCs w:val="1"/>
                <w:color w:val="auto"/>
                <w:w w:val="94"/>
              </w:rPr>
              <w:t>Securities</w:t>
            </w:r>
          </w:p>
        </w:tc>
        <w:tc>
          <w:tcPr>
            <w:tcW w:w="600" w:type="dxa"/>
            <w:vAlign w:val="bottom"/>
          </w:tcPr>
          <w:p>
            <w:pPr>
              <w:spacing w:after="0"/>
              <w:rPr>
                <w:sz w:val="10"/>
                <w:szCs w:val="10"/>
                <w:color w:val="auto"/>
              </w:rPr>
            </w:pPr>
          </w:p>
        </w:tc>
        <w:tc>
          <w:tcPr>
            <w:tcW w:w="900" w:type="dxa"/>
            <w:vAlign w:val="bottom"/>
            <w:gridSpan w:val="2"/>
          </w:tcPr>
          <w:p>
            <w:pPr>
              <w:spacing w:after="0" w:line="118" w:lineRule="exact"/>
              <w:rPr>
                <w:sz w:val="20"/>
                <w:szCs w:val="20"/>
                <w:color w:val="auto"/>
              </w:rPr>
            </w:pPr>
            <w:r>
              <w:rPr>
                <w:rFonts w:ascii="Arial" w:cs="Arial" w:eastAsia="Arial" w:hAnsi="Arial"/>
                <w:sz w:val="11"/>
                <w:szCs w:val="11"/>
                <w:b w:val="1"/>
                <w:bCs w:val="1"/>
                <w:color w:val="auto"/>
              </w:rPr>
              <w:t>Form: Direct</w:t>
            </w:r>
          </w:p>
        </w:tc>
        <w:tc>
          <w:tcPr>
            <w:tcW w:w="980" w:type="dxa"/>
            <w:vAlign w:val="bottom"/>
          </w:tcPr>
          <w:p>
            <w:pPr>
              <w:spacing w:after="0" w:line="118"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3"/>
          </w:tcPr>
          <w:p>
            <w:pPr>
              <w:jc w:val="center"/>
              <w:ind w:left="381"/>
              <w:spacing w:after="0" w:line="118" w:lineRule="exact"/>
              <w:rPr>
                <w:sz w:val="20"/>
                <w:szCs w:val="20"/>
                <w:color w:val="auto"/>
              </w:rPr>
            </w:pPr>
            <w:r>
              <w:rPr>
                <w:rFonts w:ascii="Arial" w:cs="Arial" w:eastAsia="Arial" w:hAnsi="Arial"/>
                <w:sz w:val="11"/>
                <w:szCs w:val="11"/>
                <w:b w:val="1"/>
                <w:bCs w:val="1"/>
                <w:color w:val="auto"/>
                <w:w w:val="97"/>
              </w:rPr>
              <w:t>(Month/Day/Year)</w:t>
            </w:r>
          </w:p>
        </w:tc>
        <w:tc>
          <w:tcPr>
            <w:tcW w:w="700" w:type="dxa"/>
            <w:vAlign w:val="bottom"/>
            <w:gridSpan w:val="4"/>
          </w:tcPr>
          <w:p>
            <w:pPr>
              <w:ind w:left="60"/>
              <w:spacing w:after="0" w:line="118"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ind w:left="40"/>
              <w:spacing w:after="0" w:line="118"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gridSpan w:val="2"/>
          </w:tcPr>
          <w:p>
            <w:pPr>
              <w:spacing w:after="0" w:line="118" w:lineRule="exact"/>
              <w:rPr>
                <w:sz w:val="20"/>
                <w:szCs w:val="20"/>
                <w:color w:val="auto"/>
              </w:rPr>
            </w:pPr>
            <w:r>
              <w:rPr>
                <w:rFonts w:ascii="Arial" w:cs="Arial" w:eastAsia="Arial" w:hAnsi="Arial"/>
                <w:sz w:val="11"/>
                <w:szCs w:val="11"/>
                <w:b w:val="1"/>
                <w:bCs w:val="1"/>
                <w:color w:val="auto"/>
              </w:rPr>
              <w:t>(D) or Indirect</w:t>
            </w:r>
          </w:p>
        </w:tc>
        <w:tc>
          <w:tcPr>
            <w:tcW w:w="980" w:type="dxa"/>
            <w:vAlign w:val="bottom"/>
          </w:tcPr>
          <w:p>
            <w:pPr>
              <w:spacing w:after="0" w:line="118"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gridSpan w:val="5"/>
          </w:tcPr>
          <w:p>
            <w:pPr>
              <w:ind w:left="60"/>
              <w:spacing w:after="0" w:line="118" w:lineRule="exact"/>
              <w:rPr>
                <w:sz w:val="20"/>
                <w:szCs w:val="20"/>
                <w:color w:val="auto"/>
              </w:rPr>
            </w:pPr>
            <w:r>
              <w:rPr>
                <w:rFonts w:ascii="Arial" w:cs="Arial" w:eastAsia="Arial" w:hAnsi="Arial"/>
                <w:sz w:val="11"/>
                <w:szCs w:val="11"/>
                <w:b w:val="1"/>
                <w:bCs w:val="1"/>
                <w:color w:val="auto"/>
                <w:w w:val="95"/>
              </w:rPr>
              <w:t>(Month/Day/Year)</w:t>
            </w:r>
          </w:p>
        </w:tc>
        <w:tc>
          <w:tcPr>
            <w:tcW w:w="440" w:type="dxa"/>
            <w:vAlign w:val="bottom"/>
            <w:gridSpan w:val="2"/>
          </w:tcPr>
          <w:p>
            <w:pPr>
              <w:ind w:left="100"/>
              <w:spacing w:after="0" w:line="118"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Following Reported</w:t>
            </w:r>
          </w:p>
        </w:tc>
        <w:tc>
          <w:tcPr>
            <w:tcW w:w="900" w:type="dxa"/>
            <w:vAlign w:val="bottom"/>
            <w:gridSpan w:val="2"/>
          </w:tcPr>
          <w:p>
            <w:pPr>
              <w:spacing w:after="0" w:line="118" w:lineRule="exact"/>
              <w:rPr>
                <w:sz w:val="20"/>
                <w:szCs w:val="20"/>
                <w:color w:val="auto"/>
              </w:rPr>
            </w:pPr>
            <w:r>
              <w:rPr>
                <w:rFonts w:ascii="Arial" w:cs="Arial" w:eastAsia="Arial" w:hAnsi="Arial"/>
                <w:sz w:val="11"/>
                <w:szCs w:val="11"/>
                <w:b w:val="1"/>
                <w:bCs w:val="1"/>
                <w:color w:val="auto"/>
              </w:rPr>
              <w:t>(I) (Instr. 4)</w:t>
            </w:r>
          </w:p>
        </w:tc>
        <w:tc>
          <w:tcPr>
            <w:tcW w:w="980" w:type="dxa"/>
            <w:vAlign w:val="bottom"/>
          </w:tcPr>
          <w:p>
            <w:pPr>
              <w:spacing w:after="0" w:line="118" w:lineRule="exact"/>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line="118"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8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ind w:left="40"/>
              <w:spacing w:after="0" w:line="118"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632"/>
              <w:spacing w:after="0"/>
              <w:rPr>
                <w:sz w:val="20"/>
                <w:szCs w:val="20"/>
                <w:color w:val="auto"/>
              </w:rPr>
            </w:pPr>
            <w:r>
              <w:rPr>
                <w:rFonts w:ascii="Times New Roman" w:cs="Times New Roman" w:eastAsia="Times New Roman" w:hAnsi="Times New Roman"/>
                <w:sz w:val="15"/>
                <w:szCs w:val="15"/>
                <w:color w:val="0000FF"/>
              </w:rPr>
              <w:t>09/26/2022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420" w:type="dxa"/>
            <w:vAlign w:val="bottom"/>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1,542,076</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color w:val="auto"/>
                <w:w w:val="94"/>
              </w:rPr>
              <w:t>$</w:t>
            </w:r>
            <w:r>
              <w:rPr>
                <w:rFonts w:ascii="Times New Roman" w:cs="Times New Roman" w:eastAsia="Times New Roman" w:hAnsi="Times New Roman"/>
                <w:sz w:val="15"/>
                <w:szCs w:val="15"/>
                <w:color w:val="0000FF"/>
                <w:w w:val="94"/>
              </w:rPr>
              <w:t>57.9116</w:t>
            </w:r>
            <w:r>
              <w:rPr>
                <w:rFonts w:ascii="Times New Roman" w:cs="Times New Roman" w:eastAsia="Times New Roman" w:hAnsi="Times New Roman"/>
                <w:sz w:val="19"/>
                <w:szCs w:val="19"/>
                <w:color w:val="008000"/>
                <w:w w:val="94"/>
                <w:vertAlign w:val="superscript"/>
              </w:rPr>
              <w:t>(1)</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189,908,536</w:t>
            </w:r>
          </w:p>
        </w:tc>
        <w:tc>
          <w:tcPr>
            <w:tcW w:w="300" w:type="dxa"/>
            <w:vAlign w:val="bottom"/>
          </w:tcPr>
          <w:p>
            <w:pPr>
              <w:spacing w:after="0"/>
              <w:rPr>
                <w:sz w:val="19"/>
                <w:szCs w:val="19"/>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4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632"/>
              <w:spacing w:after="0"/>
              <w:rPr>
                <w:sz w:val="20"/>
                <w:szCs w:val="20"/>
                <w:color w:val="auto"/>
              </w:rPr>
            </w:pPr>
            <w:r>
              <w:rPr>
                <w:rFonts w:ascii="Times New Roman" w:cs="Times New Roman" w:eastAsia="Times New Roman" w:hAnsi="Times New Roman"/>
                <w:sz w:val="15"/>
                <w:szCs w:val="15"/>
                <w:color w:val="0000FF"/>
              </w:rPr>
              <w:t>09/27/2022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420" w:type="dxa"/>
            <w:vAlign w:val="bottom"/>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2,705,798</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color w:val="auto"/>
                <w:w w:val="94"/>
              </w:rPr>
              <w:t>$</w:t>
            </w:r>
            <w:r>
              <w:rPr>
                <w:rFonts w:ascii="Times New Roman" w:cs="Times New Roman" w:eastAsia="Times New Roman" w:hAnsi="Times New Roman"/>
                <w:sz w:val="15"/>
                <w:szCs w:val="15"/>
                <w:color w:val="0000FF"/>
                <w:w w:val="94"/>
              </w:rPr>
              <w:t>58.2857</w:t>
            </w:r>
            <w:r>
              <w:rPr>
                <w:rFonts w:ascii="Times New Roman" w:cs="Times New Roman" w:eastAsia="Times New Roman" w:hAnsi="Times New Roman"/>
                <w:sz w:val="19"/>
                <w:szCs w:val="19"/>
                <w:color w:val="008000"/>
                <w:w w:val="94"/>
                <w:vertAlign w:val="superscript"/>
              </w:rPr>
              <w:t>(5)</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192,614,334</w:t>
            </w:r>
          </w:p>
        </w:tc>
        <w:tc>
          <w:tcPr>
            <w:tcW w:w="300" w:type="dxa"/>
            <w:vAlign w:val="bottom"/>
          </w:tcPr>
          <w:p>
            <w:pPr>
              <w:spacing w:after="0"/>
              <w:rPr>
                <w:sz w:val="19"/>
                <w:szCs w:val="19"/>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4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632"/>
              <w:spacing w:after="0"/>
              <w:rPr>
                <w:sz w:val="20"/>
                <w:szCs w:val="20"/>
                <w:color w:val="auto"/>
              </w:rPr>
            </w:pPr>
            <w:r>
              <w:rPr>
                <w:rFonts w:ascii="Times New Roman" w:cs="Times New Roman" w:eastAsia="Times New Roman" w:hAnsi="Times New Roman"/>
                <w:sz w:val="15"/>
                <w:szCs w:val="15"/>
                <w:color w:val="0000FF"/>
              </w:rPr>
              <w:t>09/28/2022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420" w:type="dxa"/>
            <w:vAlign w:val="bottom"/>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496,285</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color w:val="auto"/>
                <w:w w:val="94"/>
              </w:rPr>
              <w:t>$</w:t>
            </w:r>
            <w:r>
              <w:rPr>
                <w:rFonts w:ascii="Times New Roman" w:cs="Times New Roman" w:eastAsia="Times New Roman" w:hAnsi="Times New Roman"/>
                <w:sz w:val="15"/>
                <w:szCs w:val="15"/>
                <w:color w:val="0000FF"/>
                <w:w w:val="94"/>
              </w:rPr>
              <w:t>59.1951</w:t>
            </w:r>
            <w:r>
              <w:rPr>
                <w:rFonts w:ascii="Times New Roman" w:cs="Times New Roman" w:eastAsia="Times New Roman" w:hAnsi="Times New Roman"/>
                <w:sz w:val="19"/>
                <w:szCs w:val="19"/>
                <w:color w:val="008000"/>
                <w:w w:val="94"/>
                <w:vertAlign w:val="superscript"/>
              </w:rPr>
              <w:t>(6)</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193,110,619</w:t>
            </w:r>
          </w:p>
        </w:tc>
        <w:tc>
          <w:tcPr>
            <w:tcW w:w="300" w:type="dxa"/>
            <w:vAlign w:val="bottom"/>
          </w:tcPr>
          <w:p>
            <w:pPr>
              <w:spacing w:after="0"/>
              <w:rPr>
                <w:sz w:val="19"/>
                <w:szCs w:val="19"/>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4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632"/>
              <w:spacing w:after="0"/>
              <w:rPr>
                <w:sz w:val="20"/>
                <w:szCs w:val="20"/>
                <w:color w:val="auto"/>
              </w:rPr>
            </w:pPr>
            <w:r>
              <w:rPr>
                <w:rFonts w:ascii="Times New Roman" w:cs="Times New Roman" w:eastAsia="Times New Roman" w:hAnsi="Times New Roman"/>
                <w:sz w:val="15"/>
                <w:szCs w:val="15"/>
                <w:color w:val="0000FF"/>
              </w:rPr>
              <w:t>09/28/2022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420" w:type="dxa"/>
            <w:vAlign w:val="bottom"/>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49,114</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color w:val="auto"/>
                <w:w w:val="94"/>
              </w:rPr>
              <w:t>$</w:t>
            </w:r>
            <w:r>
              <w:rPr>
                <w:rFonts w:ascii="Times New Roman" w:cs="Times New Roman" w:eastAsia="Times New Roman" w:hAnsi="Times New Roman"/>
                <w:sz w:val="15"/>
                <w:szCs w:val="15"/>
                <w:color w:val="0000FF"/>
                <w:w w:val="94"/>
              </w:rPr>
              <w:t>59.9743</w:t>
            </w:r>
            <w:r>
              <w:rPr>
                <w:rFonts w:ascii="Times New Roman" w:cs="Times New Roman" w:eastAsia="Times New Roman" w:hAnsi="Times New Roman"/>
                <w:sz w:val="19"/>
                <w:szCs w:val="19"/>
                <w:color w:val="008000"/>
                <w:w w:val="94"/>
                <w:vertAlign w:val="superscript"/>
              </w:rPr>
              <w:t>(7)</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193,159,733</w:t>
            </w:r>
          </w:p>
        </w:tc>
        <w:tc>
          <w:tcPr>
            <w:tcW w:w="300" w:type="dxa"/>
            <w:vAlign w:val="bottom"/>
          </w:tcPr>
          <w:p>
            <w:pPr>
              <w:spacing w:after="0"/>
              <w:rPr>
                <w:sz w:val="19"/>
                <w:szCs w:val="19"/>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4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4"/>
            <w:vMerge w:val="restart"/>
          </w:tcPr>
          <w:p>
            <w:pPr>
              <w:jc w:val="center"/>
              <w:ind w:left="632"/>
              <w:spacing w:after="0"/>
              <w:rPr>
                <w:sz w:val="20"/>
                <w:szCs w:val="20"/>
                <w:color w:val="auto"/>
              </w:rPr>
            </w:pPr>
            <w:r>
              <w:rPr>
                <w:rFonts w:ascii="Times New Roman" w:cs="Times New Roman" w:eastAsia="Times New Roman" w:hAnsi="Times New Roman"/>
                <w:sz w:val="15"/>
                <w:szCs w:val="15"/>
                <w:color w:val="0000FF"/>
              </w:rPr>
              <w:t>09/28/2022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420" w:type="dxa"/>
            <w:vAlign w:val="bottom"/>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1,191,917</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A</w:t>
            </w: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color w:val="auto"/>
                <w:w w:val="94"/>
              </w:rPr>
              <w:t>$</w:t>
            </w:r>
            <w:r>
              <w:rPr>
                <w:rFonts w:ascii="Times New Roman" w:cs="Times New Roman" w:eastAsia="Times New Roman" w:hAnsi="Times New Roman"/>
                <w:sz w:val="15"/>
                <w:szCs w:val="15"/>
                <w:color w:val="0000FF"/>
                <w:w w:val="94"/>
              </w:rPr>
              <w:t>61.3765</w:t>
            </w:r>
            <w:r>
              <w:rPr>
                <w:rFonts w:ascii="Times New Roman" w:cs="Times New Roman" w:eastAsia="Times New Roman" w:hAnsi="Times New Roman"/>
                <w:sz w:val="19"/>
                <w:szCs w:val="19"/>
                <w:color w:val="008000"/>
                <w:w w:val="94"/>
                <w:vertAlign w:val="superscript"/>
              </w:rPr>
              <w:t>(8)</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194,351,650</w:t>
            </w:r>
          </w:p>
        </w:tc>
        <w:tc>
          <w:tcPr>
            <w:tcW w:w="300" w:type="dxa"/>
            <w:vAlign w:val="bottom"/>
          </w:tcPr>
          <w:p>
            <w:pPr>
              <w:spacing w:after="0"/>
              <w:rPr>
                <w:sz w:val="19"/>
                <w:szCs w:val="19"/>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34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980" w:type="dxa"/>
            <w:vAlign w:val="bottom"/>
            <w:vMerge w:val="restart"/>
          </w:tcPr>
          <w:p>
            <w:pPr>
              <w:spacing w:after="0" w:line="247" w:lineRule="exact"/>
              <w:rPr>
                <w:sz w:val="20"/>
                <w:szCs w:val="20"/>
                <w:color w:val="auto"/>
              </w:rPr>
            </w:pPr>
            <w:r>
              <w:rPr>
                <w:rFonts w:ascii="Times New Roman" w:cs="Times New Roman" w:eastAsia="Times New Roman" w:hAnsi="Times New Roman"/>
                <w:sz w:val="28"/>
                <w:szCs w:val="28"/>
                <w:color w:val="0000FF"/>
                <w:w w:val="95"/>
                <w:vertAlign w:val="subscript"/>
              </w:rPr>
              <w:t>footnotes</w:t>
            </w:r>
            <w:r>
              <w:rPr>
                <w:rFonts w:ascii="Times New Roman" w:cs="Times New Roman" w:eastAsia="Times New Roman" w:hAnsi="Times New Roman"/>
                <w:sz w:val="9"/>
                <w:szCs w:val="9"/>
                <w:color w:val="008000"/>
                <w:w w:val="95"/>
              </w:rPr>
              <w:t>(2)(3)(4)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360" w:type="dxa"/>
            <w:vAlign w:val="bottom"/>
            <w:gridSpan w:val="6"/>
            <w:vMerge w:val="restart"/>
          </w:tcPr>
          <w:p>
            <w:pPr>
              <w:ind w:left="60"/>
              <w:spacing w:after="0"/>
              <w:rPr>
                <w:sz w:val="20"/>
                <w:szCs w:val="20"/>
                <w:color w:val="auto"/>
              </w:rPr>
            </w:pPr>
            <w:r>
              <w:rPr>
                <w:rFonts w:ascii="Times New Roman" w:cs="Times New Roman" w:eastAsia="Times New Roman" w:hAnsi="Times New Roman"/>
                <w:sz w:val="15"/>
                <w:szCs w:val="15"/>
                <w:color w:val="0000FF"/>
              </w:rPr>
              <w:t>Series A Preferred Stock</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8"/>
              </w:rPr>
              <w:t>100,000</w:t>
            </w:r>
          </w:p>
        </w:tc>
        <w:tc>
          <w:tcPr>
            <w:tcW w:w="300" w:type="dxa"/>
            <w:vAlign w:val="bottom"/>
          </w:tcPr>
          <w:p>
            <w:pPr>
              <w:spacing w:after="0"/>
              <w:rPr>
                <w:sz w:val="19"/>
                <w:szCs w:val="19"/>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spacing w:after="0"/>
              <w:rPr>
                <w:sz w:val="20"/>
                <w:szCs w:val="20"/>
                <w:color w:val="auto"/>
              </w:rPr>
            </w:pPr>
            <w:r>
              <w:rPr>
                <w:rFonts w:ascii="Times New Roman" w:cs="Times New Roman" w:eastAsia="Times New Roman" w:hAnsi="Times New Roman"/>
                <w:sz w:val="15"/>
                <w:szCs w:val="15"/>
                <w:color w:val="0000FF"/>
              </w:rPr>
              <w:t>See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23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5"/>
              </w:rPr>
              <w:t>footnotes</w:t>
            </w:r>
            <w:r>
              <w:rPr>
                <w:rFonts w:ascii="Times New Roman" w:cs="Times New Roman" w:eastAsia="Times New Roman" w:hAnsi="Times New Roman"/>
                <w:sz w:val="19"/>
                <w:szCs w:val="19"/>
                <w:color w:val="008000"/>
                <w:w w:val="95"/>
                <w:vertAlign w:val="superscript"/>
              </w:rPr>
              <w:t>(3)(4)(9)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vMerge w:val="continue"/>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900" w:type="dxa"/>
            <w:vAlign w:val="bottom"/>
            <w:gridSpan w:val="17"/>
          </w:tcPr>
          <w:p>
            <w:pPr>
              <w:ind w:left="18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gridSpan w:val="13"/>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080" w:type="dxa"/>
            <w:vAlign w:val="bottom"/>
            <w:tcBorders>
              <w:bottom w:val="single" w:sz="8" w:color="2C2C2C"/>
            </w:tcBorders>
            <w:gridSpan w:val="7"/>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700" w:type="dxa"/>
            <w:vAlign w:val="bottom"/>
            <w:gridSpan w:val="4"/>
          </w:tcPr>
          <w:p>
            <w:pPr>
              <w:ind w:left="100"/>
              <w:spacing w:after="0"/>
              <w:rPr>
                <w:sz w:val="20"/>
                <w:szCs w:val="20"/>
                <w:color w:val="auto"/>
              </w:rPr>
            </w:pPr>
            <w:r>
              <w:rPr>
                <w:rFonts w:ascii="Arial" w:cs="Arial" w:eastAsia="Arial" w:hAnsi="Arial"/>
                <w:sz w:val="11"/>
                <w:szCs w:val="11"/>
                <w:b w:val="1"/>
                <w:bCs w:val="1"/>
                <w:color w:val="auto"/>
              </w:rPr>
              <w:t>5. Number</w:t>
            </w:r>
          </w:p>
        </w:tc>
        <w:tc>
          <w:tcPr>
            <w:tcW w:w="3120" w:type="dxa"/>
            <w:vAlign w:val="bottom"/>
            <w:gridSpan w:val="8"/>
          </w:tcPr>
          <w:p>
            <w:pPr>
              <w:ind w:left="40"/>
              <w:spacing w:after="0"/>
              <w:rPr>
                <w:sz w:val="20"/>
                <w:szCs w:val="20"/>
                <w:color w:val="auto"/>
              </w:rPr>
            </w:pPr>
            <w:r>
              <w:rPr>
                <w:rFonts w:ascii="Arial" w:cs="Arial" w:eastAsia="Arial" w:hAnsi="Arial"/>
                <w:sz w:val="11"/>
                <w:szCs w:val="11"/>
                <w:b w:val="1"/>
                <w:bCs w:val="1"/>
                <w:color w:val="auto"/>
              </w:rPr>
              <w:t>6. Date Exercisable and   7. Title and Amount of</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980" w:type="dxa"/>
            <w:vAlign w:val="bottom"/>
          </w:tcPr>
          <w:p>
            <w:pPr>
              <w:ind w:left="14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70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line="118"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3"/>
          </w:tcPr>
          <w:p>
            <w:pPr>
              <w:ind w:left="40"/>
              <w:spacing w:after="0" w:line="118"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40"/>
              <w:spacing w:after="0" w:line="118"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40"/>
              <w:spacing w:after="0" w:line="118" w:lineRule="exact"/>
              <w:rPr>
                <w:sz w:val="20"/>
                <w:szCs w:val="20"/>
                <w:color w:val="auto"/>
              </w:rPr>
            </w:pPr>
            <w:r>
              <w:rPr>
                <w:rFonts w:ascii="Arial" w:cs="Arial" w:eastAsia="Arial" w:hAnsi="Arial"/>
                <w:sz w:val="11"/>
                <w:szCs w:val="11"/>
                <w:b w:val="1"/>
                <w:bCs w:val="1"/>
                <w:color w:val="auto"/>
              </w:rPr>
              <w:t>Expiration Date</w:t>
            </w:r>
          </w:p>
        </w:tc>
        <w:tc>
          <w:tcPr>
            <w:tcW w:w="2020" w:type="dxa"/>
            <w:vAlign w:val="bottom"/>
            <w:gridSpan w:val="4"/>
          </w:tcPr>
          <w:p>
            <w:pPr>
              <w:ind w:left="300"/>
              <w:spacing w:after="0" w:line="118"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line="118"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580" w:type="dxa"/>
            <w:vAlign w:val="bottom"/>
            <w:gridSpan w:val="2"/>
          </w:tcPr>
          <w:p>
            <w:pPr>
              <w:ind w:left="80"/>
              <w:spacing w:after="0" w:line="118" w:lineRule="exact"/>
              <w:rPr>
                <w:sz w:val="20"/>
                <w:szCs w:val="20"/>
                <w:color w:val="auto"/>
              </w:rPr>
            </w:pPr>
            <w:r>
              <w:rPr>
                <w:rFonts w:ascii="Arial" w:cs="Arial" w:eastAsia="Arial" w:hAnsi="Arial"/>
                <w:sz w:val="11"/>
                <w:szCs w:val="11"/>
                <w:b w:val="1"/>
                <w:bCs w:val="1"/>
                <w:color w:val="auto"/>
              </w:rPr>
              <w:t>Ownership  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line="118"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3"/>
          </w:tcPr>
          <w:p>
            <w:pPr>
              <w:ind w:left="40"/>
              <w:spacing w:after="0" w:line="118" w:lineRule="exact"/>
              <w:rPr>
                <w:sz w:val="20"/>
                <w:szCs w:val="20"/>
                <w:color w:val="auto"/>
              </w:rPr>
            </w:pPr>
            <w:r>
              <w:rPr>
                <w:rFonts w:ascii="Arial" w:cs="Arial" w:eastAsia="Arial" w:hAnsi="Arial"/>
                <w:sz w:val="11"/>
                <w:szCs w:val="11"/>
                <w:b w:val="1"/>
                <w:bCs w:val="1"/>
                <w:color w:val="auto"/>
              </w:rPr>
              <w:t>if any</w:t>
            </w:r>
          </w:p>
        </w:tc>
        <w:tc>
          <w:tcPr>
            <w:tcW w:w="680" w:type="dxa"/>
            <w:vAlign w:val="bottom"/>
          </w:tcPr>
          <w:p>
            <w:pPr>
              <w:ind w:left="40"/>
              <w:spacing w:after="0" w:line="118" w:lineRule="exact"/>
              <w:rPr>
                <w:sz w:val="20"/>
                <w:szCs w:val="20"/>
                <w:color w:val="auto"/>
              </w:rPr>
            </w:pPr>
            <w:r>
              <w:rPr>
                <w:rFonts w:ascii="Arial" w:cs="Arial" w:eastAsia="Arial" w:hAnsi="Arial"/>
                <w:sz w:val="11"/>
                <w:szCs w:val="11"/>
                <w:b w:val="1"/>
                <w:bCs w:val="1"/>
                <w:color w:val="auto"/>
              </w:rPr>
              <w:t>Code (Instr.</w:t>
            </w:r>
          </w:p>
        </w:tc>
        <w:tc>
          <w:tcPr>
            <w:tcW w:w="70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40"/>
              <w:spacing w:after="0" w:line="118" w:lineRule="exact"/>
              <w:rPr>
                <w:sz w:val="20"/>
                <w:szCs w:val="20"/>
                <w:color w:val="auto"/>
              </w:rPr>
            </w:pPr>
            <w:r>
              <w:rPr>
                <w:rFonts w:ascii="Arial" w:cs="Arial" w:eastAsia="Arial" w:hAnsi="Arial"/>
                <w:sz w:val="11"/>
                <w:szCs w:val="11"/>
                <w:b w:val="1"/>
                <w:bCs w:val="1"/>
                <w:color w:val="auto"/>
              </w:rPr>
              <w:t>(Month/Day/Year)</w:t>
            </w:r>
          </w:p>
        </w:tc>
        <w:tc>
          <w:tcPr>
            <w:tcW w:w="2020" w:type="dxa"/>
            <w:vAlign w:val="bottom"/>
            <w:gridSpan w:val="4"/>
          </w:tcPr>
          <w:p>
            <w:pPr>
              <w:ind w:left="300"/>
              <w:spacing w:after="0" w:line="118" w:lineRule="exact"/>
              <w:rPr>
                <w:sz w:val="20"/>
                <w:szCs w:val="20"/>
                <w:color w:val="auto"/>
              </w:rPr>
            </w:pPr>
            <w:r>
              <w:rPr>
                <w:rFonts w:ascii="Arial" w:cs="Arial" w:eastAsia="Arial" w:hAnsi="Arial"/>
                <w:sz w:val="11"/>
                <w:szCs w:val="11"/>
                <w:b w:val="1"/>
                <w:bCs w:val="1"/>
                <w:color w:val="auto"/>
              </w:rPr>
              <w:t>Derivative Security (Instr. 3 and</w:t>
            </w:r>
          </w:p>
        </w:tc>
        <w:tc>
          <w:tcPr>
            <w:tcW w:w="6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line="118"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600" w:type="dxa"/>
            <w:vAlign w:val="bottom"/>
          </w:tcPr>
          <w:p>
            <w:pPr>
              <w:ind w:left="80"/>
              <w:spacing w:after="0" w:line="118" w:lineRule="exact"/>
              <w:rPr>
                <w:sz w:val="20"/>
                <w:szCs w:val="20"/>
                <w:color w:val="auto"/>
              </w:rPr>
            </w:pPr>
            <w:r>
              <w:rPr>
                <w:rFonts w:ascii="Arial" w:cs="Arial" w:eastAsia="Arial" w:hAnsi="Arial"/>
                <w:sz w:val="11"/>
                <w:szCs w:val="11"/>
                <w:b w:val="1"/>
                <w:bCs w:val="1"/>
                <w:color w:val="auto"/>
              </w:rPr>
              <w:t>Form:</w:t>
            </w:r>
          </w:p>
        </w:tc>
        <w:tc>
          <w:tcPr>
            <w:tcW w:w="980" w:type="dxa"/>
            <w:vAlign w:val="bottom"/>
          </w:tcPr>
          <w:p>
            <w:pPr>
              <w:ind w:left="140"/>
              <w:spacing w:after="0" w:line="118"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spacing w:after="0" w:line="118" w:lineRule="exact"/>
              <w:rPr>
                <w:sz w:val="20"/>
                <w:szCs w:val="20"/>
                <w:color w:val="auto"/>
              </w:rPr>
            </w:pPr>
            <w:r>
              <w:rPr>
                <w:rFonts w:ascii="Arial" w:cs="Arial" w:eastAsia="Arial" w:hAnsi="Arial"/>
                <w:sz w:val="11"/>
                <w:szCs w:val="11"/>
                <w:b w:val="1"/>
                <w:bCs w:val="1"/>
                <w:color w:val="auto"/>
              </w:rPr>
              <w:t>Price of</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3"/>
          </w:tcPr>
          <w:p>
            <w:pPr>
              <w:ind w:left="40"/>
              <w:spacing w:after="0" w:line="118"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line="118" w:lineRule="exact"/>
              <w:rPr>
                <w:sz w:val="20"/>
                <w:szCs w:val="20"/>
                <w:color w:val="auto"/>
              </w:rPr>
            </w:pPr>
            <w:r>
              <w:rPr>
                <w:rFonts w:ascii="Arial" w:cs="Arial" w:eastAsia="Arial" w:hAnsi="Arial"/>
                <w:sz w:val="11"/>
                <w:szCs w:val="11"/>
                <w:b w:val="1"/>
                <w:bCs w:val="1"/>
                <w:color w:val="auto"/>
              </w:rPr>
              <w:t>8)</w:t>
            </w:r>
          </w:p>
        </w:tc>
        <w:tc>
          <w:tcPr>
            <w:tcW w:w="70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ind w:left="300"/>
              <w:spacing w:after="0" w:line="118" w:lineRule="exact"/>
              <w:rPr>
                <w:sz w:val="20"/>
                <w:szCs w:val="20"/>
                <w:color w:val="auto"/>
              </w:rPr>
            </w:pPr>
            <w:r>
              <w:rPr>
                <w:rFonts w:ascii="Arial" w:cs="Arial" w:eastAsia="Arial" w:hAnsi="Arial"/>
                <w:sz w:val="11"/>
                <w:szCs w:val="11"/>
                <w:b w:val="1"/>
                <w:bCs w:val="1"/>
                <w:color w:val="auto"/>
              </w:rPr>
              <w:t>4)</w:t>
            </w: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(Instr. 5)</w:t>
            </w:r>
          </w:p>
        </w:tc>
        <w:tc>
          <w:tcPr>
            <w:tcW w:w="600" w:type="dxa"/>
            <w:vAlign w:val="bottom"/>
          </w:tcPr>
          <w:p>
            <w:pPr>
              <w:spacing w:after="0" w:line="118" w:lineRule="exact"/>
              <w:rPr>
                <w:sz w:val="20"/>
                <w:szCs w:val="20"/>
                <w:color w:val="auto"/>
              </w:rPr>
            </w:pPr>
            <w:r>
              <w:rPr>
                <w:rFonts w:ascii="Arial" w:cs="Arial" w:eastAsia="Arial" w:hAnsi="Arial"/>
                <w:sz w:val="11"/>
                <w:szCs w:val="11"/>
                <w:b w:val="1"/>
                <w:bCs w:val="1"/>
                <w:color w:val="auto"/>
                <w:w w:val="94"/>
              </w:rPr>
              <w:t>Beneficially</w:t>
            </w:r>
          </w:p>
        </w:tc>
        <w:tc>
          <w:tcPr>
            <w:tcW w:w="300" w:type="dxa"/>
            <w:vAlign w:val="bottom"/>
          </w:tcPr>
          <w:p>
            <w:pPr>
              <w:spacing w:after="0"/>
              <w:rPr>
                <w:sz w:val="10"/>
                <w:szCs w:val="10"/>
                <w:color w:val="auto"/>
              </w:rPr>
            </w:pPr>
          </w:p>
        </w:tc>
        <w:tc>
          <w:tcPr>
            <w:tcW w:w="600" w:type="dxa"/>
            <w:vAlign w:val="bottom"/>
          </w:tcPr>
          <w:p>
            <w:pPr>
              <w:ind w:left="80"/>
              <w:spacing w:after="0" w:line="118" w:lineRule="exact"/>
              <w:rPr>
                <w:sz w:val="20"/>
                <w:szCs w:val="20"/>
                <w:color w:val="auto"/>
              </w:rPr>
            </w:pPr>
            <w:r>
              <w:rPr>
                <w:rFonts w:ascii="Arial" w:cs="Arial" w:eastAsia="Arial" w:hAnsi="Arial"/>
                <w:sz w:val="11"/>
                <w:szCs w:val="11"/>
                <w:b w:val="1"/>
                <w:bCs w:val="1"/>
                <w:color w:val="auto"/>
              </w:rPr>
              <w:t>Direct (D)</w:t>
            </w:r>
          </w:p>
        </w:tc>
        <w:tc>
          <w:tcPr>
            <w:tcW w:w="980" w:type="dxa"/>
            <w:vAlign w:val="bottom"/>
          </w:tcPr>
          <w:p>
            <w:pPr>
              <w:ind w:left="140"/>
              <w:spacing w:after="0" w:line="118"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line="118"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line="118"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00" w:type="dxa"/>
            <w:vAlign w:val="bottom"/>
          </w:tcPr>
          <w:p>
            <w:pPr>
              <w:ind w:left="80"/>
              <w:spacing w:after="0" w:line="118" w:lineRule="exact"/>
              <w:rPr>
                <w:sz w:val="20"/>
                <w:szCs w:val="20"/>
                <w:color w:val="auto"/>
              </w:rPr>
            </w:pPr>
            <w:r>
              <w:rPr>
                <w:rFonts w:ascii="Arial" w:cs="Arial" w:eastAsia="Arial" w:hAnsi="Arial"/>
                <w:sz w:val="11"/>
                <w:szCs w:val="11"/>
                <w:b w:val="1"/>
                <w:bCs w:val="1"/>
                <w:color w:val="auto"/>
                <w:w w:val="92"/>
              </w:rPr>
              <w:t>or Indirect</w:t>
            </w:r>
          </w:p>
        </w:tc>
        <w:tc>
          <w:tcPr>
            <w:tcW w:w="980" w:type="dxa"/>
            <w:vAlign w:val="bottom"/>
          </w:tcPr>
          <w:p>
            <w:pPr>
              <w:ind w:left="140"/>
              <w:spacing w:after="0" w:line="118"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line="118"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line="118" w:lineRule="exact"/>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580" w:type="dxa"/>
            <w:vAlign w:val="bottom"/>
            <w:gridSpan w:val="2"/>
          </w:tcPr>
          <w:p>
            <w:pPr>
              <w:ind w:left="80"/>
              <w:spacing w:after="0" w:line="118" w:lineRule="exact"/>
              <w:rPr>
                <w:sz w:val="20"/>
                <w:szCs w:val="20"/>
                <w:color w:val="auto"/>
              </w:rPr>
            </w:pPr>
            <w:r>
              <w:rPr>
                <w:rFonts w:ascii="Arial" w:cs="Arial" w:eastAsia="Arial" w:hAnsi="Arial"/>
                <w:sz w:val="11"/>
                <w:szCs w:val="11"/>
                <w:b w:val="1"/>
                <w:bCs w:val="1"/>
                <w:color w:val="auto"/>
              </w:rPr>
              <w:t>(I) (Instr.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line="118"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of (D)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gridSpan w:val="2"/>
          </w:tcPr>
          <w:p>
            <w:pPr>
              <w:spacing w:after="0" w:line="118"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gridSpan w:val="4"/>
          </w:tcPr>
          <w:p>
            <w:pPr>
              <w:ind w:left="100"/>
              <w:spacing w:after="0" w:line="118" w:lineRule="exact"/>
              <w:rPr>
                <w:sz w:val="20"/>
                <w:szCs w:val="20"/>
                <w:color w:val="auto"/>
              </w:rPr>
            </w:pPr>
            <w:r>
              <w:rPr>
                <w:rFonts w:ascii="Arial" w:cs="Arial" w:eastAsia="Arial" w:hAnsi="Arial"/>
                <w:sz w:val="11"/>
                <w:szCs w:val="11"/>
                <w:b w:val="1"/>
                <w:bCs w:val="1"/>
                <w:color w:val="auto"/>
              </w:rPr>
              <w:t>(Instr. 3, 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line="118"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4"/>
          </w:tcPr>
          <w:p>
            <w:pPr>
              <w:ind w:left="10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gridSpan w:val="3"/>
          </w:tcPr>
          <w:p>
            <w:pPr>
              <w:ind w:left="40"/>
              <w:spacing w:after="0"/>
              <w:rPr>
                <w:sz w:val="20"/>
                <w:szCs w:val="20"/>
                <w:color w:val="auto"/>
              </w:rPr>
            </w:pPr>
            <w:r>
              <w:rPr>
                <w:rFonts w:ascii="Arial" w:cs="Arial" w:eastAsia="Arial" w:hAnsi="Arial"/>
                <w:sz w:val="11"/>
                <w:szCs w:val="11"/>
                <w:b w:val="1"/>
                <w:bCs w:val="1"/>
                <w:color w:val="auto"/>
              </w:rPr>
              <w:t>Date</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 or Number</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4"/>
          </w:tcPr>
          <w:p>
            <w:pPr>
              <w:ind w:left="100"/>
              <w:spacing w:after="0"/>
              <w:rPr>
                <w:sz w:val="20"/>
                <w:szCs w:val="20"/>
                <w:color w:val="auto"/>
              </w:rPr>
            </w:pPr>
            <w:r>
              <w:rPr>
                <w:rFonts w:ascii="Arial" w:cs="Arial" w:eastAsia="Arial" w:hAnsi="Arial"/>
                <w:sz w:val="11"/>
                <w:szCs w:val="11"/>
                <w:b w:val="1"/>
                <w:bCs w:val="1"/>
                <w:color w:val="auto"/>
              </w:rPr>
              <w:t>(A)   (D)</w:t>
            </w:r>
          </w:p>
        </w:tc>
        <w:tc>
          <w:tcPr>
            <w:tcW w:w="680" w:type="dxa"/>
            <w:vAlign w:val="bottom"/>
            <w:gridSpan w:val="3"/>
          </w:tcPr>
          <w:p>
            <w:pPr>
              <w:ind w:left="40"/>
              <w:spacing w:after="0"/>
              <w:rPr>
                <w:sz w:val="20"/>
                <w:szCs w:val="20"/>
                <w:color w:val="auto"/>
              </w:rPr>
            </w:pPr>
            <w:r>
              <w:rPr>
                <w:rFonts w:ascii="Arial" w:cs="Arial" w:eastAsia="Arial" w:hAnsi="Arial"/>
                <w:sz w:val="11"/>
                <w:szCs w:val="11"/>
                <w:b w:val="1"/>
                <w:bCs w:val="1"/>
                <w:color w:val="auto"/>
              </w:rPr>
              <w:t>Exercisable</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800" w:type="dxa"/>
            <w:vAlign w:val="bottom"/>
          </w:tcPr>
          <w:p>
            <w:pPr>
              <w:ind w:left="300"/>
              <w:spacing w:after="0"/>
              <w:rPr>
                <w:sz w:val="20"/>
                <w:szCs w:val="20"/>
                <w:color w:val="auto"/>
              </w:rPr>
            </w:pPr>
            <w:r>
              <w:rPr>
                <w:rFonts w:ascii="Arial" w:cs="Arial" w:eastAsia="Arial" w:hAnsi="Arial"/>
                <w:sz w:val="11"/>
                <w:szCs w:val="11"/>
                <w:b w:val="1"/>
                <w:bCs w:val="1"/>
                <w:color w:val="auto"/>
              </w:rPr>
              <w:t>Title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2"/>
                <w:szCs w:val="12"/>
                <w:color w:val="0000FF"/>
              </w:rPr>
              <w:t>to</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w w:val="99"/>
              </w:rPr>
              <w:t>See Footnotes</w:t>
            </w:r>
            <w:r>
              <w:rPr>
                <w:rFonts w:ascii="Times New Roman" w:cs="Times New Roman" w:eastAsia="Times New Roman" w:hAnsi="Times New Roman"/>
                <w:sz w:val="19"/>
                <w:szCs w:val="19"/>
                <w:color w:val="008000"/>
                <w:w w:val="99"/>
                <w:vertAlign w:val="superscript"/>
              </w:rPr>
              <w:t>(3)</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Purchase</w:t>
            </w:r>
          </w:p>
        </w:tc>
        <w:tc>
          <w:tcPr>
            <w:tcW w:w="640" w:type="dxa"/>
            <w:vAlign w:val="bottom"/>
          </w:tcPr>
          <w:p>
            <w:pPr>
              <w:ind w:left="20"/>
              <w:spacing w:after="0" w:line="18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59.624</w:t>
            </w:r>
            <w:r>
              <w:rPr>
                <w:rFonts w:ascii="Times New Roman" w:cs="Times New Roman" w:eastAsia="Times New Roman" w:hAnsi="Times New Roman"/>
                <w:sz w:val="19"/>
                <w:szCs w:val="19"/>
                <w:color w:val="008000"/>
                <w:vertAlign w:val="superscript"/>
              </w:rPr>
              <w:t>(10)</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tcPr>
          <w:p>
            <w:pPr>
              <w:jc w:val="right"/>
              <w:ind w:right="203"/>
              <w:spacing w:after="0"/>
              <w:rPr>
                <w:sz w:val="20"/>
                <w:szCs w:val="20"/>
                <w:color w:val="auto"/>
              </w:rPr>
            </w:pPr>
            <w:r>
              <w:rPr>
                <w:rFonts w:ascii="Times New Roman" w:cs="Times New Roman" w:eastAsia="Times New Roman" w:hAnsi="Times New Roman"/>
                <w:sz w:val="10"/>
                <w:szCs w:val="10"/>
                <w:color w:val="008000"/>
                <w:w w:val="95"/>
              </w:rPr>
              <w:t>(11)</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008000"/>
              </w:rPr>
              <w:t>(11)</w:t>
            </w:r>
          </w:p>
        </w:tc>
        <w:tc>
          <w:tcPr>
            <w:tcW w:w="8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Common</w:t>
            </w:r>
          </w:p>
        </w:tc>
        <w:tc>
          <w:tcPr>
            <w:tcW w:w="118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5"/>
                <w:szCs w:val="15"/>
                <w:color w:val="0000FF"/>
              </w:rPr>
              <w:t>83,858,848.81</w:t>
            </w:r>
            <w:r>
              <w:rPr>
                <w:rFonts w:ascii="Times New Roman" w:cs="Times New Roman" w:eastAsia="Times New Roman" w:hAnsi="Times New Roman"/>
                <w:sz w:val="19"/>
                <w:szCs w:val="19"/>
                <w:color w:val="008000"/>
                <w:vertAlign w:val="superscript"/>
              </w:rPr>
              <w:t>(10)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2"/>
                <w:szCs w:val="12"/>
                <w:color w:val="0000FF"/>
                <w:w w:val="95"/>
              </w:rPr>
              <w:t>83,858,848.81</w:t>
            </w:r>
            <w:r>
              <w:rPr>
                <w:rFonts w:ascii="Times New Roman" w:cs="Times New Roman" w:eastAsia="Times New Roman" w:hAnsi="Times New Roman"/>
                <w:sz w:val="19"/>
                <w:szCs w:val="19"/>
                <w:color w:val="008000"/>
                <w:w w:val="95"/>
                <w:vertAlign w:val="superscript"/>
              </w:rPr>
              <w:t>(10)</w:t>
            </w:r>
          </w:p>
        </w:tc>
        <w:tc>
          <w:tcPr>
            <w:tcW w:w="60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80" w:type="dxa"/>
            <w:vAlign w:val="bottom"/>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00" w:type="dxa"/>
            <w:vAlign w:val="bottom"/>
            <w:gridSpan w:val="3"/>
          </w:tcPr>
          <w:p>
            <w:pPr>
              <w:ind w:left="60"/>
              <w:spacing w:after="0" w:line="72" w:lineRule="exact"/>
              <w:rPr>
                <w:sz w:val="20"/>
                <w:szCs w:val="20"/>
                <w:color w:val="auto"/>
              </w:rPr>
            </w:pPr>
            <w:r>
              <w:rPr>
                <w:rFonts w:ascii="Times New Roman" w:cs="Times New Roman" w:eastAsia="Times New Roman" w:hAnsi="Times New Roman"/>
                <w:sz w:val="8"/>
                <w:szCs w:val="8"/>
                <w:color w:val="0000FF"/>
              </w:rPr>
              <w:t>Shares of</w:t>
            </w: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ind w:left="380"/>
              <w:spacing w:after="0" w:line="72" w:lineRule="exact"/>
              <w:rPr>
                <w:sz w:val="20"/>
                <w:szCs w:val="20"/>
                <w:color w:val="auto"/>
              </w:rPr>
            </w:pPr>
            <w:r>
              <w:rPr>
                <w:rFonts w:ascii="Times New Roman" w:cs="Times New Roman" w:eastAsia="Times New Roman" w:hAnsi="Times New Roman"/>
                <w:sz w:val="8"/>
                <w:szCs w:val="8"/>
                <w:color w:val="0000FF"/>
              </w:rPr>
              <w:t>Stock</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ind w:left="140"/>
              <w:spacing w:after="0" w:line="72" w:lineRule="exact"/>
              <w:rPr>
                <w:sz w:val="20"/>
                <w:szCs w:val="20"/>
                <w:color w:val="auto"/>
              </w:rPr>
            </w:pPr>
            <w:r>
              <w:rPr>
                <w:rFonts w:ascii="Times New Roman" w:cs="Times New Roman" w:eastAsia="Times New Roman" w:hAnsi="Times New Roman"/>
                <w:sz w:val="7"/>
                <w:szCs w:val="7"/>
                <w:color w:val="008000"/>
              </w:rPr>
              <w:t>(4)(12)</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2"/>
                <w:szCs w:val="12"/>
                <w:color w:val="0000FF"/>
              </w:rPr>
              <w:t>Common</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360" w:type="dxa"/>
            <w:vAlign w:val="bottom"/>
            <w:tcBorders>
              <w:top w:val="single" w:sz="8" w:color="2C2C2C"/>
            </w:tcBorders>
            <w:gridSpan w:val="6"/>
          </w:tcPr>
          <w:p>
            <w:pPr>
              <w:ind w:left="60"/>
              <w:spacing w:after="0" w:line="208" w:lineRule="exact"/>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2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260" w:type="dxa"/>
            <w:vAlign w:val="bottom"/>
            <w:gridSpan w:val="8"/>
          </w:tcPr>
          <w:p>
            <w:pPr>
              <w:spacing w:after="0" w:line="200" w:lineRule="exact"/>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BERKSHIRE HATHAWAY INC</w:t>
              </w:r>
            </w:hyperlink>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640" w:type="dxa"/>
            <w:vAlign w:val="bottom"/>
            <w:tcBorders>
              <w:top w:val="single" w:sz="8" w:color="0000EE"/>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440" w:type="dxa"/>
            <w:vAlign w:val="bottom"/>
            <w:tcBorders>
              <w:top w:val="single" w:sz="8" w:color="0000EE"/>
              <w:bottom w:val="single" w:sz="8" w:color="9A9A9A"/>
            </w:tcBorders>
          </w:tcPr>
          <w:p>
            <w:pPr>
              <w:spacing w:after="0"/>
              <w:rPr>
                <w:sz w:val="12"/>
                <w:szCs w:val="12"/>
                <w:color w:val="auto"/>
              </w:rPr>
            </w:pPr>
          </w:p>
        </w:tc>
        <w:tc>
          <w:tcPr>
            <w:tcW w:w="240" w:type="dxa"/>
            <w:vAlign w:val="bottom"/>
            <w:tcBorders>
              <w:top w:val="single" w:sz="8" w:color="0000EE"/>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3"/>
                <w:szCs w:val="23"/>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3"/>
                <w:szCs w:val="23"/>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3555 FARNAM STREET</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 w:type="dxa"/>
            <w:vAlign w:val="bottom"/>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OMAHA</w:t>
            </w:r>
          </w:p>
        </w:tc>
        <w:tc>
          <w:tcPr>
            <w:tcW w:w="64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NE</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68131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600" w:type="dxa"/>
            <w:vAlign w:val="bottom"/>
            <w:tcBorders>
              <w:bottom w:val="single" w:sz="8" w:color="9A9A9A"/>
            </w:tcBorders>
            <w:gridSpan w:val="2"/>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3"/>
                <w:szCs w:val="23"/>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240" w:type="dxa"/>
            <w:vAlign w:val="bottom"/>
          </w:tcPr>
          <w:p>
            <w:pPr>
              <w:spacing w:after="0"/>
              <w:rPr>
                <w:sz w:val="23"/>
                <w:szCs w:val="23"/>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360" w:type="dxa"/>
            <w:vAlign w:val="bottom"/>
            <w:gridSpan w:val="6"/>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260" w:type="dxa"/>
            <w:vAlign w:val="bottom"/>
            <w:gridSpan w:val="5"/>
          </w:tcPr>
          <w:p>
            <w:pPr>
              <w:spacing w:after="0" w:line="200"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BUFFETT WARREN E</w:t>
              </w:r>
            </w:hyperlink>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640" w:type="dxa"/>
            <w:vAlign w:val="bottom"/>
            <w:tcBorders>
              <w:top w:val="single" w:sz="8" w:color="0000EE"/>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3"/>
                <w:szCs w:val="23"/>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3"/>
                <w:szCs w:val="23"/>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3555 FARNAM STREET</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 w:type="dxa"/>
            <w:vAlign w:val="bottom"/>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OMAHA</w:t>
            </w:r>
          </w:p>
        </w:tc>
        <w:tc>
          <w:tcPr>
            <w:tcW w:w="64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NE</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0000FF"/>
              </w:rPr>
              <w:t>68131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600" w:type="dxa"/>
            <w:vAlign w:val="bottom"/>
            <w:tcBorders>
              <w:bottom w:val="single" w:sz="8" w:color="9A9A9A"/>
            </w:tcBorders>
            <w:gridSpan w:val="2"/>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3"/>
                <w:szCs w:val="23"/>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240" w:type="dxa"/>
            <w:vAlign w:val="bottom"/>
          </w:tcPr>
          <w:p>
            <w:pPr>
              <w:spacing w:after="0"/>
              <w:rPr>
                <w:sz w:val="23"/>
                <w:szCs w:val="23"/>
                <w:color w:val="auto"/>
              </w:rPr>
            </w:pP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-4813935</wp:posOffset>
            </wp:positionV>
            <wp:extent cx="27940" cy="1942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40" cy="194246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1" w:lineRule="exact"/>
        <w:rPr>
          <w:sz w:val="20"/>
          <w:szCs w:val="20"/>
          <w:color w:val="auto"/>
        </w:rPr>
      </w:pPr>
    </w:p>
    <w:p>
      <w:pPr>
        <w:ind w:left="20" w:right="140" w:firstLine="10"/>
        <w:spacing w:after="0" w:line="239" w:lineRule="auto"/>
        <w:tabs>
          <w:tab w:leader="none" w:pos="13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$57.5200 to $58.1800. The Reporting Persons undertake to provide Occidental Petroleum Corporation ("Occidental"), any security holder of Occidental, or the staff of the Securities and Exchange Commission, upon request, full information regarding the number of shares purchased at each separate price within the range set forth in footnote 1 to this Form 4.</w:t>
      </w:r>
    </w:p>
    <w:p>
      <w:pPr>
        <w:sectPr>
          <w:pgSz w:w="11900" w:h="16838" w:orient="portrait"/>
          <w:cols w:equalWidth="0" w:num="1">
            <w:col w:w="11080"/>
          </w:cols>
          <w:pgMar w:left="460" w:top="211" w:right="359" w:bottom="0" w:gutter="0" w:footer="0" w:header="0"/>
          <w:type w:val="continuous"/>
        </w:sectPr>
      </w:pPr>
    </w:p>
    <w:bookmarkStart w:id="1" w:name="page2"/>
    <w:bookmarkEnd w:id="1"/>
    <w:p>
      <w:pPr>
        <w:ind w:left="120" w:hanging="110"/>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common stock reported on this form are held by Berkshire Hathaway Inc. ("Berkshire") indirectly through its subsidiary, National Indemnity Company.</w:t>
      </w:r>
    </w:p>
    <w:p>
      <w:pPr>
        <w:spacing w:after="0" w:line="38" w:lineRule="exact"/>
        <w:rPr>
          <w:rFonts w:ascii="Times New Roman" w:cs="Times New Roman" w:eastAsia="Times New Roman" w:hAnsi="Times New Roman"/>
          <w:sz w:val="12"/>
          <w:szCs w:val="12"/>
          <w:color w:val="008000"/>
        </w:rPr>
      </w:pPr>
    </w:p>
    <w:p>
      <w:pPr>
        <w:ind w:right="60" w:firstLine="10"/>
        <w:spacing w:after="0" w:line="235" w:lineRule="auto"/>
        <w:tabs>
          <w:tab w:leader="none" w:pos="11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Berkshire is in the chain of ownership of each subsidiary listed, it may be deemed presently to both beneficially own and have a pecuniary interest in all shares and derivative securities, as applicable, presently directly owned by such subsidiaries. Warren E. Buffett, as the controlling stockholder of Berkshire, may be deemed presently to beneficially own, but only to the extent he has a pecuniary interest in, the shares and derivative securities, as applicable, presently owned by each of these subsidiaries. Mr. Buffett disclaims beneficial ownership of the reported securities except to the extent of his pecuniary interest therein. In addition, in order to avoid double counting, all shares and derivative securities, as applicable, reported as being owned by each subsidiary listed only reflect shares or derivative securities, as applicable, that are owned directly by such subsidiary,</w:t>
      </w:r>
    </w:p>
    <w:p>
      <w:pPr>
        <w:spacing w:after="0" w:line="25" w:lineRule="exact"/>
        <w:rPr>
          <w:rFonts w:ascii="Times New Roman" w:cs="Times New Roman" w:eastAsia="Times New Roman" w:hAnsi="Times New Roman"/>
          <w:sz w:val="12"/>
          <w:szCs w:val="12"/>
          <w:color w:val="008000"/>
        </w:rPr>
      </w:pPr>
    </w:p>
    <w:p>
      <w:pPr>
        <w:ind w:left="120" w:hanging="110"/>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and do not reflect any shares that such subsidiary may be deemed to beneficially own by virtue of ownership or control of any other subsidiary otherwise reported on this form.</w:t>
      </w:r>
    </w:p>
    <w:p>
      <w:pPr>
        <w:spacing w:after="0" w:line="38" w:lineRule="exact"/>
        <w:rPr>
          <w:rFonts w:ascii="Times New Roman" w:cs="Times New Roman" w:eastAsia="Times New Roman" w:hAnsi="Times New Roman"/>
          <w:sz w:val="12"/>
          <w:szCs w:val="12"/>
          <w:color w:val="008000"/>
        </w:rPr>
      </w:pPr>
    </w:p>
    <w:p>
      <w:pPr>
        <w:ind w:right="160" w:firstLine="10"/>
        <w:spacing w:after="0" w:line="239" w:lineRule="auto"/>
        <w:tabs>
          <w:tab w:leader="none" w:pos="11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$57.6700 to $58.5300. The Reporting Persons undertake to provide Occidental, any security holder of Occidental, or the staff of the Securities and Exchange Commission, upon request, full information regarding the number of shares purchased at each separate price within the range set forth in footnote 5 to this Form 4.</w:t>
      </w:r>
    </w:p>
    <w:p>
      <w:pPr>
        <w:spacing w:after="0" w:line="24" w:lineRule="exact"/>
        <w:rPr>
          <w:rFonts w:ascii="Times New Roman" w:cs="Times New Roman" w:eastAsia="Times New Roman" w:hAnsi="Times New Roman"/>
          <w:sz w:val="12"/>
          <w:szCs w:val="12"/>
          <w:color w:val="008000"/>
        </w:rPr>
      </w:pPr>
    </w:p>
    <w:p>
      <w:pPr>
        <w:ind w:right="160" w:firstLine="10"/>
        <w:spacing w:after="0" w:line="239" w:lineRule="auto"/>
        <w:tabs>
          <w:tab w:leader="none" w:pos="11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$58.6300 to $59.5000. The Reporting Persons undertake to provide Occidental, any security holder of Occidental, or the staff of the Securities and Exchange Commission, upon request, full information regarding the number of shares purchased at each separate price within the range set forth in footnote 6 to this Form 4.</w:t>
      </w:r>
    </w:p>
    <w:p>
      <w:pPr>
        <w:spacing w:after="0" w:line="24" w:lineRule="exact"/>
        <w:rPr>
          <w:rFonts w:ascii="Times New Roman" w:cs="Times New Roman" w:eastAsia="Times New Roman" w:hAnsi="Times New Roman"/>
          <w:sz w:val="12"/>
          <w:szCs w:val="12"/>
          <w:color w:val="008000"/>
        </w:rPr>
      </w:pPr>
    </w:p>
    <w:p>
      <w:pPr>
        <w:ind w:right="160" w:firstLine="10"/>
        <w:spacing w:after="0" w:line="239" w:lineRule="auto"/>
        <w:tabs>
          <w:tab w:leader="none" w:pos="11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$59.9000 to $60.0000. The Reporting Persons undertake to provide Occidental, any security holder of Occidental, or the staff of the Securities and Exchange Commission, upon request, full information regarding the number of shares purchased at each separate price within the range set forth in footnote 7 to this Form 4.</w:t>
      </w:r>
    </w:p>
    <w:p>
      <w:pPr>
        <w:spacing w:after="0" w:line="24" w:lineRule="exact"/>
        <w:rPr>
          <w:rFonts w:ascii="Times New Roman" w:cs="Times New Roman" w:eastAsia="Times New Roman" w:hAnsi="Times New Roman"/>
          <w:sz w:val="12"/>
          <w:szCs w:val="12"/>
          <w:color w:val="008000"/>
        </w:rPr>
      </w:pPr>
    </w:p>
    <w:p>
      <w:pPr>
        <w:ind w:right="160" w:firstLine="10"/>
        <w:spacing w:after="0" w:line="239" w:lineRule="auto"/>
        <w:tabs>
          <w:tab w:leader="none" w:pos="11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$60.7550 to $61.5950. The Reporting Persons undertake to provide Occidental, any security holder of Occidental, or the staff of the Securities and Exchange Commission, upon request, full information regarding the number of shares purchased at each separate price within the range set forth in footnote 8 to this Form 4.</w:t>
      </w:r>
    </w:p>
    <w:p>
      <w:pPr>
        <w:spacing w:after="0" w:line="24" w:lineRule="exact"/>
        <w:rPr>
          <w:rFonts w:ascii="Times New Roman" w:cs="Times New Roman" w:eastAsia="Times New Roman" w:hAnsi="Times New Roman"/>
          <w:sz w:val="12"/>
          <w:szCs w:val="12"/>
          <w:color w:val="008000"/>
        </w:rPr>
      </w:pPr>
    </w:p>
    <w:p>
      <w:pPr>
        <w:ind w:right="400" w:firstLine="10"/>
        <w:spacing w:after="0" w:line="251" w:lineRule="auto"/>
        <w:tabs>
          <w:tab w:leader="none" w:pos="11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the issuer's preferred stock reported on this form were issued on August 8, 2019 and are held by Berkshire indirectly through the following Berkshire subsidiaries: National Indemnity Company (99,000) and Berkshire Hathaway Assurance Corporation (1,000).</w:t>
      </w:r>
    </w:p>
    <w:p>
      <w:pPr>
        <w:spacing w:after="0" w:line="17" w:lineRule="exact"/>
        <w:rPr>
          <w:rFonts w:ascii="Times New Roman" w:cs="Times New Roman" w:eastAsia="Times New Roman" w:hAnsi="Times New Roman"/>
          <w:sz w:val="12"/>
          <w:szCs w:val="12"/>
          <w:color w:val="008000"/>
        </w:rPr>
      </w:pPr>
    </w:p>
    <w:p>
      <w:pPr>
        <w:ind w:right="140" w:firstLine="10"/>
        <w:spacing w:after="0" w:line="235" w:lineRule="auto"/>
        <w:tabs>
          <w:tab w:leader="none" w:pos="17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contain provisions that adjust the exercise price and the number of shares of the issuer's common stock issuable on exercise upon the occurrence of certain events. As such, the exercise price and the number of shares of the issuer's common stock issuable on exercise as reported on this form are subject to change upon the occurrence of future events in accordance with the terms of the warrants. The warrants were initially for 80,000,000 shares with an initial exercise price of $62.50 per share. On June 26, 2020, the issuer's board of directors declared a distribution to its common shareholders of warrants to purchase additional shares of common stock, which distribution resulted in an anti-dilution adjustment to the warrants, which lowered the exercise price to $59.624 and increased the number of shares issuable on exercise of the warrants to 83,858,848.81.</w:t>
      </w:r>
    </w:p>
    <w:p>
      <w:pPr>
        <w:spacing w:after="0" w:line="25" w:lineRule="exact"/>
        <w:rPr>
          <w:rFonts w:ascii="Times New Roman" w:cs="Times New Roman" w:eastAsia="Times New Roman" w:hAnsi="Times New Roman"/>
          <w:sz w:val="12"/>
          <w:szCs w:val="12"/>
          <w:color w:val="008000"/>
        </w:rPr>
      </w:pPr>
    </w:p>
    <w:p>
      <w:pPr>
        <w:ind w:right="340" w:firstLine="10"/>
        <w:spacing w:after="0" w:line="251" w:lineRule="auto"/>
        <w:tabs>
          <w:tab w:leader="none" w:pos="17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were issued on August 8, 2019 and are exercisable at the applicable holder's option, in whole or in part, until the first anniversary of the date on which no shares of the issuer's series A preferred stock remain outstanding, at which time the warrants expire.</w:t>
      </w:r>
    </w:p>
    <w:p>
      <w:pPr>
        <w:spacing w:after="0" w:line="17" w:lineRule="exact"/>
        <w:rPr>
          <w:rFonts w:ascii="Times New Roman" w:cs="Times New Roman" w:eastAsia="Times New Roman" w:hAnsi="Times New Roman"/>
          <w:sz w:val="12"/>
          <w:szCs w:val="12"/>
          <w:color w:val="008000"/>
        </w:rPr>
      </w:pPr>
    </w:p>
    <w:p>
      <w:pPr>
        <w:ind w:firstLine="10"/>
        <w:spacing w:after="0" w:line="239" w:lineRule="auto"/>
        <w:tabs>
          <w:tab w:leader="none" w:pos="17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warrants to purchase the issuer's common stock reported on this form are held by Berkshire indirectly through the following Berkshire subsidiaries: Berkshire Hathaway Life Insurance Company of Nebraska (3,018,918.56), Berkshire Hathaway Specialty Insurance Company (1,677,176.98), Columbia Insurance Company (10,608,144.37), Government Employees Insurance Company (27,254,125.86), GEICO Indemnity Company (8,385,884.88), GEICO Casualty Company (3,270,495.10), BHG Life Insurance Company (5,870,119.42), and National Indemnity Company (23,773,983.64).</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Remarks:</w:t>
      </w:r>
    </w:p>
    <w:p>
      <w:pPr>
        <w:spacing w:after="0" w:line="12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/s/ Warren E. Buffett,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-4445</wp:posOffset>
            </wp:positionV>
            <wp:extent cx="13258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25880" cy="7620"/>
                    </a:xfrm>
                    <a:prstGeom prst="rect">
                      <a:avLst/>
                    </a:prstGeom>
                    <a:noFill/>
                  </pic:spPr>
                </pic:pic>
              </a:graphicData>
            </a:graphic>
          </wp:anchor>
        </w:drawing>
      </w:r>
    </w:p>
    <w:p>
      <w:pPr>
        <w:spacing w:after="0" w:line="6"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5"/>
          <w:szCs w:val="15"/>
          <w:color w:val="0000FF"/>
        </w:rPr>
        <w:t>himself and each other reporting</w:t>
        <w:tab/>
        <w:t>09/28/2022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18440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44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person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4177665</wp:posOffset>
            </wp:positionH>
            <wp:positionV relativeFrom="paragraph">
              <wp:posOffset>-10795</wp:posOffset>
            </wp:positionV>
            <wp:extent cx="6731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673100" cy="7620"/>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0"/>
          <w:szCs w:val="20"/>
          <w:color w:val="auto"/>
        </w:rPr>
      </w:pPr>
    </w:p>
    <w:p>
      <w:pPr>
        <w:jc w:val="both"/>
        <w:ind w:right="4100" w:firstLine="10"/>
        <w:spacing w:after="0" w:line="333" w:lineRule="auto"/>
        <w:tabs>
          <w:tab w:leader="none" w:pos="12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067983" TargetMode="External"/><Relationship Id="rId13" Type="http://schemas.openxmlformats.org/officeDocument/2006/relationships/hyperlink" Target="http://www.sec.gov/cgi-bin/browse-edgar?action=getcompany&amp;CIK=0000797468" TargetMode="External"/><Relationship Id="rId14"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2022-09-28T18:53:08Z</dcterms:created>
  <dcterms:modified xsi:type="dcterms:W3CDTF">2022-09-28T18:53:08Z</dcterms:modified>
</cp:coreProperties>
</file>