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5774.xml.htm"/>
      <w:bookmarkStart w:id="1" w:name="kswkform4_17909757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Jackson Richard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OCCIDENTAL PETROLEUM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GREENWAY PLAZA, STE.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OCCIDENTAL PETROLEUM CORP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OXY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56"/>
        <w:gridCol w:w="1165"/>
        <w:gridCol w:w="999"/>
        <w:gridCol w:w="96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4,124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55.32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439,974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OPC Savings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to satisfy tax withholding obligations upon the vesting of previously reported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Based on a plan statement dated September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Brittany A. Smith, Attorney-in-Fact for Richard A. Jackson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4606" TargetMode="External"/><Relationship Id="rId5" Type="http://schemas.openxmlformats.org/officeDocument/2006/relationships/hyperlink" Target="http://www.sec.gov/cgi-bin/browse-edgar?action=getcompany&amp;CIK=00007974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613</Words>
  <Characters>3351</Characters>
  <CharactersWithSpaces>3890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