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 xml:space="preserve">WASHINGTON, D.C. 20549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120"/>
        <w:jc w:val="center"/>
        <w:rPr>
          <w:rFonts w:ascii="Times New Roman;serif" w:hAnsi="Times New Roman;serif"/>
          <w:b/>
          <w:color w:val="000000"/>
          <w:sz w:val="30"/>
        </w:rPr>
      </w:pPr>
      <w:r>
        <w:rPr>
          <w:rFonts w:ascii="Times New Roman;serif" w:hAnsi="Times New Roman;serif"/>
          <w:b/>
          <w:color w:val="000000"/>
          <w:sz w:val="3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w:t>
      </w:r>
    </w:p>
    <w:p>
      <w:pPr>
        <w:pStyle w:val="TextBody"/>
        <w:bidi w:val="0"/>
        <w:spacing w:lineRule="auto" w:line="240" w:before="0" w:after="120"/>
        <w:jc w:val="center"/>
        <w:rPr/>
      </w:pPr>
      <w:r>
        <w:rPr>
          <w:rFonts w:ascii="Times New Roman;serif" w:hAnsi="Times New Roman;serif"/>
          <w:b/>
          <w:color w:val="000000"/>
          <w:sz w:val="16"/>
        </w:rPr>
        <w:t>of the Securities Exchange Act of 1934</w:t>
      </w:r>
      <w:r>
        <w:rPr>
          <w:color w:val="000000"/>
        </w:rPr>
        <w:t xml:space="preserve"> </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Date of Report (Date of Earliest Event Reported): 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OCCIDENTAL PETROLEUM CORPORATION</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53" w:type="dxa"/>
        <w:jc w:val="center"/>
        <w:tblInd w:w="0" w:type="dxa"/>
        <w:tblLayout w:type="fixed"/>
        <w:tblCellMar>
          <w:top w:w="28" w:type="dxa"/>
          <w:left w:w="28" w:type="dxa"/>
          <w:bottom w:w="28" w:type="dxa"/>
          <w:right w:w="28" w:type="dxa"/>
        </w:tblCellMar>
      </w:tblPr>
      <w:tblGrid>
        <w:gridCol w:w="791"/>
        <w:gridCol w:w="697"/>
        <w:gridCol w:w="702"/>
        <w:gridCol w:w="358"/>
        <w:gridCol w:w="358"/>
        <w:gridCol w:w="363"/>
        <w:gridCol w:w="432"/>
        <w:gridCol w:w="432"/>
        <w:gridCol w:w="620"/>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Delaware</w:t>
            </w:r>
          </w:p>
        </w:tc>
        <w:tc>
          <w:tcPr>
            <w:tcW w:w="10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1-9210</w:t>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95-4035997</w:t>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(Commission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(IRS Employer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tbl>
      <w:tblPr>
        <w:tblW w:w="3943" w:type="dxa"/>
        <w:jc w:val="center"/>
        <w:tblInd w:w="0" w:type="dxa"/>
        <w:tblLayout w:type="fixed"/>
        <w:tblCellMar>
          <w:top w:w="28" w:type="dxa"/>
          <w:left w:w="28" w:type="dxa"/>
          <w:bottom w:w="28" w:type="dxa"/>
          <w:right w:w="28" w:type="dxa"/>
        </w:tblCellMar>
      </w:tblPr>
      <w:tblGrid>
        <w:gridCol w:w="1090"/>
        <w:gridCol w:w="959"/>
        <w:gridCol w:w="965"/>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5 Greenway Plaza, Suite 110</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Houston, Texas</w:t>
            </w:r>
          </w:p>
        </w:tc>
        <w:tc>
          <w:tcPr>
            <w:tcW w:w="9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77046</w:t>
            </w:r>
          </w:p>
        </w:tc>
      </w:tr>
      <w:tr>
        <w:trPr/>
        <w:tc>
          <w:tcPr>
            <w:tcW w:w="30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312" w:before="0" w:after="24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16"/>
        </w:rPr>
        <w:t>(713) 215-7000</w:t>
      </w:r>
    </w:p>
    <w:p>
      <w:pPr>
        <w:pStyle w:val="TextBody"/>
        <w:bidi w:val="0"/>
        <w:spacing w:lineRule="auto" w:line="312" w:before="0" w:after="0"/>
        <w:jc w:val="center"/>
        <w:rPr/>
      </w:pPr>
      <w:r>
        <w:rPr>
          <w:rFonts w:ascii="Times New Roman;serif" w:hAnsi="Times New Roman;serif"/>
          <w:b/>
          <w:color w:val="000000"/>
          <w:sz w:val="16"/>
        </w:rPr>
        <w:t>Not Applicable</w:t>
      </w:r>
      <w:r>
        <w:rPr>
          <w:color w:val="000000"/>
        </w:rPr>
        <w:t xml:space="preserve"> </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949" w:type="dxa"/>
        <w:jc w:val="left"/>
        <w:tblInd w:w="0" w:type="dxa"/>
        <w:tblLayout w:type="fixed"/>
        <w:tblCellMar>
          <w:top w:w="28" w:type="dxa"/>
          <w:left w:w="28" w:type="dxa"/>
          <w:bottom w:w="28" w:type="dxa"/>
          <w:right w:w="28" w:type="dxa"/>
        </w:tblCellMar>
      </w:tblPr>
      <w:tblGrid>
        <w:gridCol w:w="1399"/>
        <w:gridCol w:w="1235"/>
        <w:gridCol w:w="1251"/>
        <w:gridCol w:w="474"/>
        <w:gridCol w:w="474"/>
        <w:gridCol w:w="476"/>
        <w:gridCol w:w="773"/>
        <w:gridCol w:w="773"/>
        <w:gridCol w:w="1094"/>
      </w:tblGrid>
      <w:tr>
        <w:trPr/>
        <w:tc>
          <w:tcPr>
            <w:tcW w:w="139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 xml:space="preserve">Name of Each Exchange on Which </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Registered</w:t>
            </w:r>
          </w:p>
        </w:tc>
      </w:tr>
      <w:tr>
        <w:trPr/>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Common Stock, $0.20 par value</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OXY</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Warrants to Purchase Common Stock, $0.20 par value</w:t>
            </w:r>
          </w:p>
        </w:tc>
        <w:tc>
          <w:tcPr>
            <w:tcW w:w="14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OXY WS</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before="0" w:after="0"/>
        <w:jc w:val="left"/>
        <w:rPr/>
      </w:pPr>
      <w:r>
        <w:rPr/>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2120"/>
                <wp:effectExtent l="0" t="0" r="0" b="0"/>
                <wp:wrapNone/>
                <wp:docPr id="1" name="Frame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August 5, 2026, Occidental Petroleum Corporation (the “Company”) issued a press release announcing the Company’s financial condition and results of operations for the quarter ended June 30, 2026. A copy of the press release is furnished as Exhibit 99.1 to this Current Report on Form 8-K and is incorporated herein by reference.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information contained in this report and in Exhibit 99.1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ind w:left="0" w:right="0" w:hanging="1080"/>
        <w:jc w:val="left"/>
        <w:rPr/>
      </w:pPr>
      <w:r>
        <w:rPr/>
      </w:r>
    </w:p>
    <w:p>
      <w:pPr>
        <w:pStyle w:val="TextBody"/>
        <w:bidi w:val="0"/>
        <w:spacing w:lineRule="auto" w:line="312" w:before="0" w:after="200"/>
        <w:jc w:val="left"/>
        <w:rPr/>
      </w:pPr>
      <w:r>
        <w:rPr>
          <w:rFonts w:ascii="Times New Roman;serif" w:hAnsi="Times New Roman;serif"/>
          <w:b w:val="false"/>
          <w:color w:val="000000"/>
          <w:sz w:val="24"/>
        </w:rPr>
        <w:t xml:space="preserve">(d) </w:t>
      </w:r>
      <w:r>
        <w:rPr>
          <w:rFonts w:ascii="Times New Roman;serif" w:hAnsi="Times New Roman;serif"/>
          <w:b w:val="false"/>
          <w:i/>
          <w:color w:val="000000"/>
          <w:sz w:val="24"/>
        </w:rPr>
        <w:t>Exhibits</w:t>
      </w:r>
      <w:r>
        <w:rPr>
          <w:rFonts w:ascii="Times New Roman;serif" w:hAnsi="Times New Roman;serif"/>
          <w:b w:val="false"/>
          <w:color w:val="000000"/>
          <w:sz w:val="24"/>
        </w:rPr>
        <w:t>.</w:t>
      </w:r>
    </w:p>
    <w:tbl>
      <w:tblPr>
        <w:tblW w:w="9415"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2284"/>
        <w:gridCol w:w="2284"/>
        <w:gridCol w:w="32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Exhibit No.</w:t>
            </w:r>
          </w:p>
        </w:tc>
        <w:tc>
          <w:tcPr>
            <w:tcW w:w="77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7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oxyex9916-30x26earningsrel.htm">
              <w:r>
                <w:rPr>
                  <w:rStyle w:val="InternetLink"/>
                  <w:rFonts w:ascii="Times New Roman;serif" w:hAnsi="Times New Roman;serif"/>
                  <w:b w:val="false"/>
                  <w:color w:val="000080"/>
                  <w:sz w:val="24"/>
                </w:rPr>
                <w:t xml:space="preserve">Press Release dated </w:t>
              </w:r>
            </w:hyperlink>
            <w:hyperlink w:anchor="oxyex9916-30x26earningsrel.htm">
              <w:r>
                <w:rPr>
                  <w:rStyle w:val="InternetLink"/>
                  <w:rFonts w:ascii="Times New Roman;serif" w:hAnsi="Times New Roman;serif"/>
                  <w:b w:val="false"/>
                  <w:color w:val="000080"/>
                  <w:sz w:val="24"/>
                </w:rPr>
                <w:t>August</w:t>
              </w:r>
            </w:hyperlink>
            <w:hyperlink w:anchor="oxyex9916-30x26earningsrel.htm">
              <w:r>
                <w:rPr>
                  <w:rStyle w:val="InternetLink"/>
                  <w:rFonts w:ascii="Times New Roman;serif" w:hAnsi="Times New Roman;serif"/>
                  <w:b w:val="false"/>
                  <w:color w:val="000080"/>
                  <w:sz w:val="24"/>
                </w:rPr>
                <w:t xml:space="preserve"> 5, 2026.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7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2120"/>
                <wp:effectExtent l="0" t="0" r="0" b="0"/>
                <wp:wrapNone/>
                <wp:docPr id="2" name="Frame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1000"/>
        <w:gridCol w:w="879"/>
        <w:gridCol w:w="883"/>
        <w:gridCol w:w="752"/>
        <w:gridCol w:w="752"/>
        <w:gridCol w:w="752"/>
        <w:gridCol w:w="1529"/>
        <w:gridCol w:w="1510"/>
        <w:gridCol w:w="2148"/>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lineRule="auto" w:line="288" w:before="24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Date: August 5, 2026</w:t>
            </w:r>
          </w:p>
        </w:tc>
        <w:tc>
          <w:tcPr>
            <w:tcW w:w="74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OCCIDENTAL PETROLEUM CORPORATION</w:t>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18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Christopher O. Champion</w:t>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5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Christopher O. Champion</w:t>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18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Vice President, Chief Accounting Officer and Controller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2120"/>
                <wp:effectExtent l="0" t="0" r="0" b="0"/>
                <wp:wrapNone/>
                <wp:docPr id="3" name="Frame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tbl>
      <w:tblPr>
        <w:tblW w:w="3956" w:type="dxa"/>
        <w:jc w:val="left"/>
        <w:tblInd w:w="0" w:type="dxa"/>
        <w:tblLayout w:type="fixed"/>
        <w:tblCellMar>
          <w:top w:w="28" w:type="dxa"/>
          <w:left w:w="28" w:type="dxa"/>
          <w:bottom w:w="28" w:type="dxa"/>
          <w:right w:w="28" w:type="dxa"/>
        </w:tblCellMar>
      </w:tblPr>
      <w:tblGrid>
        <w:gridCol w:w="286"/>
        <w:gridCol w:w="252"/>
        <w:gridCol w:w="253"/>
        <w:gridCol w:w="926"/>
        <w:gridCol w:w="926"/>
        <w:gridCol w:w="1313"/>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38150" cy="447675"/>
                          </a:xfrm>
                          <a:prstGeom prst="rect">
                            <a:avLst/>
                          </a:prstGeom>
                        </pic:spPr>
                      </pic:pic>
                    </a:graphicData>
                  </a:graphic>
                </wp:inline>
              </w:drawing>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36"/>
              </w:rPr>
            </w:pPr>
            <w:r>
              <w:rPr>
                <w:rFonts w:ascii="Arial;sans-serif" w:hAnsi="Arial;sans-serif"/>
                <w:b/>
                <w:color w:val="00539B"/>
                <w:sz w:val="36"/>
              </w:rPr>
              <w:t>PRESS RELEASE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Occidental Announces 2nd Quarter 2026 Results</w:t>
      </w:r>
    </w:p>
    <w:p>
      <w:pPr>
        <w:pStyle w:val="TextBody"/>
        <w:bidi w:val="0"/>
        <w:spacing w:before="0" w:after="120"/>
        <w:jc w:val="center"/>
        <w:rPr/>
      </w:pPr>
      <w:r>
        <w:rPr/>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Increased quarterly dividend by an additional 8% this year to $0.28 per share, payable October 15, 2026, to stockholders of record as of September 10, 2026</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Reduced principal debt by $1.9 billion to $11.8 billion, advancing toward the $10.0 billion milestone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 xml:space="preserve">Generated $5.1 billion of operating cash flow from continuing operations and $4.6 billion of operating cash flow before working capital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Delivered $3.0 billion of free cash flow before working capital from continuing operations, the highest level since the third quarter of 2022, with capital expenditures of $1.6 billion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Produced 1,433 Mboed globally, exceeding the high end of guidance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 xml:space="preserve">Midstream and marketing pre-tax adjusted income exceeded the high end of guidance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2"/>
        </w:rPr>
        <w:t>Reported EPS of $2.75; adjusted EPS from continuing operations of $2.40</w:t>
      </w:r>
    </w:p>
    <w:p>
      <w:pPr>
        <w:pStyle w:val="TextBody"/>
        <w:bidi w:val="0"/>
        <w:spacing w:before="120" w:after="283"/>
        <w:jc w:val="left"/>
        <w:rPr/>
      </w:pPr>
      <w:r>
        <w:rPr/>
      </w:r>
    </w:p>
    <w:p>
      <w:pPr>
        <w:pStyle w:val="TextBody"/>
        <w:bidi w:val="0"/>
        <w:spacing w:lineRule="auto" w:line="288" w:before="0" w:after="0"/>
        <w:jc w:val="left"/>
        <w:rPr/>
      </w:pPr>
      <w:r>
        <w:rPr>
          <w:rFonts w:ascii="Arial;sans-serif" w:hAnsi="Arial;sans-serif"/>
          <w:b/>
          <w:color w:val="000000"/>
          <w:sz w:val="22"/>
        </w:rPr>
        <w:t>HOUSTON</w:t>
      </w:r>
      <w:r>
        <w:rPr>
          <w:color w:val="0000FF"/>
        </w:rPr>
        <w:t xml:space="preserve"> </w:t>
      </w:r>
      <w:r>
        <w:rPr>
          <w:color w:val="000000"/>
        </w:rPr>
        <w:t xml:space="preserve">— </w:t>
      </w:r>
      <w:r>
        <w:rPr>
          <w:rFonts w:ascii="Arial;sans-serif" w:hAnsi="Arial;sans-serif"/>
          <w:b w:val="false"/>
          <w:color w:val="000000"/>
          <w:sz w:val="22"/>
        </w:rPr>
        <w:t xml:space="preserve">August 5, 2026 — Occidental (NYSE: OXY) today announced results for the second quarter of 2026, including net income attributable to common stockholders of $2.8 billion, or earnings per diluted share (EPS) of $2.75, and adjusted income attributable to common stockholders of $2.4 billion, or adjusted EPS from continuing operations of $2.40.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"Our second quarter results demonstrate the strength of Oxy's resources and the competitive advantages that position us for continued value creation,” said Richard Jackson, President and Chief Executive Officer. “We are unlocking more from our assets through our industry-leading advanced recovery capabilities and differentiated value-based development approach. At the same time, we remain focused on executing from a strong balance sheet, organically improving our resources and continuing to deliver cost efficiencies. Through consistent execution on these priorities, we expect to generate significant free cash flow growth by 2030 and sustainable long-term value for our shareholders."</w:t>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539B"/>
          <w:sz w:val="28"/>
        </w:rPr>
      </w:pPr>
      <w:r>
        <w:rPr>
          <w:rFonts w:ascii="Arial;sans-serif" w:hAnsi="Arial;sans-serif"/>
          <w:b/>
          <w:color w:val="00539B"/>
          <w:sz w:val="28"/>
        </w:rPr>
        <w:t>QUARTERLY RESULTS</w:t>
      </w:r>
    </w:p>
    <w:p>
      <w:pPr>
        <w:pStyle w:val="TextBody"/>
        <w:bidi w:val="0"/>
        <w:spacing w:lineRule="auto" w:line="300" w:before="0" w:after="0"/>
        <w:jc w:val="left"/>
        <w:rPr>
          <w:rFonts w:ascii="Arial Narrow;sans-serif" w:hAnsi="Arial Narrow;sans-serif"/>
          <w:b/>
          <w:color w:val="1D83DE"/>
          <w:sz w:val="24"/>
        </w:rPr>
      </w:pPr>
      <w:r>
        <w:rPr>
          <w:rFonts w:ascii="Arial Narrow;sans-serif" w:hAnsi="Arial Narrow;sans-serif"/>
          <w:b/>
          <w:color w:val="1D83DE"/>
          <w:sz w:val="24"/>
        </w:rPr>
        <w:t>Oil and Gas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Pre-tax income from oil and gas totaled $2.8 billion for the second quarter of 2026, compared to $1.0 billion for the first quarter of 2026. Excluding items affecting comparability, the increase was primarily driven by higher realized crude oil prices, partially offset by lower domestic natural gas prices. Second quarter average WTI and Brent marker prices were $92.79 per barrel and $97.06 per barrel, respectively. Average worldwide realized crude oil prices increased 38% from the previous quarter to $96.78 per barrel. Average worldwide realized natural gas liquids prices increased 30% to $24.64 per barrel. Average domestic realized gas prices were negative $1.48 per thousand cubic feet (Mcf).</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Total global production averaged 1,433 thousand barrels of oil equivalent per day (Mboed) for the second quarter of 2026, exceeding the high end of guidance, with the Permian and Gulf of America business units outperforming.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 Narrow;sans-serif" w:hAnsi="Arial Narrow;sans-serif"/>
          <w:b/>
          <w:color w:val="1D83DE"/>
          <w:sz w:val="24"/>
        </w:rPr>
      </w:pPr>
      <w:r>
        <w:rPr>
          <w:rFonts w:ascii="Arial Narrow;sans-serif" w:hAnsi="Arial Narrow;sans-serif"/>
          <w:b/>
          <w:color w:val="1D83DE"/>
          <w:sz w:val="24"/>
        </w:rPr>
        <w:t>Midstream and Marketing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Midstream and marketing reported pre-tax income of $1.3 billion for the second quarter of 2026, compared to a pre-tax loss of $87 million in the previous quarter. Excluding items affecting comparability, midstream and marketing results exceeded the high end of guidance. Quarter-over-quarter improvement was driven by higher crude margins related to the timing of crude sales and higher gas margins from transportation capacity optimizations. WES equity method investment income for the second quarter was $149 million. </w:t>
      </w:r>
    </w:p>
    <w:p>
      <w:pPr>
        <w:pStyle w:val="TextBody"/>
        <w:bidi w:val="0"/>
        <w:spacing w:before="0" w:after="0"/>
        <w:jc w:val="left"/>
        <w:rPr/>
      </w:pPr>
      <w:r>
        <w:rPr/>
      </w:r>
    </w:p>
    <w:p>
      <w:pPr>
        <w:pStyle w:val="TextBody"/>
        <w:bidi w:val="0"/>
        <w:spacing w:lineRule="auto" w:line="300" w:before="0" w:after="0"/>
        <w:jc w:val="left"/>
        <w:rPr>
          <w:rFonts w:ascii="Arial Narrow;sans-serif" w:hAnsi="Arial Narrow;sans-serif"/>
          <w:b/>
          <w:color w:val="1D83DE"/>
          <w:sz w:val="24"/>
        </w:rPr>
      </w:pPr>
      <w:r>
        <w:rPr>
          <w:rFonts w:ascii="Arial Narrow;sans-serif" w:hAnsi="Arial Narrow;sans-serif"/>
          <w:b/>
          <w:color w:val="1D83DE"/>
          <w:sz w:val="24"/>
        </w:rPr>
        <w:t>Supplemental Non-GAAP Measures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press release refers to adjusted income - continuing operations, operating cash flow before working capital - continuing operations, capital expenditures, net of noncontrolling interest - continuing operations, free cash flow before working capital - continuing operations and adjusted general and administrative (G&amp;A), other operating and non-operating expenses, which are supplemental measures not calculated in accordance with generally accepted accounting principles in the United States (GAAP). These non-GAAP financial measures have limitations as analytical tools and should not be considered in isolation or as an alternative to the comparable GAAP financial measures. Definitions of adjusted income - continuing operations and a reconciliation to net income (loss), along with operating cash flow before working capital - continuing operations, capital expenditures, net of noncontrolling interest - continuing operations, free cash flow before working capital - continuing operations and adjusted G&amp;A, other operating and non-operating expenses and a reconciliation to the comparable GAAP financial measures, are included in the financial schedules of this press release. Occidental's definition of adjusted income - continuing operations, operating cash flow before working capital - continuing operations, capital expenditures, net of noncontrolling interest - continuing operations, free cash flow before working capital - continuing operations and adjusted G&amp;A, other operating and non-operating expenses may differ from similarly titled measures provided by other companies in our industry and as a result may not be comparable.</w:t>
      </w:r>
    </w:p>
    <w:p>
      <w:pPr>
        <w:pStyle w:val="TextBody"/>
        <w:bidi w:val="0"/>
        <w:spacing w:before="0" w:after="0"/>
        <w:jc w:val="left"/>
        <w:rPr/>
      </w:pPr>
      <w:r>
        <w:rPr/>
      </w:r>
    </w:p>
    <w:p>
      <w:pPr>
        <w:pStyle w:val="TextBody"/>
        <w:bidi w:val="0"/>
        <w:spacing w:lineRule="auto" w:line="300" w:before="0" w:after="0"/>
        <w:jc w:val="left"/>
        <w:rPr>
          <w:rFonts w:ascii="Arial Narrow;sans-serif" w:hAnsi="Arial Narrow;sans-serif"/>
          <w:b/>
          <w:color w:val="1D83DE"/>
          <w:sz w:val="24"/>
        </w:rPr>
      </w:pPr>
      <w:r>
        <w:rPr>
          <w:rFonts w:ascii="Arial Narrow;sans-serif" w:hAnsi="Arial Narrow;sans-serif"/>
          <w:b/>
          <w:color w:val="1D83DE"/>
          <w:sz w:val="24"/>
        </w:rPr>
        <w:t>About Occidental</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Occidental is an international energy company that produces, markets and transports oil and natural gas to maximize value and provide resources fundamental to life. The company leverages its global leadership in carbon management to advance lower-carbon technologies and products. Headquartered in Houston, Occidental primarily operates in the United States, the Middle East and North Africa. To learn more, visit oxy.com.</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1D83DE"/>
          <w:sz w:val="24"/>
        </w:rPr>
      </w:pPr>
      <w:r>
        <w:rPr>
          <w:rFonts w:ascii="Arial Narrow;sans-serif" w:hAnsi="Arial Narrow;sans-serif"/>
          <w:b/>
          <w:color w:val="1D83DE"/>
          <w:sz w:val="24"/>
        </w:rPr>
        <w:t>Forward-Looking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"safe harbor" provisions of the Private Securities Litigation Reform Act of 1995, including, but not limited to, statements about Occidental's expectations, beliefs, plans or forecasts. All statements other than statements of historical fact are "forward-looking statements" for purposes of federal and state securities laws, including, but not limited to: any projections of earnings,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"project," "predict," "will," "would," "should," "could," "may," "might," "anticipate," "plan," "intend," "believe," "expect," "aim," "goal," "target," "objective," "commit," "advance," "guidance," "priority," "focus," "assumption," "likely" or similar expressions that convey the prospective nature of events or outcomes are generally indicative of forward-looking statements. You should not place undue reliance on these forward-looking statements, which speak only as of the date of this press release unless an earlier date is specified. Unless legally required, Occidental does not undertake any obligation to update, modify or withdraw any forward-looking statement as a result of new information, future events or otherwise.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Forward-looking statements involve estimates, expectations, projections, goals, forecasts, assumptions, risks and uncertainties. Actual outcomes or results may differ from anticipated results, sometimes materially. Factors that could cause results to differ from those projected or assumed in any forward-looking statement include, but are not limited to: general economic conditions, including slowdowns and recessions, domestically or internationally; Occidental's indebtedness and other payment obligations, including the need to generate sufficient cash flows to fund operations; Occidental's ability to successfully monetize select assets and repay or refinance debt and the impact of changes in Occidental's credit ratings or future increases in interest rates; assumptions about energy markets; global and local commodity and commodity-futures pricing fluctuations and volatility; supply and demand considerations for, and the prices of, Occidental's products and services; actions by the Organization of the Petroleum Exporting Countries (OPEC) and non-OPEC oil producing countries; results from operations and competitive conditions; future impairments of Occidental's proved and unproved oil and gas properties or equity investments, or write-downs of productive assets, causing charges to earnings; unexpected changes in costs; government actions (including the effects of announced or future tariff increases and other geopolitical, trade, tariff, fiscal and regulatory uncertainties), war (including the Russia-Ukraine war and conflicts in the Middle East) and political conditions and events (such as in Latin America); inflation, its impact on markets and economic activity and related monetary policy actions by governments in response to inflation; availability of capital resources, levels of capital expenditures and contractual obligations; the regulatory approval environment, including Occidental's ability to timely obtain or maintain permits or other government approvals, including those necessary for drilling and/or development projects; Occidental's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or projected synergies, restructuring, increased costs and adverse tax consequences; uncertainties and liabilities associated with acquired and divested properties and businesses, including retained liabilities and indemnification obligations associated with the chemical business; uncertainties about the estimated quantities of oil, NGL and natural gas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and other operational risks; disruptions to, capacity constraints in, or other limitations on the pipeline systems that deliver Occidental's oil and natural gas and other processing and transportation considerations; volatility in the securities, capital or credit markets, including capital market disruptions and instability of financial institutions; health, safety and environmental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Occidental's ability to recognize intended benefits from its business strategies and initiatives, such as Occidental's low-carbon ventures businesses and announced greenhouse gas emissions reduction targets or net-zero goals; changes in government grant or loan programs; potential liability resulting from pending or future litigation, government investigations and other proceedings; disruption or interruption of production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Occidental's counterparties, including financial institutions, operating partners and other parties; failure of risk management; Occidental's ability to retain and hire key personnel; supply, transportation and labor constraints; reorganization or restructuring of Occidental's operations; changes in state, federal or international tax rates, deductions, incentives or credits; and actions by third parties that are beyond Occidental's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information concerning these and other factors that may cause Occidental's results of operations and financial position to differ from expectations can be found in Occidental's other filings with the U.S. Securities and Exchange Commission, including Occidental's Annual Report on Form 10-K for the year ended December 31, 2025, Quarterly Reports on Form 10-Q and Current Reports on Form 8-K.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08" w:before="0" w:after="0"/>
        <w:jc w:val="left"/>
        <w:rPr/>
      </w:pPr>
      <w:r>
        <w:rPr>
          <w:rFonts w:ascii="Arial Narrow;sans-serif" w:hAnsi="Arial Narrow;sans-serif"/>
          <w:b/>
          <w:color w:val="1D83DE"/>
          <w:sz w:val="24"/>
        </w:rPr>
        <w:t>Contacts</w:t>
      </w:r>
      <w:r>
        <w:rPr>
          <w:color w:val="000000"/>
        </w:rPr>
        <w:t xml:space="preserve"> </w:t>
      </w:r>
    </w:p>
    <w:tbl>
      <w:tblPr>
        <w:tblW w:w="3391" w:type="dxa"/>
        <w:jc w:val="left"/>
        <w:tblInd w:w="0" w:type="dxa"/>
        <w:tblLayout w:type="fixed"/>
        <w:tblCellMar>
          <w:top w:w="28" w:type="dxa"/>
          <w:left w:w="28" w:type="dxa"/>
          <w:bottom w:w="28" w:type="dxa"/>
          <w:right w:w="28" w:type="dxa"/>
        </w:tblCellMar>
      </w:tblPr>
      <w:tblGrid>
        <w:gridCol w:w="641"/>
        <w:gridCol w:w="562"/>
        <w:gridCol w:w="567"/>
        <w:gridCol w:w="473"/>
        <w:gridCol w:w="473"/>
        <w:gridCol w:w="67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539B"/>
                <w:sz w:val="20"/>
              </w:rPr>
            </w:pPr>
            <w:r>
              <w:rPr>
                <w:rFonts w:ascii="Arial;sans-serif" w:hAnsi="Arial;sans-serif"/>
                <w:b/>
                <w:color w:val="00539B"/>
                <w:sz w:val="20"/>
              </w:rPr>
              <w:t xml:space="preserve">Media </w:t>
            </w:r>
          </w:p>
        </w:tc>
        <w:tc>
          <w:tcPr>
            <w:tcW w:w="16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539B"/>
                <w:sz w:val="20"/>
              </w:rPr>
            </w:pPr>
            <w:r>
              <w:rPr>
                <w:rFonts w:ascii="Arial;sans-serif" w:hAnsi="Arial;sans-serif"/>
                <w:b/>
                <w:color w:val="00539B"/>
                <w:sz w:val="20"/>
              </w:rPr>
              <w:t>Investors</w:t>
            </w:r>
          </w:p>
        </w:tc>
      </w:tr>
      <w:tr>
        <w:trPr/>
        <w:tc>
          <w:tcPr>
            <w:tcW w:w="177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Eric Moses</w:t>
            </w:r>
          </w:p>
        </w:tc>
        <w:tc>
          <w:tcPr>
            <w:tcW w:w="16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Babatunde A. Cole</w:t>
            </w:r>
          </w:p>
        </w:tc>
      </w:tr>
      <w:tr>
        <w:trPr/>
        <w:tc>
          <w:tcPr>
            <w:tcW w:w="177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713-497-2017</w:t>
            </w:r>
          </w:p>
        </w:tc>
        <w:tc>
          <w:tcPr>
            <w:tcW w:w="16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713-552-8811</w:t>
            </w:r>
          </w:p>
        </w:tc>
      </w:tr>
      <w:tr>
        <w:trPr/>
        <w:tc>
          <w:tcPr>
            <w:tcW w:w="177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539B"/>
                <w:sz w:val="16"/>
                <w:u w:val="single"/>
              </w:rPr>
            </w:pPr>
            <w:r>
              <w:rPr>
                <w:rFonts w:ascii="Arial;sans-serif" w:hAnsi="Arial;sans-serif"/>
                <w:b w:val="false"/>
                <w:color w:val="00539B"/>
                <w:sz w:val="16"/>
                <w:u w:val="single"/>
              </w:rPr>
              <w:t>eric_moses@oxy.com</w:t>
            </w:r>
          </w:p>
        </w:tc>
        <w:tc>
          <w:tcPr>
            <w:tcW w:w="16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539B"/>
                <w:sz w:val="16"/>
                <w:u w:val="single"/>
              </w:rPr>
            </w:pPr>
            <w:r>
              <w:rPr>
                <w:rFonts w:ascii="Arial;sans-serif" w:hAnsi="Arial;sans-serif"/>
                <w:b w:val="false"/>
                <w:color w:val="00539B"/>
                <w:sz w:val="16"/>
                <w:u w:val="single"/>
              </w:rPr>
              <w:t>investors@oxy.com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90" w:type="dxa"/>
        <w:jc w:val="center"/>
        <w:tblInd w:w="0" w:type="dxa"/>
        <w:tblLayout w:type="fixed"/>
        <w:tblCellMar>
          <w:top w:w="28" w:type="dxa"/>
          <w:left w:w="28" w:type="dxa"/>
          <w:bottom w:w="28" w:type="dxa"/>
          <w:right w:w="28" w:type="dxa"/>
        </w:tblCellMar>
      </w:tblPr>
      <w:tblGrid>
        <w:gridCol w:w="1084"/>
        <w:gridCol w:w="954"/>
        <w:gridCol w:w="1352"/>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Occidental Petroleum Corporation</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Second Quarter 2026</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Earnings Release Schedules Index</w:t>
            </w:r>
          </w:p>
        </w:tc>
      </w:tr>
    </w:tbl>
    <w:p>
      <w:pPr>
        <w:pStyle w:val="TextBody"/>
        <w:bidi w:val="0"/>
        <w:spacing w:before="75" w:after="283"/>
        <w:jc w:val="center"/>
        <w:rPr/>
      </w:pPr>
      <w:r>
        <w:rPr/>
      </w:r>
    </w:p>
    <w:p>
      <w:pPr>
        <w:pStyle w:val="TextBody"/>
        <w:bidi w:val="0"/>
        <w:spacing w:lineRule="auto" w:line="288" w:before="95" w:after="283"/>
        <w:jc w:val="left"/>
        <w:rPr>
          <w:rFonts w:ascii="Arial;sans-serif" w:hAnsi="Arial;sans-serif"/>
          <w:b w:val="false"/>
          <w:color w:val="000000"/>
          <w:sz w:val="20"/>
          <w:u w:val="single"/>
        </w:rPr>
      </w:pPr>
      <w:r>
        <w:rPr>
          <w:rFonts w:ascii="Arial;sans-serif" w:hAnsi="Arial;sans-serif"/>
          <w:b w:val="false"/>
          <w:color w:val="000000"/>
          <w:sz w:val="20"/>
          <w:u w:val="single"/>
        </w:rPr>
        <w:t>Schedule # and Description</w:t>
      </w:r>
    </w:p>
    <w:p>
      <w:pPr>
        <w:pStyle w:val="TextBody"/>
        <w:bidi w:val="0"/>
        <w:spacing w:before="95" w:after="283"/>
        <w:jc w:val="left"/>
        <w:rPr/>
      </w:pPr>
      <w:r>
        <w:rPr/>
      </w:r>
    </w:p>
    <w:p>
      <w:pPr>
        <w:pStyle w:val="TextBody"/>
        <w:bidi w:val="0"/>
        <w:spacing w:lineRule="auto" w:line="288" w:before="95" w:after="283"/>
        <w:ind w:left="0" w:right="0" w:hanging="360"/>
        <w:jc w:val="left"/>
        <w:rPr/>
      </w:pPr>
      <w:r>
        <w:rPr>
          <w:rFonts w:ascii="Arial;sans-serif" w:hAnsi="Arial;sans-serif"/>
          <w:b w:val="false"/>
          <w:color w:val="000000"/>
          <w:sz w:val="20"/>
        </w:rPr>
        <w:t>1.</w:t>
      </w:r>
      <w:hyperlink w:anchor="i8718bff4ebba4e9db1ce935371b9ca0a_7">
        <w:r>
          <w:rPr>
            <w:rStyle w:val="InternetLink"/>
            <w:rFonts w:ascii="Arial;sans-serif" w:hAnsi="Arial;sans-serif"/>
            <w:b w:val="false"/>
            <w:color w:val="0000FF"/>
            <w:sz w:val="20"/>
            <w:u w:val="single"/>
          </w:rPr>
          <w:t>Summary Highlights</w:t>
        </w:r>
      </w:hyperlink>
    </w:p>
    <w:p>
      <w:pPr>
        <w:pStyle w:val="TextBody"/>
        <w:bidi w:val="0"/>
        <w:spacing w:lineRule="auto" w:line="288" w:before="95" w:after="283"/>
        <w:ind w:left="0" w:right="0" w:hanging="360"/>
        <w:jc w:val="left"/>
        <w:rPr/>
      </w:pPr>
      <w:r>
        <w:rPr>
          <w:rFonts w:ascii="Arial;sans-serif" w:hAnsi="Arial;sans-serif"/>
          <w:b w:val="false"/>
          <w:color w:val="000000"/>
          <w:sz w:val="20"/>
        </w:rPr>
        <w:t>2.</w:t>
      </w:r>
      <w:hyperlink w:anchor="i8718bff4ebba4e9db1ce935371b9ca0a_10">
        <w:r>
          <w:rPr>
            <w:rStyle w:val="InternetLink"/>
            <w:rFonts w:ascii="Arial;sans-serif" w:hAnsi="Arial;sans-serif"/>
            <w:b w:val="false"/>
            <w:color w:val="0000FF"/>
            <w:sz w:val="20"/>
            <w:u w:val="single"/>
          </w:rPr>
          <w:t>Items Affecting Comparability Detail</w:t>
        </w:r>
      </w:hyperlink>
    </w:p>
    <w:p>
      <w:pPr>
        <w:pStyle w:val="TextBody"/>
        <w:bidi w:val="0"/>
        <w:spacing w:lineRule="auto" w:line="288" w:before="95" w:after="283"/>
        <w:ind w:left="0" w:right="0" w:hanging="360"/>
        <w:jc w:val="left"/>
        <w:rPr/>
      </w:pPr>
      <w:r>
        <w:rPr>
          <w:color w:val="000000"/>
        </w:rPr>
        <w:t>•</w:t>
      </w:r>
      <w:r>
        <w:rPr>
          <w:rFonts w:ascii="Arial;sans-serif" w:hAnsi="Arial;sans-serif"/>
          <w:b w:val="false"/>
          <w:color w:val="000000"/>
          <w:sz w:val="20"/>
        </w:rPr>
        <w:t>Before Tax Allocations</w:t>
      </w:r>
    </w:p>
    <w:p>
      <w:pPr>
        <w:pStyle w:val="TextBody"/>
        <w:bidi w:val="0"/>
        <w:spacing w:lineRule="auto" w:line="288" w:before="95" w:after="283"/>
        <w:ind w:left="0" w:right="0" w:hanging="360"/>
        <w:jc w:val="left"/>
        <w:rPr/>
      </w:pPr>
      <w:r>
        <w:rPr>
          <w:color w:val="000000"/>
        </w:rPr>
        <w:t>•</w:t>
      </w:r>
      <w:r>
        <w:rPr>
          <w:rFonts w:ascii="Arial;sans-serif" w:hAnsi="Arial;sans-serif"/>
          <w:b w:val="false"/>
          <w:color w:val="000000"/>
          <w:sz w:val="20"/>
        </w:rPr>
        <w:t>After Tax Allocations    </w:t>
      </w:r>
    </w:p>
    <w:p>
      <w:pPr>
        <w:pStyle w:val="TextBody"/>
        <w:bidi w:val="0"/>
        <w:spacing w:lineRule="auto" w:line="288" w:before="95" w:after="283"/>
        <w:ind w:left="0" w:right="0" w:hanging="360"/>
        <w:jc w:val="left"/>
        <w:rPr/>
      </w:pPr>
      <w:r>
        <w:rPr>
          <w:rFonts w:ascii="Arial;sans-serif" w:hAnsi="Arial;sans-serif"/>
          <w:b w:val="false"/>
          <w:color w:val="000000"/>
          <w:sz w:val="20"/>
        </w:rPr>
        <w:t>3.</w:t>
      </w:r>
      <w:hyperlink w:anchor="i8718bff4ebba4e9db1ce935371b9ca0a_13">
        <w:r>
          <w:rPr>
            <w:rStyle w:val="InternetLink"/>
            <w:rFonts w:ascii="Arial;sans-serif" w:hAnsi="Arial;sans-serif"/>
            <w:b w:val="false"/>
            <w:color w:val="0000FF"/>
            <w:sz w:val="20"/>
            <w:u w:val="single"/>
          </w:rPr>
          <w:t>Segment Results</w:t>
        </w:r>
      </w:hyperlink>
    </w:p>
    <w:p>
      <w:pPr>
        <w:pStyle w:val="TextBody"/>
        <w:bidi w:val="0"/>
        <w:spacing w:lineRule="auto" w:line="288" w:before="95" w:after="283"/>
        <w:ind w:left="0" w:right="0" w:hanging="360"/>
        <w:jc w:val="left"/>
        <w:rPr/>
      </w:pPr>
      <w:r>
        <w:rPr>
          <w:rFonts w:ascii="Arial;sans-serif" w:hAnsi="Arial;sans-serif"/>
          <w:b w:val="false"/>
          <w:color w:val="000000"/>
          <w:sz w:val="20"/>
        </w:rPr>
        <w:t>a.</w:t>
      </w:r>
      <w:hyperlink w:anchor="i8718bff4ebba4e9db1ce935371b9ca0a_13">
        <w:r>
          <w:rPr>
            <w:rStyle w:val="InternetLink"/>
            <w:rFonts w:ascii="Arial;sans-serif" w:hAnsi="Arial;sans-serif"/>
            <w:b w:val="false"/>
            <w:color w:val="0000FF"/>
            <w:sz w:val="20"/>
            <w:u w:val="single"/>
          </w:rPr>
          <w:t>Reported and Adjusted Segment Results</w:t>
        </w:r>
      </w:hyperlink>
    </w:p>
    <w:p>
      <w:pPr>
        <w:pStyle w:val="TextBody"/>
        <w:bidi w:val="0"/>
        <w:spacing w:lineRule="auto" w:line="288" w:before="95" w:after="283"/>
        <w:ind w:left="0" w:right="0" w:hanging="360"/>
        <w:jc w:val="left"/>
        <w:rPr/>
      </w:pPr>
      <w:r>
        <w:rPr>
          <w:rFonts w:ascii="Arial;sans-serif" w:hAnsi="Arial;sans-serif"/>
          <w:b w:val="false"/>
          <w:color w:val="000000"/>
          <w:sz w:val="20"/>
        </w:rPr>
        <w:t>b.</w:t>
      </w:r>
      <w:hyperlink w:anchor="i8718bff4ebba4e9db1ce935371b9ca0a_16">
        <w:r>
          <w:rPr>
            <w:rStyle w:val="InternetLink"/>
          </w:rPr>
          <w:t>Reconciliation of EPS and Summary of Income Taxes for Adjusted</w:t>
        </w:r>
      </w:hyperlink>
      <w:hyperlink w:anchor="i8718bff4ebba4e9db1ce935371b9ca0a_16">
        <w:r>
          <w:rPr>
            <w:rStyle w:val="InternetLink"/>
          </w:rPr>
          <w:t xml:space="preserve"> </w:t>
        </w:r>
      </w:hyperlink>
      <w:hyperlink w:anchor="i8718bff4ebba4e9db1ce935371b9ca0a_16">
        <w:r>
          <w:rPr>
            <w:rStyle w:val="InternetLink"/>
          </w:rPr>
          <w:t>Segment</w:t>
        </w:r>
      </w:hyperlink>
      <w:hyperlink w:anchor="i8718bff4ebba4e9db1ce935371b9ca0a_16">
        <w:r>
          <w:rPr>
            <w:rStyle w:val="InternetLink"/>
          </w:rPr>
          <w:t xml:space="preserve"> </w:t>
        </w:r>
      </w:hyperlink>
      <w:hyperlink w:anchor="i8718bff4ebba4e9db1ce935371b9ca0a_16">
        <w:r>
          <w:rPr>
            <w:rStyle w:val="InternetLink"/>
          </w:rPr>
          <w:t>Results</w:t>
        </w:r>
      </w:hyperlink>
    </w:p>
    <w:p>
      <w:pPr>
        <w:pStyle w:val="TextBody"/>
        <w:bidi w:val="0"/>
        <w:spacing w:lineRule="auto" w:line="288" w:before="95" w:after="283"/>
        <w:ind w:left="0" w:right="0" w:hanging="360"/>
        <w:jc w:val="left"/>
        <w:rPr/>
      </w:pPr>
      <w:r>
        <w:rPr>
          <w:rFonts w:ascii="Arial;sans-serif" w:hAnsi="Arial;sans-serif"/>
          <w:b w:val="false"/>
          <w:color w:val="000000"/>
          <w:sz w:val="20"/>
        </w:rPr>
        <w:t>4.</w:t>
      </w:r>
      <w:hyperlink w:anchor="i8718bff4ebba4e9db1ce935371b9ca0a_19">
        <w:r>
          <w:rPr>
            <w:rStyle w:val="InternetLink"/>
            <w:rFonts w:ascii="Arial;sans-serif" w:hAnsi="Arial;sans-serif"/>
            <w:b w:val="false"/>
            <w:color w:val="0000FF"/>
            <w:sz w:val="20"/>
            <w:u w:val="single"/>
          </w:rPr>
          <w:t>Consolidated Condensed Statements of Operations</w:t>
        </w:r>
      </w:hyperlink>
    </w:p>
    <w:p>
      <w:pPr>
        <w:pStyle w:val="TextBody"/>
        <w:bidi w:val="0"/>
        <w:spacing w:lineRule="auto" w:line="288" w:before="95" w:after="283"/>
        <w:ind w:left="0" w:right="0" w:hanging="360"/>
        <w:jc w:val="left"/>
        <w:rPr/>
      </w:pPr>
      <w:r>
        <w:rPr>
          <w:rFonts w:ascii="Arial;sans-serif" w:hAnsi="Arial;sans-serif"/>
          <w:b w:val="false"/>
          <w:color w:val="000000"/>
          <w:sz w:val="20"/>
        </w:rPr>
        <w:t>5.</w:t>
      </w:r>
      <w:hyperlink w:anchor="i8718bff4ebba4e9db1ce935371b9ca0a_22">
        <w:r>
          <w:rPr>
            <w:rStyle w:val="InternetLink"/>
            <w:rFonts w:ascii="Arial;sans-serif" w:hAnsi="Arial;sans-serif"/>
            <w:b w:val="false"/>
            <w:color w:val="0000FF"/>
            <w:sz w:val="20"/>
            <w:u w:val="single"/>
          </w:rPr>
          <w:t>Consolidated Condensed Balance Sheets</w:t>
        </w:r>
      </w:hyperlink>
    </w:p>
    <w:p>
      <w:pPr>
        <w:pStyle w:val="TextBody"/>
        <w:bidi w:val="0"/>
        <w:spacing w:lineRule="auto" w:line="288" w:before="95" w:after="283"/>
        <w:ind w:left="0" w:right="0" w:hanging="360"/>
        <w:jc w:val="left"/>
        <w:rPr/>
      </w:pPr>
      <w:r>
        <w:rPr>
          <w:rFonts w:ascii="Arial;sans-serif" w:hAnsi="Arial;sans-serif"/>
          <w:b w:val="false"/>
          <w:color w:val="000000"/>
          <w:sz w:val="20"/>
        </w:rPr>
        <w:t>6.</w:t>
      </w:r>
      <w:hyperlink w:anchor="i8718bff4ebba4e9db1ce935371b9ca0a_25">
        <w:r>
          <w:rPr>
            <w:rStyle w:val="InternetLink"/>
            <w:rFonts w:ascii="Arial;sans-serif" w:hAnsi="Arial;sans-serif"/>
            <w:b w:val="false"/>
            <w:color w:val="0000FF"/>
            <w:sz w:val="20"/>
            <w:u w:val="single"/>
          </w:rPr>
          <w:t>Consolidated Condensed Statements of Cash Flows</w:t>
        </w:r>
      </w:hyperlink>
    </w:p>
    <w:p>
      <w:pPr>
        <w:pStyle w:val="TextBody"/>
        <w:bidi w:val="0"/>
        <w:spacing w:lineRule="auto" w:line="288" w:before="95" w:after="283"/>
        <w:ind w:left="0" w:right="0" w:hanging="360"/>
        <w:jc w:val="left"/>
        <w:rPr/>
      </w:pPr>
      <w:r>
        <w:rPr>
          <w:rFonts w:ascii="Arial;sans-serif" w:hAnsi="Arial;sans-serif"/>
          <w:b w:val="false"/>
          <w:color w:val="000000"/>
          <w:sz w:val="20"/>
        </w:rPr>
        <w:t>a.</w:t>
      </w:r>
      <w:hyperlink w:anchor="i8718bff4ebba4e9db1ce935371b9ca0a_25">
        <w:r>
          <w:rPr>
            <w:rStyle w:val="InternetLink"/>
            <w:rFonts w:ascii="Arial;sans-serif" w:hAnsi="Arial;sans-serif"/>
            <w:b w:val="false"/>
            <w:color w:val="0000FF"/>
            <w:sz w:val="20"/>
            <w:u w:val="single"/>
          </w:rPr>
          <w:t>Consolidated Condensed Statements of Cash Flows</w:t>
        </w:r>
      </w:hyperlink>
    </w:p>
    <w:p>
      <w:pPr>
        <w:pStyle w:val="TextBody"/>
        <w:bidi w:val="0"/>
        <w:spacing w:lineRule="auto" w:line="288" w:before="95" w:after="283"/>
        <w:ind w:left="0" w:right="0" w:hanging="360"/>
        <w:jc w:val="left"/>
        <w:rPr/>
      </w:pPr>
      <w:r>
        <w:rPr>
          <w:rFonts w:ascii="Arial;sans-serif" w:hAnsi="Arial;sans-serif"/>
          <w:b w:val="false"/>
          <w:color w:val="000000"/>
          <w:sz w:val="20"/>
        </w:rPr>
        <w:t>b.</w:t>
      </w:r>
      <w:hyperlink w:anchor="i8718bff4ebba4e9db1ce935371b9ca0a_28">
        <w:r>
          <w:rPr>
            <w:rStyle w:val="InternetLink"/>
            <w:rFonts w:ascii="Arial;sans-serif" w:hAnsi="Arial;sans-serif"/>
            <w:b w:val="false"/>
            <w:color w:val="0000FF"/>
            <w:sz w:val="20"/>
            <w:u w:val="single"/>
          </w:rPr>
          <w:t>Detail of Free Cash Flow (non-GAAP), Capital Expenditures, Net of Noncontrolling Interest (non-GAAP) and Depreciation, Depletion and Amortization</w:t>
        </w:r>
      </w:hyperlink>
    </w:p>
    <w:p>
      <w:pPr>
        <w:pStyle w:val="TextBody"/>
        <w:bidi w:val="0"/>
        <w:spacing w:lineRule="auto" w:line="288" w:before="95" w:after="283"/>
        <w:ind w:left="0" w:right="0" w:hanging="360"/>
        <w:jc w:val="left"/>
        <w:rPr/>
      </w:pPr>
      <w:r>
        <w:rPr>
          <w:rFonts w:ascii="Arial;sans-serif" w:hAnsi="Arial;sans-serif"/>
          <w:b w:val="false"/>
          <w:color w:val="000000"/>
          <w:sz w:val="20"/>
        </w:rPr>
        <w:t>7.</w:t>
      </w:r>
      <w:hyperlink w:anchor="i8718bff4ebba4e9db1ce935371b9ca0a_31">
        <w:r>
          <w:rPr>
            <w:rStyle w:val="InternetLink"/>
            <w:rFonts w:ascii="Arial;sans-serif" w:hAnsi="Arial;sans-serif"/>
            <w:b w:val="false"/>
            <w:color w:val="0000FF"/>
            <w:sz w:val="20"/>
            <w:u w:val="single"/>
          </w:rPr>
          <w:t>Oil &amp; Gas Net Production Volumes Per Day by Geographic Locations</w:t>
        </w:r>
      </w:hyperlink>
    </w:p>
    <w:p>
      <w:pPr>
        <w:pStyle w:val="TextBody"/>
        <w:bidi w:val="0"/>
        <w:spacing w:lineRule="auto" w:line="288" w:before="95" w:after="283"/>
        <w:ind w:left="0" w:right="0" w:hanging="360"/>
        <w:jc w:val="left"/>
        <w:rPr/>
      </w:pPr>
      <w:r>
        <w:rPr>
          <w:color w:val="000000"/>
        </w:rPr>
        <w:t>•</w:t>
      </w:r>
      <w:r>
        <w:rPr>
          <w:rFonts w:ascii="Arial;sans-serif" w:hAnsi="Arial;sans-serif"/>
          <w:b w:val="false"/>
          <w:color w:val="000000"/>
          <w:sz w:val="20"/>
        </w:rPr>
        <w:t>MBOE/D</w:t>
      </w:r>
    </w:p>
    <w:p>
      <w:pPr>
        <w:pStyle w:val="TextBody"/>
        <w:bidi w:val="0"/>
        <w:spacing w:lineRule="auto" w:line="288" w:before="95" w:after="283"/>
        <w:ind w:left="0" w:right="0" w:hanging="360"/>
        <w:jc w:val="left"/>
        <w:rPr/>
      </w:pPr>
      <w:r>
        <w:rPr>
          <w:color w:val="000000"/>
        </w:rPr>
        <w:t>•</w:t>
      </w:r>
      <w:r>
        <w:rPr>
          <w:rFonts w:ascii="Arial;sans-serif" w:hAnsi="Arial;sans-serif"/>
          <w:b w:val="false"/>
          <w:color w:val="000000"/>
          <w:sz w:val="20"/>
        </w:rPr>
        <w:t>By Commodity</w:t>
      </w:r>
    </w:p>
    <w:p>
      <w:pPr>
        <w:pStyle w:val="TextBody"/>
        <w:bidi w:val="0"/>
        <w:spacing w:lineRule="auto" w:line="288" w:before="95" w:after="283"/>
        <w:ind w:left="0" w:right="0" w:hanging="360"/>
        <w:jc w:val="left"/>
        <w:rPr/>
      </w:pPr>
      <w:r>
        <w:rPr>
          <w:rFonts w:ascii="Arial;sans-serif" w:hAnsi="Arial;sans-serif"/>
          <w:b w:val="false"/>
          <w:color w:val="000000"/>
          <w:sz w:val="20"/>
        </w:rPr>
        <w:t>8.</w:t>
      </w:r>
      <w:hyperlink w:anchor="i8718bff4ebba4e9db1ce935371b9ca0a_34">
        <w:r>
          <w:rPr>
            <w:rStyle w:val="InternetLink"/>
            <w:rFonts w:ascii="Arial;sans-serif" w:hAnsi="Arial;sans-serif"/>
            <w:b w:val="false"/>
            <w:color w:val="0000FF"/>
            <w:sz w:val="20"/>
            <w:u w:val="single"/>
          </w:rPr>
          <w:t>Oil &amp; Gas Net Sales Volumes Per Day and Realized Prices by Geographic Locations</w:t>
        </w:r>
      </w:hyperlink>
      <w:r>
        <w:rPr>
          <w:color w:val="000000"/>
        </w:rPr>
        <w:t xml:space="preserve"> </w:t>
      </w:r>
    </w:p>
    <w:p>
      <w:pPr>
        <w:pStyle w:val="TextBody"/>
        <w:bidi w:val="0"/>
        <w:spacing w:lineRule="auto" w:line="288" w:before="95" w:after="283"/>
        <w:ind w:left="0" w:right="0" w:hanging="360"/>
        <w:jc w:val="left"/>
        <w:rPr/>
      </w:pPr>
      <w:r>
        <w:rPr>
          <w:color w:val="000000"/>
        </w:rPr>
        <w:t>•</w:t>
      </w:r>
      <w:r>
        <w:rPr>
          <w:rFonts w:ascii="Arial;sans-serif" w:hAnsi="Arial;sans-serif"/>
          <w:b w:val="false"/>
          <w:color w:val="000000"/>
          <w:sz w:val="20"/>
        </w:rPr>
        <w:t>MBOE/D</w:t>
      </w:r>
    </w:p>
    <w:p>
      <w:pPr>
        <w:pStyle w:val="TextBody"/>
        <w:bidi w:val="0"/>
        <w:spacing w:lineRule="auto" w:line="288" w:before="95" w:after="283"/>
        <w:ind w:left="0" w:right="0" w:hanging="360"/>
        <w:jc w:val="left"/>
        <w:rPr/>
      </w:pPr>
      <w:r>
        <w:rPr>
          <w:color w:val="000000"/>
        </w:rPr>
        <w:t>•</w:t>
      </w:r>
      <w:r>
        <w:rPr>
          <w:rFonts w:ascii="Arial;sans-serif" w:hAnsi="Arial;sans-serif"/>
          <w:b w:val="false"/>
          <w:color w:val="000000"/>
          <w:sz w:val="20"/>
        </w:rPr>
        <w:t>Realized Prices and Related Index Prices</w:t>
      </w:r>
    </w:p>
    <w:p>
      <w:pPr>
        <w:pStyle w:val="TextBody"/>
        <w:bidi w:val="0"/>
        <w:spacing w:lineRule="auto" w:line="288" w:before="95" w:after="283"/>
        <w:ind w:left="0" w:right="0" w:hanging="360"/>
        <w:jc w:val="left"/>
        <w:rPr/>
      </w:pPr>
      <w:r>
        <w:rPr>
          <w:rFonts w:ascii="Arial;sans-serif" w:hAnsi="Arial;sans-serif"/>
          <w:b w:val="false"/>
          <w:color w:val="000000"/>
          <w:sz w:val="20"/>
        </w:rPr>
        <w:t>9.</w:t>
      </w:r>
      <w:hyperlink w:anchor="i8718bff4ebba4e9db1ce935371b9ca0a_37">
        <w:r>
          <w:rPr>
            <w:rStyle w:val="InternetLink"/>
            <w:rFonts w:ascii="Arial;sans-serif" w:hAnsi="Arial;sans-serif"/>
            <w:b w:val="false"/>
            <w:color w:val="0000FF"/>
            <w:sz w:val="20"/>
            <w:u w:val="single"/>
          </w:rPr>
          <w:t>Oil and Gas Metrics</w:t>
        </w:r>
      </w:hyperlink>
    </w:p>
    <w:p>
      <w:pPr>
        <w:pStyle w:val="TextBody"/>
        <w:bidi w:val="0"/>
        <w:spacing w:before="95" w:after="283"/>
        <w:jc w:val="left"/>
        <w:rPr/>
      </w:pPr>
      <w:r>
        <w:rPr/>
      </w:r>
    </w:p>
    <w:p>
      <w:pPr>
        <w:pStyle w:val="TextBody"/>
        <w:bidi w:val="0"/>
        <w:spacing w:before="9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SCHEDULE 1</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Occidental Petroleum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Summary Highlights</w:t>
      </w:r>
    </w:p>
    <w:tbl>
      <w:tblPr>
        <w:tblW w:w="10205" w:type="dxa"/>
        <w:jc w:val="left"/>
        <w:tblInd w:w="0" w:type="dxa"/>
        <w:tblLayout w:type="fixed"/>
        <w:tblCellMar>
          <w:top w:w="28" w:type="dxa"/>
          <w:left w:w="28" w:type="dxa"/>
          <w:bottom w:w="28" w:type="dxa"/>
          <w:right w:w="28" w:type="dxa"/>
        </w:tblCellMar>
      </w:tblPr>
      <w:tblGrid>
        <w:gridCol w:w="654"/>
        <w:gridCol w:w="478"/>
        <w:gridCol w:w="482"/>
        <w:gridCol w:w="166"/>
        <w:gridCol w:w="406"/>
        <w:gridCol w:w="211"/>
        <w:gridCol w:w="166"/>
        <w:gridCol w:w="406"/>
        <w:gridCol w:w="211"/>
        <w:gridCol w:w="166"/>
        <w:gridCol w:w="406"/>
        <w:gridCol w:w="211"/>
        <w:gridCol w:w="166"/>
        <w:gridCol w:w="466"/>
        <w:gridCol w:w="211"/>
        <w:gridCol w:w="109"/>
        <w:gridCol w:w="109"/>
        <w:gridCol w:w="109"/>
        <w:gridCol w:w="166"/>
        <w:gridCol w:w="406"/>
        <w:gridCol w:w="211"/>
        <w:gridCol w:w="109"/>
        <w:gridCol w:w="109"/>
        <w:gridCol w:w="109"/>
        <w:gridCol w:w="166"/>
        <w:gridCol w:w="406"/>
        <w:gridCol w:w="211"/>
        <w:gridCol w:w="166"/>
        <w:gridCol w:w="406"/>
        <w:gridCol w:w="211"/>
        <w:gridCol w:w="166"/>
        <w:gridCol w:w="406"/>
        <w:gridCol w:w="211"/>
        <w:gridCol w:w="166"/>
        <w:gridCol w:w="406"/>
        <w:gridCol w:w="211"/>
        <w:gridCol w:w="166"/>
        <w:gridCol w:w="406"/>
        <w:gridCol w:w="258"/>
      </w:tblGrid>
      <w:tr>
        <w:trPr/>
        <w:tc>
          <w:tcPr>
            <w:tcW w:w="65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8"/>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u w:val="single"/>
              </w:rPr>
            </w:pPr>
            <w:r>
              <w:rPr>
                <w:rFonts w:ascii="Arial;sans-serif" w:hAnsi="Arial;sans-serif"/>
                <w:b/>
                <w:color w:val="000000"/>
                <w:sz w:val="12"/>
                <w:u w:val="single"/>
              </w:rPr>
              <w:t>Quarterly</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1</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2</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3</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1</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2</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3</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4</w:t>
            </w:r>
          </w:p>
        </w:tc>
        <w:tc>
          <w:tcPr>
            <w:tcW w:w="830"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YTD</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Income ($ millions)</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Reported income attributable to common stockholders</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1,647 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3,175 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5,982 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Reported EPS - Diluted ($/share)</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5.89 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Effective tax rate - Reported income - Continuing Operations (%) </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8"/>
              </w:rPr>
            </w:pPr>
            <w:r>
              <w:rPr>
                <w:rFonts w:ascii="Arial;sans-serif" w:hAnsi="Arial;sans-serif"/>
                <w:b w:val="false"/>
                <w:color w:val="000000"/>
                <w:sz w:val="8"/>
              </w:rPr>
              <w:t>(a)</w:t>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33 </w:t>
            </w:r>
          </w:p>
        </w:tc>
        <w:tc>
          <w:tcPr>
            <w:tcW w:w="211"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w:t>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25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income attributable to common stockholders (Non-GAAP) </w:t>
            </w:r>
            <w:r>
              <w:rPr>
                <w:rFonts w:ascii="Arial;sans-serif" w:hAnsi="Arial;sans-serif"/>
                <w:b w:val="false"/>
                <w:color w:val="000000"/>
                <w:sz w:val="8"/>
              </w:rPr>
              <w:t>(b)</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1,675 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3,513 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EPS - Diluted (Non-GAAP) ($/share) </w:t>
            </w:r>
            <w:r>
              <w:rPr>
                <w:rFonts w:ascii="Arial;sans-serif" w:hAnsi="Arial;sans-serif"/>
                <w:b w:val="false"/>
                <w:color w:val="000000"/>
                <w:sz w:val="8"/>
              </w:rPr>
              <w:t>(c)</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3.46 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Effective tax rate - Adjusted income - Continuing Operations (%)</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211"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w:t>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25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Average Shares Outstanding - Reported Income and Adjusted Income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Basic (millions)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941.3 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985.1 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986.4 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988.0 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975.5 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989.8 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997.1 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993.7 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(millions)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1,010.4 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1,003.1 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1,000.1 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1,006.9 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1,009.8 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Daily Production Volumes</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US (MBOE/D)</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1,202 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1,217 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Oil (MBBL/D)</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620 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613 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Worldwide Production (MBOE/D)</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1,434 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1,429 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Worldwide Sales (MBOE/D)</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1,434 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1,430 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Commodity Price Realizations</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Worldwide Oil ($/BBL)</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71.07 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63.76 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64.78 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64.60 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69.91 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96.78 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83.37 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Worldwide NGL ($/BBL)</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25.94 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19.60 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20.60 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21.86 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Domestic Gas ($/MCF)</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(0.26)</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color w:val="000000"/>
                <w:sz w:val="12"/>
              </w:rPr>
              <w:t xml:space="preserve">Free Cash Flow - Continuing Operations ($ millions) (Non-GAAP) </w:t>
            </w:r>
            <w:r>
              <w:rPr>
                <w:rFonts w:ascii="Arial;sans-serif" w:hAnsi="Arial;sans-serif"/>
                <w:b/>
                <w:color w:val="000000"/>
                <w:sz w:val="8"/>
              </w:rPr>
              <w:t>(d)</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Operating cash flow before working capital (Non-GAAP)</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2,771 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2,949 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2,545 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10,673 </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4,610 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7,861 </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Capital expenditures, net of noncontrolling interest (Non-GAAP)</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(1,654)</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(6,227)</w:t>
            </w:r>
          </w:p>
        </w:tc>
        <w:tc>
          <w:tcPr>
            <w:tcW w:w="211"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(1,504)</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(3,093)</w:t>
            </w:r>
          </w:p>
        </w:tc>
        <w:tc>
          <w:tcPr>
            <w:tcW w:w="25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Free Cash Flow Before Working Capital (Non-GAAP)</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1,152 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1,476 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4,446 </w:t>
            </w:r>
          </w:p>
        </w:tc>
        <w:tc>
          <w:tcPr>
            <w:tcW w:w="211"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1,747 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3,021 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4,768 </w:t>
            </w:r>
          </w:p>
        </w:tc>
        <w:tc>
          <w:tcPr>
            <w:tcW w:w="258"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8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u w:val="single"/>
              </w:rPr>
            </w:pPr>
            <w:r>
              <w:rPr>
                <w:rFonts w:ascii="Arial;sans-serif" w:hAnsi="Arial;sans-serif"/>
                <w:b/>
                <w:color w:val="000000"/>
                <w:sz w:val="12"/>
                <w:u w:val="single"/>
              </w:rPr>
              <w:t>Year-to-date</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Mar</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Sep</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Mar</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Sep</w:t>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Income ($ millions)</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Reported income attributable to common stockholders</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3,175 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5,982 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Reported EPS - Diluted ($/share)</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Effective tax rate - Reported income - Continuing Operations (%)</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income attributable to common stockholders (Non-GAAP) </w:t>
            </w:r>
            <w:r>
              <w:rPr>
                <w:rFonts w:ascii="Arial;sans-serif" w:hAnsi="Arial;sans-serif"/>
                <w:b w:val="false"/>
                <w:color w:val="000000"/>
                <w:sz w:val="8"/>
              </w:rPr>
              <w:t>(b)</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3,513 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Adjusted EPS - Diluted (Non-GAAP) ($/share) </w:t>
            </w:r>
            <w:r>
              <w:rPr>
                <w:rFonts w:ascii="Arial;sans-serif" w:hAnsi="Arial;sans-serif"/>
                <w:b w:val="false"/>
                <w:color w:val="000000"/>
                <w:sz w:val="8"/>
              </w:rPr>
              <w:t>(c)</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Effective tax rate - Adjusted income - Continuing Operations (%)</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Average Shares Outstanding - Reported Income and Adjusted Income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Basic (millions)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941.3 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963.5 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971.2 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975.5 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989.8 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993.7 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(millions)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997.0 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999.1 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1,006.9 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1,009.8 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Daily Production Volumes</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US (MBOE/D)</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Oil (MBBL/D)</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Worldwide Production (MBOE/D)</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Worldwide Sales (MBOE/D)</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Commodity Price Realizations</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Worldwide Oil ($/BBL)</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71.07 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67.37 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66.46 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64.60 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69.91 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83.37 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Worldwide NGL ($/BBL)</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25.94 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21.86 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Domestic Gas ($/MCF)</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(0.26)</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2"/>
              </w:rPr>
              <w:t xml:space="preserve">Free Cash Flow - Continuing Operations ($ millions) (Non-GAAP) </w:t>
            </w:r>
            <w:r>
              <w:rPr>
                <w:rFonts w:ascii="Arial;sans-serif" w:hAnsi="Arial;sans-serif"/>
                <w:b/>
                <w:color w:val="000000"/>
                <w:sz w:val="8"/>
              </w:rPr>
              <w:t>(d)</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Operating cash flow before working capital (Non-GAAP)</w:t>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2,771 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5,179 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10,673 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7,861 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7,861 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7,861 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Capital expenditures, net of noncontrolling interest (Non-GAAP)</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(3,273)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(4,746)</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(1,504)</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(3,093)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(3,093)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(3,093)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Free Cash Flow Before Working Capital (Non-GAAP)</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1,152 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1,906 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3,382 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4,446 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1,747 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4,768 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4,768 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2"/>
              </w:rPr>
            </w:pPr>
            <w:r>
              <w:rPr>
                <w:rFonts w:ascii="Arial;sans-serif" w:hAnsi="Arial;sans-serif"/>
                <w:b w:val="false"/>
                <w:color w:val="FFFFFF"/>
                <w:sz w:val="12"/>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2"/>
              </w:rPr>
            </w:pPr>
            <w:r>
              <w:rPr>
                <w:rFonts w:ascii="Arial;sans-serif" w:hAnsi="Arial;sans-serif"/>
                <w:b w:val="false"/>
                <w:color w:val="FFFFFF"/>
                <w:sz w:val="12"/>
              </w:rPr>
              <w:t>4,768 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8"/>
              </w:rPr>
              <w:t xml:space="preserve">(a) </w:t>
            </w:r>
            <w:r>
              <w:rPr>
                <w:rFonts w:ascii="Arial;sans-serif" w:hAnsi="Arial;sans-serif"/>
                <w:b w:val="false"/>
                <w:color w:val="000000"/>
                <w:sz w:val="12"/>
              </w:rPr>
              <w:t xml:space="preserve">Percentage impacted by reported net loss. </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8"/>
              </w:rPr>
              <w:t>(b)</w:t>
            </w:r>
            <w:r>
              <w:rPr>
                <w:color w:val="000000"/>
              </w:rPr>
              <w:t xml:space="preserve"> </w:t>
            </w:r>
            <w:r>
              <w:rPr>
                <w:rFonts w:ascii="Arial;sans-serif" w:hAnsi="Arial;sans-serif"/>
                <w:b w:val="false"/>
                <w:color w:val="000000"/>
                <w:sz w:val="12"/>
              </w:rPr>
              <w:t xml:space="preserve">See schedule 3a for non-GAAP reconciliation. </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8"/>
              </w:rPr>
              <w:t xml:space="preserve">(c) </w:t>
            </w:r>
            <w:r>
              <w:rPr>
                <w:rFonts w:ascii="Arial;sans-serif" w:hAnsi="Arial;sans-serif"/>
                <w:b w:val="false"/>
                <w:color w:val="000000"/>
                <w:sz w:val="12"/>
              </w:rPr>
              <w:t xml:space="preserve">See schedule 3b for non-GAAP reconciliation. </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8"/>
              </w:rPr>
              <w:t>(d)</w:t>
            </w:r>
            <w:r>
              <w:rPr>
                <w:color w:val="000000"/>
              </w:rPr>
              <w:t xml:space="preserve"> </w:t>
            </w:r>
            <w:r>
              <w:rPr>
                <w:rFonts w:ascii="Arial;sans-serif" w:hAnsi="Arial;sans-serif"/>
                <w:b w:val="false"/>
                <w:color w:val="000000"/>
                <w:sz w:val="12"/>
              </w:rPr>
              <w:t>See schedule 6b for non-GAAP reconciliation.</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Occidental Petroleum Corporation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Items Affecting Comparability Detail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(amounts in millions)</w:t>
      </w:r>
    </w:p>
    <w:tbl>
      <w:tblPr>
        <w:tblW w:w="10205" w:type="dxa"/>
        <w:jc w:val="left"/>
        <w:tblInd w:w="0" w:type="dxa"/>
        <w:tblLayout w:type="fixed"/>
        <w:tblCellMar>
          <w:top w:w="28" w:type="dxa"/>
          <w:left w:w="28" w:type="dxa"/>
          <w:bottom w:w="28" w:type="dxa"/>
          <w:right w:w="28" w:type="dxa"/>
        </w:tblCellMar>
      </w:tblPr>
      <w:tblGrid>
        <w:gridCol w:w="1044"/>
        <w:gridCol w:w="809"/>
        <w:gridCol w:w="813"/>
        <w:gridCol w:w="181"/>
        <w:gridCol w:w="406"/>
        <w:gridCol w:w="109"/>
        <w:gridCol w:w="181"/>
        <w:gridCol w:w="406"/>
        <w:gridCol w:w="109"/>
        <w:gridCol w:w="181"/>
        <w:gridCol w:w="406"/>
        <w:gridCol w:w="109"/>
        <w:gridCol w:w="181"/>
        <w:gridCol w:w="416"/>
        <w:gridCol w:w="109"/>
        <w:gridCol w:w="181"/>
        <w:gridCol w:w="406"/>
        <w:gridCol w:w="109"/>
        <w:gridCol w:w="109"/>
        <w:gridCol w:w="109"/>
        <w:gridCol w:w="109"/>
        <w:gridCol w:w="181"/>
        <w:gridCol w:w="511"/>
        <w:gridCol w:w="109"/>
        <w:gridCol w:w="181"/>
        <w:gridCol w:w="391"/>
        <w:gridCol w:w="109"/>
        <w:gridCol w:w="181"/>
        <w:gridCol w:w="406"/>
        <w:gridCol w:w="109"/>
        <w:gridCol w:w="181"/>
        <w:gridCol w:w="406"/>
        <w:gridCol w:w="109"/>
        <w:gridCol w:w="181"/>
        <w:gridCol w:w="511"/>
        <w:gridCol w:w="156"/>
      </w:tblGrid>
      <w:tr>
        <w:trPr/>
        <w:tc>
          <w:tcPr>
            <w:tcW w:w="104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2026</w:t>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u w:val="single"/>
              </w:rPr>
            </w:pPr>
            <w:r>
              <w:rPr>
                <w:rFonts w:ascii="Arial;sans-serif" w:hAnsi="Arial;sans-serif"/>
                <w:b/>
                <w:color w:val="000000"/>
                <w:sz w:val="13"/>
                <w:u w:val="single"/>
              </w:rPr>
              <w:t>Before Tax Allocations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696" w:type="dxa"/>
            <w:gridSpan w:val="3"/>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848" w:type="dxa"/>
            <w:gridSpan w:val="3"/>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YTD</w:t>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Oil &amp; Gas</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Domestic</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Crude oil derivative gains (losses)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0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0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(234)</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Losses on sales of assets and other, net</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(99)</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(45)</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Legal reserves and other</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(105)</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Asset impairments and other charges, net</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 Domestic</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(210)</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(279)</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International</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Gains on sale of assets and other, net</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 International</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 Oil and Gas</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(93)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(180)</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(369)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90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(279)</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Midstream &amp; Marketing</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 xml:space="preserve">Derivative gains (losses), net </w:t>
            </w:r>
            <w:r>
              <w:rPr>
                <w:rFonts w:ascii="Arial;sans-serif" w:hAnsi="Arial;sans-serif"/>
                <w:b w:val="false"/>
                <w:color w:val="000000"/>
                <w:sz w:val="8"/>
              </w:rPr>
              <w:t>(a)</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(231)</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 xml:space="preserve">Gains (losses) on sales of assets and other, net </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301 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 xml:space="preserve">Asset impairments and other charges </w:t>
            </w:r>
            <w:r>
              <w:rPr>
                <w:rFonts w:ascii="Arial;sans-serif" w:hAnsi="Arial;sans-serif"/>
                <w:b w:val="false"/>
                <w:color w:val="000000"/>
                <w:sz w:val="8"/>
              </w:rPr>
              <w:t>(a)</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(487)</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(105)</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Equity method investments fair value gains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 Midstream &amp; Marketing</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(84)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(154)</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(678)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377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(301)</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Corporate</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 xml:space="preserve">Early debt extinguishment </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(190)</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Early retirement costs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(54)</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Acquisition-related costs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 Corporate</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(32)</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(252)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(244)</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66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66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State tax rate revaluation</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Income tax impact on items affecting comparability</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174 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Income (loss) from continuing operations</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(71)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(108)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shd w:fill="C0D9F1" w:val="clear"/>
              </w:rPr>
            </w:pPr>
            <w:r>
              <w:rPr>
                <w:rFonts w:ascii="Arial;sans-serif" w:hAnsi="Arial;sans-serif"/>
                <w:b/>
                <w:color w:val="000000"/>
                <w:sz w:val="13"/>
                <w:shd w:fill="C0D9F1" w:val="clear"/>
              </w:rPr>
              <w:t>(290)</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(1,018)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368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shd w:fill="C0D9F1" w:val="clear"/>
              </w:rPr>
            </w:pPr>
            <w:r>
              <w:rPr>
                <w:rFonts w:ascii="Arial;sans-serif" w:hAnsi="Arial;sans-serif"/>
                <w:b/>
                <w:color w:val="000000"/>
                <w:sz w:val="13"/>
                <w:shd w:fill="C0D9F1" w:val="clear"/>
              </w:rPr>
              <w:t>(650)</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Discontinued operations, net of taxes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262</w:t>
            </w:r>
            <w:r>
              <w:rPr>
                <w:color w:val="000000"/>
              </w:rPr>
              <w:t>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3,123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3,119</w:t>
            </w: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44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148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(242)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06"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(28)</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2,105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3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364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2,469</w:t>
            </w:r>
            <w:r>
              <w:rPr>
                <w:color w:val="000000"/>
              </w:rPr>
              <w:t> </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2026</w:t>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u w:val="single"/>
              </w:rPr>
            </w:pPr>
            <w:r>
              <w:rPr>
                <w:rFonts w:ascii="Arial;sans-serif" w:hAnsi="Arial;sans-serif"/>
                <w:b/>
                <w:color w:val="000000"/>
                <w:sz w:val="13"/>
                <w:u w:val="single"/>
              </w:rPr>
              <w:t>After Tax Allocations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696" w:type="dxa"/>
            <w:gridSpan w:val="3"/>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848" w:type="dxa"/>
            <w:gridSpan w:val="3"/>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YTD</w:t>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Oil &amp; Gas</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Domestic</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Crude oil derivative gains (losses)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0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0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(184)</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Losses on sales of assets and other, net</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(78)</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Legal reserves and other</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Asset impairments and other charges, net</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 Domestic</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(165)</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(219)</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International</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Gains on sale of assets and other, net</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 International</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 Oil and Gas</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(73)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(135)</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(290)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(219)</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Midstream &amp; Marketing</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 xml:space="preserve">Derivative gains (losses), net </w:t>
            </w:r>
            <w:r>
              <w:rPr>
                <w:rFonts w:ascii="Arial;sans-serif" w:hAnsi="Arial;sans-serif"/>
                <w:b w:val="false"/>
                <w:color w:val="000000"/>
                <w:sz w:val="8"/>
              </w:rPr>
              <w:t>(a)</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(181)</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 xml:space="preserve">Gains (losses) on sales of assets and other, net </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236 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 xml:space="preserve">Asset impairments and other charges </w:t>
            </w:r>
            <w:r>
              <w:rPr>
                <w:rFonts w:ascii="Arial;sans-serif" w:hAnsi="Arial;sans-serif"/>
                <w:b w:val="false"/>
                <w:color w:val="000000"/>
                <w:sz w:val="8"/>
              </w:rPr>
              <w:t>(a)</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(381)</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Equity method investments fair value gains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 Midstream &amp; Marketing</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(53)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(120)</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(530)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296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(234)</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Corporate</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Early debt extinguishment</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(149)</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Early retirement costs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Acquisition-related costs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 Corporate</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(25)</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(198)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(197)</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State tax rate revaluation</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Income (loss) from continuing operations</w:t>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(71)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(108)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(290)</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(1,018)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368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(650)</w:t>
            </w:r>
          </w:p>
        </w:tc>
        <w:tc>
          <w:tcPr>
            <w:tcW w:w="15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Discontinued operations, net of taxes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262 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3,119 </w:t>
            </w:r>
          </w:p>
        </w:tc>
        <w:tc>
          <w:tcPr>
            <w:tcW w:w="15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w:t>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44</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22</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148</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(242)</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06"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(28)</w:t>
            </w:r>
          </w:p>
        </w:tc>
        <w:tc>
          <w:tcPr>
            <w:tcW w:w="109"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2,105</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39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364</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2,469 </w:t>
            </w:r>
          </w:p>
        </w:tc>
        <w:tc>
          <w:tcPr>
            <w:tcW w:w="156"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8"/>
              </w:rPr>
              <w:t>(a)</w:t>
            </w:r>
            <w:r>
              <w:rPr>
                <w:color w:val="000000"/>
              </w:rPr>
              <w:t xml:space="preserve"> </w:t>
            </w:r>
            <w:r>
              <w:rPr>
                <w:rFonts w:ascii="Arial;sans-serif" w:hAnsi="Arial;sans-serif"/>
                <w:b w:val="false"/>
                <w:color w:val="000000"/>
                <w:sz w:val="12"/>
              </w:rPr>
              <w:t>2025 included charges and derivative gains (losses) from income from equity investments and other.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3a</w:t>
      </w:r>
    </w:p>
    <w:p>
      <w:pPr>
        <w:pStyle w:val="TextBody"/>
        <w:bidi w:val="0"/>
        <w:spacing w:lineRule="auto" w:line="278" w:before="0" w:after="0"/>
        <w:jc w:val="center"/>
        <w:rPr>
          <w:rFonts w:ascii="Arial;sans-serif" w:hAnsi="Arial;sans-serif"/>
          <w:b/>
          <w:color w:val="000000"/>
          <w:sz w:val="18"/>
        </w:rPr>
      </w:pPr>
      <w:r>
        <w:rPr>
          <w:rFonts w:ascii="Arial;sans-serif" w:hAnsi="Arial;sans-serif"/>
          <w:b/>
          <w:color w:val="000000"/>
          <w:sz w:val="18"/>
        </w:rPr>
        <w:t xml:space="preserve">Occidental Petroleum Corporation </w:t>
      </w:r>
    </w:p>
    <w:p>
      <w:pPr>
        <w:pStyle w:val="TextBody"/>
        <w:bidi w:val="0"/>
        <w:spacing w:lineRule="auto" w:line="278" w:before="0" w:after="0"/>
        <w:jc w:val="center"/>
        <w:rPr>
          <w:rFonts w:ascii="Arial;sans-serif" w:hAnsi="Arial;sans-serif"/>
          <w:b/>
          <w:color w:val="000000"/>
          <w:sz w:val="18"/>
        </w:rPr>
      </w:pPr>
      <w:r>
        <w:rPr>
          <w:rFonts w:ascii="Arial;sans-serif" w:hAnsi="Arial;sans-serif"/>
          <w:b/>
          <w:color w:val="000000"/>
          <w:sz w:val="18"/>
        </w:rPr>
        <w:t>Reported and Adjusted Segment Results</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(amounts in millions, except per share and effective tax rate amounts)</w:t>
      </w:r>
    </w:p>
    <w:tbl>
      <w:tblPr>
        <w:tblW w:w="10205" w:type="dxa"/>
        <w:jc w:val="left"/>
        <w:tblInd w:w="0" w:type="dxa"/>
        <w:tblLayout w:type="fixed"/>
        <w:tblCellMar>
          <w:top w:w="28" w:type="dxa"/>
          <w:left w:w="28" w:type="dxa"/>
          <w:bottom w:w="28" w:type="dxa"/>
          <w:right w:w="28" w:type="dxa"/>
        </w:tblCellMar>
      </w:tblPr>
      <w:tblGrid>
        <w:gridCol w:w="624"/>
        <w:gridCol w:w="352"/>
        <w:gridCol w:w="355"/>
        <w:gridCol w:w="181"/>
        <w:gridCol w:w="496"/>
        <w:gridCol w:w="226"/>
        <w:gridCol w:w="181"/>
        <w:gridCol w:w="436"/>
        <w:gridCol w:w="226"/>
        <w:gridCol w:w="181"/>
        <w:gridCol w:w="436"/>
        <w:gridCol w:w="226"/>
        <w:gridCol w:w="181"/>
        <w:gridCol w:w="439"/>
        <w:gridCol w:w="226"/>
        <w:gridCol w:w="181"/>
        <w:gridCol w:w="511"/>
        <w:gridCol w:w="226"/>
        <w:gridCol w:w="109"/>
        <w:gridCol w:w="109"/>
        <w:gridCol w:w="109"/>
        <w:gridCol w:w="181"/>
        <w:gridCol w:w="511"/>
        <w:gridCol w:w="226"/>
        <w:gridCol w:w="181"/>
        <w:gridCol w:w="511"/>
        <w:gridCol w:w="226"/>
        <w:gridCol w:w="181"/>
        <w:gridCol w:w="406"/>
        <w:gridCol w:w="109"/>
        <w:gridCol w:w="181"/>
        <w:gridCol w:w="406"/>
        <w:gridCol w:w="109"/>
        <w:gridCol w:w="181"/>
        <w:gridCol w:w="511"/>
        <w:gridCol w:w="274"/>
      </w:tblGrid>
      <w:tr>
        <w:trPr/>
        <w:tc>
          <w:tcPr>
            <w:tcW w:w="6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u w:val="single"/>
              </w:rPr>
            </w:pPr>
            <w:r>
              <w:rPr>
                <w:rFonts w:ascii="Arial;sans-serif" w:hAnsi="Arial;sans-serif"/>
                <w:b/>
                <w:color w:val="000000"/>
                <w:sz w:val="12"/>
                <w:u w:val="single"/>
              </w:rPr>
              <w:t>Reported Income</w:t>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1</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2</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3</w:t>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4</w:t>
            </w:r>
          </w:p>
        </w:tc>
        <w:tc>
          <w:tcPr>
            <w:tcW w:w="918" w:type="dxa"/>
            <w:gridSpan w:val="3"/>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1</w:t>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2</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3</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Qtr 4</w:t>
            </w:r>
          </w:p>
        </w:tc>
        <w:tc>
          <w:tcPr>
            <w:tcW w:w="966" w:type="dxa"/>
            <w:gridSpan w:val="3"/>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YTD</w:t>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Domestic</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1,332 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881 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324 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3,055 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703 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2,255 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2,958 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International</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1,531 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908 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Oil &amp; Gas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1,697 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934 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1,300 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4,586 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2,849 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3,866 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Midstream &amp; Marketing</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1,338 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1,251 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Segment income</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1,625 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973 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1,381 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859 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4,838 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4,187 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5,117 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Interest </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(1,079)</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(540)</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(631)</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(272)</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from continuing operations before taxes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1,177 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406 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3,128 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3,915 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4,305 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Taxes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and state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(437)</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(682)</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International</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(584)</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(387)</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from continuing operations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830 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233 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2,107 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3,000 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3,236 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Net income attributable to noncontrolling interest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Preferred stock dividends and redemption premiums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(679)</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(340)</w:t>
            </w:r>
          </w:p>
        </w:tc>
        <w:tc>
          <w:tcPr>
            <w:tcW w:w="274" w:type="dxa"/>
            <w:tcBorders/>
            <w:shd w:fill="C5D9F1"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from continuing operations attributable to common stockholders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1,385 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2,811 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2,863 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Discontinued operations, net of taxes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262 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3,123 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3,119 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income attributable to common stockholders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766</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288</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661</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(68)</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1,647</w:t>
            </w:r>
            <w:r>
              <w:rPr>
                <w:color w:val="000000"/>
              </w:rPr>
              <w:t>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3,175</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2,807</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5,982</w:t>
            </w:r>
            <w:r>
              <w:rPr>
                <w:color w:val="000000"/>
              </w:rPr>
              <w:t>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 xml:space="preserve">Reported diluted income per share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0.77</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0.26</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0.65</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(0.07)</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1.61</w:t>
            </w:r>
            <w:r>
              <w:rPr>
                <w:color w:val="000000"/>
              </w:rPr>
              <w:t>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3.13</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2.75</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5.89</w:t>
            </w:r>
            <w:r>
              <w:rPr>
                <w:color w:val="000000"/>
              </w:rPr>
              <w:t>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Effective Tax Rate - Continuing Operations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u w:val="single"/>
              </w:rPr>
            </w:pPr>
            <w:r>
              <w:rPr>
                <w:rFonts w:ascii="Arial;sans-serif" w:hAnsi="Arial;sans-serif"/>
                <w:b/>
                <w:color w:val="000000"/>
                <w:sz w:val="12"/>
                <w:u w:val="single"/>
              </w:rPr>
              <w:t>Items Affecting Comparability</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Domestic</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(210)</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(279)</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International</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Oil &amp; Gas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(180)</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(369)</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(279)</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Midstream &amp; Marketing</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(154)</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(301)</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Segment income (loss)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(84)</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(126)</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(334)</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(1,047)</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(580)</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Interest </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(190)</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(54)</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(loss) from continuing operations before taxes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(138)</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(145)</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(366)</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(1,299)</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(824)</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Taxes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and state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76 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174 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International</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(loss) from continuing operations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(108)</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(123)</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(290)</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(1,018)</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(650)</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Net income attributable to noncontrolling interest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Preferred stock redemption premiums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5D9F1"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 from continuing operations attributable to common stockholders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(108)</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(123)</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(290)</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(1,018)</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(650)</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Discontinued operations, net of taxes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262 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3,123 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3,119 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income (loss) attributable to common stockholders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44</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22</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148</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(242)</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(28)</w:t>
            </w:r>
          </w:p>
        </w:tc>
        <w:tc>
          <w:tcPr>
            <w:tcW w:w="22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2,105</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364</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2,469</w:t>
            </w:r>
            <w:r>
              <w:rPr>
                <w:color w:val="000000"/>
              </w:rPr>
              <w:t> </w:t>
            </w:r>
          </w:p>
        </w:tc>
        <w:tc>
          <w:tcPr>
            <w:tcW w:w="274"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u w:val="single"/>
              </w:rPr>
              <w:t xml:space="preserve">Adjusted Income (Non-GAAP) </w:t>
            </w:r>
            <w:r>
              <w:rPr>
                <w:rFonts w:ascii="Arial;sans-serif" w:hAnsi="Arial;sans-serif"/>
                <w:b/>
                <w:color w:val="000000"/>
                <w:sz w:val="8"/>
                <w:u w:val="single"/>
              </w:rPr>
              <w:t>(a)</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Domestic</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1,332 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583 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3,265 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1,072 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2,165 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1"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3,237 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International</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1,501 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908 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Oil &amp; Gas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1,697 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999 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748 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4,766 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1,386 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2,759 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4,145 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Midstream &amp; Marketing</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406 </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961 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1,552 </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Adjusted segment income</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1,105 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1,373 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5,172 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1,977 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3,720 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5,697 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Interest </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(1,099)</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(350)</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(579)</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(218)</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Adjusted income from continuing operations before taxes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1,267 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698 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978 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3,494 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1,689 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3,440 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5,129 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Taxes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and state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(513)</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(856)</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International</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(584)</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(387)</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Adjusted income from continuing operations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901 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694 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2,397 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1,254 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2,632 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3,886 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Net income attributable to noncontrolling interest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w:t>
            </w:r>
          </w:p>
        </w:tc>
        <w:tc>
          <w:tcPr>
            <w:tcW w:w="274"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Less: Preferred stock dividends </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(679)</w:t>
            </w:r>
          </w:p>
        </w:tc>
        <w:tc>
          <w:tcPr>
            <w:tcW w:w="226"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(340)</w:t>
            </w:r>
          </w:p>
        </w:tc>
        <w:tc>
          <w:tcPr>
            <w:tcW w:w="274" w:type="dxa"/>
            <w:tcBorders/>
            <w:shd w:fill="C5D9F1"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income attributable to common stockholders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722</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266</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513</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174</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1,675</w:t>
            </w:r>
            <w:r>
              <w:rPr>
                <w:color w:val="000000"/>
              </w:rPr>
              <w:t>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1,070</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2,443</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shd w:fill="FFFFFF" w:val="clear"/>
              </w:rPr>
            </w:pPr>
            <w:r>
              <w:rPr>
                <w:rFonts w:ascii="Arial;sans-serif" w:hAnsi="Arial;sans-serif"/>
                <w:b/>
                <w:color w:val="FFFFFF"/>
                <w:sz w:val="13"/>
                <w:shd w:fill="FFFFFF" w:val="clear"/>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shd w:fill="FFFFFF" w:val="clear"/>
              </w:rPr>
            </w:pPr>
            <w:r>
              <w:rPr>
                <w:color w:val="FFFFFF"/>
                <w:shd w:fill="FFFFFF" w:val="clear"/>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shd w:fill="FFFFFF" w:val="clear"/>
              </w:rPr>
            </w:pPr>
            <w:r>
              <w:rPr>
                <w:rFonts w:ascii="Arial;sans-serif" w:hAnsi="Arial;sans-serif"/>
                <w:b/>
                <w:color w:val="FFFFFF"/>
                <w:sz w:val="13"/>
                <w:shd w:fill="FFFFFF" w:val="clear"/>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shd w:fill="FFFFFF" w:val="clear"/>
              </w:rPr>
            </w:pPr>
            <w:r>
              <w:rPr>
                <w:color w:val="FFFFFF"/>
                <w:shd w:fill="FFFFFF" w:val="clear"/>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3,513</w:t>
            </w:r>
            <w:r>
              <w:rPr>
                <w:color w:val="000000"/>
              </w:rPr>
              <w:t>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diluted earnings per share (Non-GAAP)</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0.73</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0.26</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0.51</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4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0.17</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1.67</w:t>
            </w:r>
            <w:r>
              <w:rPr>
                <w:color w:val="000000"/>
              </w:rPr>
              <w:t>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1.06</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2.40</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1"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3.46</w:t>
            </w:r>
            <w:r>
              <w:rPr>
                <w:color w:val="000000"/>
              </w:rPr>
              <w:t>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Effective Tax Rate - Continuing Operations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31 </w:t>
            </w:r>
          </w:p>
        </w:tc>
        <w:tc>
          <w:tcPr>
            <w:tcW w:w="226"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24 </w:t>
            </w:r>
          </w:p>
        </w:tc>
        <w:tc>
          <w:tcPr>
            <w:tcW w:w="274"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w:t>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Arial;sans-serif" w:hAnsi="Arial;sans-serif"/>
          <w:b w:val="false"/>
          <w:color w:val="000000"/>
          <w:sz w:val="8"/>
        </w:rPr>
        <w:t>(a)</w:t>
      </w:r>
      <w:r>
        <w:rPr>
          <w:color w:val="000000"/>
        </w:rPr>
        <w:t xml:space="preserve"> </w:t>
      </w:r>
      <w:r>
        <w:rPr>
          <w:rFonts w:ascii="Arial;sans-serif" w:hAnsi="Arial;sans-serif"/>
          <w:b w:val="false"/>
          <w:color w:val="000000"/>
          <w:sz w:val="12"/>
        </w:rPr>
        <w:t>Non-GAAP Measure. Adjusted income - continuing operations is a non-GAAP measure. Occidental defines adjusted income - continuing operations as net income excluding the effects of significant transactions and events that affect earnings but vary widely and unpredictably in nature, timing and amount. These events may recur, even across successive reporting periods. This non-GAAP measure is not meant to disassociate those items from management's performance, but rather is meant to provide useful information to investors interested in comparing Occidental's earnings performance between periods. Reported net income is considered representative of management's performance over the long term, and adjusted income - continuing operations is not considered to be an alternative to net income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3b</w:t>
      </w:r>
    </w:p>
    <w:p>
      <w:pPr>
        <w:pStyle w:val="TextBody"/>
        <w:bidi w:val="0"/>
        <w:spacing w:before="0" w:after="0"/>
        <w:jc w:val="right"/>
        <w:rPr/>
      </w:pPr>
      <w:r>
        <w:rPr/>
      </w:r>
    </w:p>
    <w:p>
      <w:pPr>
        <w:pStyle w:val="TextBody"/>
        <w:bidi w:val="0"/>
        <w:spacing w:lineRule="auto" w:line="278" w:before="0" w:after="0"/>
        <w:jc w:val="center"/>
        <w:rPr>
          <w:rFonts w:ascii="Arial;sans-serif" w:hAnsi="Arial;sans-serif"/>
          <w:b/>
          <w:color w:val="000000"/>
          <w:sz w:val="18"/>
        </w:rPr>
      </w:pPr>
      <w:r>
        <w:rPr>
          <w:rFonts w:ascii="Arial;sans-serif" w:hAnsi="Arial;sans-serif"/>
          <w:b/>
          <w:color w:val="000000"/>
          <w:sz w:val="18"/>
        </w:rPr>
        <w:t xml:space="preserve">Occidental Petroleum Corporation </w:t>
      </w:r>
    </w:p>
    <w:p>
      <w:pPr>
        <w:pStyle w:val="TextBody"/>
        <w:bidi w:val="0"/>
        <w:spacing w:lineRule="auto" w:line="278" w:before="0" w:after="0"/>
        <w:jc w:val="center"/>
        <w:rPr>
          <w:rFonts w:ascii="Arial;sans-serif" w:hAnsi="Arial;sans-serif"/>
          <w:b/>
          <w:color w:val="000000"/>
          <w:sz w:val="18"/>
        </w:rPr>
      </w:pPr>
      <w:r>
        <w:rPr>
          <w:rFonts w:ascii="Arial;sans-serif" w:hAnsi="Arial;sans-serif"/>
          <w:b/>
          <w:color w:val="000000"/>
          <w:sz w:val="18"/>
        </w:rPr>
        <w:t>Reconciliation of EPS and Summary of Income Taxes for Adjusted Results</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(amounts in millions, except per share and effective tax rate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53"/>
        <w:gridCol w:w="573"/>
        <w:gridCol w:w="575"/>
        <w:gridCol w:w="199"/>
        <w:gridCol w:w="463"/>
        <w:gridCol w:w="119"/>
        <w:gridCol w:w="199"/>
        <w:gridCol w:w="469"/>
        <w:gridCol w:w="119"/>
        <w:gridCol w:w="199"/>
        <w:gridCol w:w="469"/>
        <w:gridCol w:w="119"/>
        <w:gridCol w:w="199"/>
        <w:gridCol w:w="469"/>
        <w:gridCol w:w="119"/>
        <w:gridCol w:w="199"/>
        <w:gridCol w:w="552"/>
        <w:gridCol w:w="119"/>
        <w:gridCol w:w="119"/>
        <w:gridCol w:w="119"/>
        <w:gridCol w:w="119"/>
        <w:gridCol w:w="199"/>
        <w:gridCol w:w="469"/>
        <w:gridCol w:w="119"/>
        <w:gridCol w:w="199"/>
        <w:gridCol w:w="463"/>
        <w:gridCol w:w="119"/>
        <w:gridCol w:w="199"/>
        <w:gridCol w:w="446"/>
        <w:gridCol w:w="119"/>
        <w:gridCol w:w="199"/>
        <w:gridCol w:w="446"/>
        <w:gridCol w:w="119"/>
        <w:gridCol w:w="199"/>
        <w:gridCol w:w="552"/>
        <w:gridCol w:w="188"/>
      </w:tblGrid>
      <w:tr>
        <w:trPr/>
        <w:tc>
          <w:tcPr>
            <w:tcW w:w="65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ind w:left="0" w:right="0" w:hanging="90"/>
              <w:jc w:val="center"/>
              <w:rPr>
                <w:rFonts w:ascii="Arial;sans-serif" w:hAnsi="Arial;sans-serif"/>
                <w:b/>
                <w:color w:val="000000"/>
                <w:sz w:val="12"/>
              </w:rPr>
            </w:pPr>
            <w:r>
              <w:rPr>
                <w:rFonts w:ascii="Arial;sans-serif" w:hAnsi="Arial;sans-serif"/>
                <w:b/>
                <w:color w:val="000000"/>
                <w:sz w:val="12"/>
              </w:rPr>
              <w:t>2026</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RECONCILIATION OF EARNINGS PER SHARE</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870"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TY</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939"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YTD</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Reported Diluted Earnings Per Share (GAAP)</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0.77 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0.26 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0.65 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(0.07)</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1.61 </w:t>
            </w:r>
          </w:p>
        </w:tc>
        <w:tc>
          <w:tcPr>
            <w:tcW w:w="119"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3.13 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5.89 </w:t>
            </w:r>
          </w:p>
        </w:tc>
        <w:tc>
          <w:tcPr>
            <w:tcW w:w="188"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After-Tax Adjustments for Items Affecting Comparability</w:t>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Oil &amp; Gas</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Domestic</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(0.16)</w:t>
            </w:r>
          </w:p>
        </w:tc>
        <w:tc>
          <w:tcPr>
            <w:tcW w:w="119"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(0.37)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(0.27)</w:t>
            </w:r>
          </w:p>
        </w:tc>
        <w:tc>
          <w:tcPr>
            <w:tcW w:w="188"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International</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0.03 </w:t>
            </w:r>
          </w:p>
        </w:tc>
        <w:tc>
          <w:tcPr>
            <w:tcW w:w="119"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Midstream &amp; Marketing</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(0.13)</w:t>
            </w:r>
          </w:p>
        </w:tc>
        <w:tc>
          <w:tcPr>
            <w:tcW w:w="119"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(0.67)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0.37 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(0.30)</w:t>
            </w:r>
          </w:p>
        </w:tc>
        <w:tc>
          <w:tcPr>
            <w:tcW w:w="188"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Interest </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0.02 </w:t>
            </w:r>
          </w:p>
        </w:tc>
        <w:tc>
          <w:tcPr>
            <w:tcW w:w="119"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(0.19)</w:t>
            </w:r>
          </w:p>
        </w:tc>
        <w:tc>
          <w:tcPr>
            <w:tcW w:w="188"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(0.04)</w:t>
            </w:r>
          </w:p>
        </w:tc>
        <w:tc>
          <w:tcPr>
            <w:tcW w:w="119"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(0.05)</w:t>
            </w:r>
          </w:p>
        </w:tc>
        <w:tc>
          <w:tcPr>
            <w:tcW w:w="188"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Taxes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(0.01)</w:t>
            </w:r>
          </w:p>
        </w:tc>
        <w:tc>
          <w:tcPr>
            <w:tcW w:w="119"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0.17 </w:t>
            </w:r>
          </w:p>
        </w:tc>
        <w:tc>
          <w:tcPr>
            <w:tcW w:w="188" w:type="dxa"/>
            <w:tcBorders/>
            <w:shd w:fill="C5D9F1"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Adjustment to diluted average shares for adjusted income &amp; Warrant Inducements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(0.03)</w:t>
            </w:r>
          </w:p>
        </w:tc>
        <w:tc>
          <w:tcPr>
            <w:tcW w:w="11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Discontinued operations, net of taxes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0.26 </w:t>
            </w:r>
          </w:p>
        </w:tc>
        <w:tc>
          <w:tcPr>
            <w:tcW w:w="11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3.07 </w:t>
            </w:r>
          </w:p>
        </w:tc>
        <w:tc>
          <w:tcPr>
            <w:tcW w:w="188"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After-Tax Adjustments for Items Affecting Comparability</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(0.24)</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(0.06)</w:t>
            </w:r>
          </w:p>
        </w:tc>
        <w:tc>
          <w:tcPr>
            <w:tcW w:w="119"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2.07 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0.35 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2.43 </w:t>
            </w:r>
          </w:p>
        </w:tc>
        <w:tc>
          <w:tcPr>
            <w:tcW w:w="188"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diluted earnings per share (Non-GAAP)</w:t>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0.73 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0.51 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1.67 </w:t>
            </w:r>
          </w:p>
        </w:tc>
        <w:tc>
          <w:tcPr>
            <w:tcW w:w="119"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3.46 </w:t>
            </w:r>
          </w:p>
        </w:tc>
        <w:tc>
          <w:tcPr>
            <w:tcW w:w="188"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Diluted Shares Outstanding - Reported (millions)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982.9</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1,010.4</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1,003.1</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1,002.9</w:t>
            </w:r>
          </w:p>
        </w:tc>
        <w:tc>
          <w:tcPr>
            <w:tcW w:w="870" w:type="dxa"/>
            <w:gridSpan w:val="3"/>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1,006.9</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1,012.2</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3"/>
              </w:rPr>
            </w:pPr>
            <w:r>
              <w:rPr>
                <w:rFonts w:ascii="Arial;sans-serif" w:hAnsi="Arial;sans-serif"/>
                <w:b w:val="false"/>
                <w:color w:val="FFFFFF"/>
                <w:sz w:val="13"/>
              </w:rPr>
              <w:t>0.0</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3"/>
              </w:rPr>
            </w:pPr>
            <w:r>
              <w:rPr>
                <w:rFonts w:ascii="Arial;sans-serif" w:hAnsi="Arial;sans-serif"/>
                <w:b w:val="false"/>
                <w:color w:val="FFFFFF"/>
                <w:sz w:val="13"/>
              </w:rPr>
              <w:t>0.0</w:t>
            </w:r>
          </w:p>
        </w:tc>
        <w:tc>
          <w:tcPr>
            <w:tcW w:w="939" w:type="dxa"/>
            <w:gridSpan w:val="3"/>
            <w:tcBorders/>
            <w:shd w:fill="C5D9F1"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3"/>
              </w:rPr>
            </w:pPr>
            <w:r>
              <w:rPr>
                <w:rFonts w:ascii="Arial;sans-serif" w:hAnsi="Arial;sans-serif"/>
                <w:b w:val="false"/>
                <w:color w:val="000000"/>
                <w:sz w:val="13"/>
              </w:rPr>
              <w:t>1,009.8</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Diluted Shares Outstanding - Adjusted (millions) (Non-GAAP)</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982.9</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1,010.4</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1,003.1</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1,002.9</w:t>
            </w:r>
          </w:p>
        </w:tc>
        <w:tc>
          <w:tcPr>
            <w:tcW w:w="870" w:type="dxa"/>
            <w:gridSpan w:val="3"/>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1,006.9</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1,012.2</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3"/>
              </w:rPr>
            </w:pPr>
            <w:r>
              <w:rPr>
                <w:rFonts w:ascii="Arial;sans-serif" w:hAnsi="Arial;sans-serif"/>
                <w:b w:val="false"/>
                <w:color w:val="FFFFFF"/>
                <w:sz w:val="13"/>
              </w:rPr>
              <w:t>0.0</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3"/>
              </w:rPr>
            </w:pPr>
            <w:r>
              <w:rPr>
                <w:rFonts w:ascii="Arial;sans-serif" w:hAnsi="Arial;sans-serif"/>
                <w:b w:val="false"/>
                <w:color w:val="FFFFFF"/>
                <w:sz w:val="13"/>
              </w:rPr>
              <w:t>0.0</w:t>
            </w:r>
          </w:p>
        </w:tc>
        <w:tc>
          <w:tcPr>
            <w:tcW w:w="939" w:type="dxa"/>
            <w:gridSpan w:val="3"/>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1,009.8</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INCOME TAX BENEFIT (EXPENSE) - CONTINUING OPERATIONS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870"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TY</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939"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YTD</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(286)</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(183)</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(159)</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(597)</w:t>
            </w:r>
          </w:p>
        </w:tc>
        <w:tc>
          <w:tcPr>
            <w:tcW w:w="11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(318)</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(600)</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(918)</w:t>
            </w:r>
          </w:p>
        </w:tc>
        <w:tc>
          <w:tcPr>
            <w:tcW w:w="188"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Deferred</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(500)</w:t>
            </w:r>
          </w:p>
        </w:tc>
        <w:tc>
          <w:tcPr>
            <w:tcW w:w="11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(332)</w:t>
            </w:r>
          </w:p>
        </w:tc>
        <w:tc>
          <w:tcPr>
            <w:tcW w:w="188" w:type="dxa"/>
            <w:tcBorders/>
            <w:shd w:fill="C6D9F1"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ADJUSTED INCOME TAX BENEFIT (EXPENSE) - CONTINUING OPERATIONS</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(366)</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(252)</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(284)</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(195)</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(1,097)</w:t>
            </w:r>
          </w:p>
        </w:tc>
        <w:tc>
          <w:tcPr>
            <w:tcW w:w="11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(435)</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(815)</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2"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(1,250)</w:t>
            </w:r>
          </w:p>
        </w:tc>
        <w:tc>
          <w:tcPr>
            <w:tcW w:w="188"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2"/>
              </w:rPr>
            </w:pPr>
            <w:r>
              <w:rPr>
                <w:rFonts w:ascii="Arial;sans-serif" w:hAnsi="Arial;sans-serif"/>
                <w:b w:val="false"/>
                <w:color w:val="000000"/>
                <w:sz w:val="12"/>
              </w:rPr>
              <w:t>Non-GAAP Measure. Adjusted income - continuing operations is a non-GAAP measure. Occidental defines adjusted income - continuing operations as net income excluding the effects of significant transactions and events that affect earnings but vary widely and unpredictably in nature, timing and amount. These events may recur, even across successive reporting periods. This non-GAAP measure is not meant to disassociate those items from management's performance, but rather is meant to provide useful information to investors interested in comparing Occidental's earnings performance between periods. Reported net income is considered representative of management's performance over the long term, and adjusted income - continuing operations is not considered to be an alternative to net income reported in accordance with GAAP.</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 xml:space="preserve">Occidental Petroleum Corporation </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Consolidated Condensed Statements of Operations</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(amounts in millions, except per-share amounts)</w:t>
      </w:r>
    </w:p>
    <w:tbl>
      <w:tblPr>
        <w:tblW w:w="10205" w:type="dxa"/>
        <w:jc w:val="center"/>
        <w:tblInd w:w="0" w:type="dxa"/>
        <w:tblLayout w:type="fixed"/>
        <w:tblCellMar>
          <w:top w:w="28" w:type="dxa"/>
          <w:left w:w="28" w:type="dxa"/>
          <w:bottom w:w="28" w:type="dxa"/>
          <w:right w:w="28" w:type="dxa"/>
        </w:tblCellMar>
      </w:tblPr>
      <w:tblGrid>
        <w:gridCol w:w="818"/>
        <w:gridCol w:w="371"/>
        <w:gridCol w:w="373"/>
        <w:gridCol w:w="182"/>
        <w:gridCol w:w="501"/>
        <w:gridCol w:w="110"/>
        <w:gridCol w:w="182"/>
        <w:gridCol w:w="501"/>
        <w:gridCol w:w="110"/>
        <w:gridCol w:w="182"/>
        <w:gridCol w:w="501"/>
        <w:gridCol w:w="110"/>
        <w:gridCol w:w="182"/>
        <w:gridCol w:w="501"/>
        <w:gridCol w:w="110"/>
        <w:gridCol w:w="182"/>
        <w:gridCol w:w="576"/>
        <w:gridCol w:w="110"/>
        <w:gridCol w:w="110"/>
        <w:gridCol w:w="110"/>
        <w:gridCol w:w="110"/>
        <w:gridCol w:w="182"/>
        <w:gridCol w:w="516"/>
        <w:gridCol w:w="110"/>
        <w:gridCol w:w="182"/>
        <w:gridCol w:w="516"/>
        <w:gridCol w:w="110"/>
        <w:gridCol w:w="182"/>
        <w:gridCol w:w="410"/>
        <w:gridCol w:w="110"/>
        <w:gridCol w:w="182"/>
        <w:gridCol w:w="410"/>
        <w:gridCol w:w="110"/>
        <w:gridCol w:w="182"/>
        <w:gridCol w:w="576"/>
        <w:gridCol w:w="110"/>
        <w:gridCol w:w="109"/>
        <w:gridCol w:w="109"/>
        <w:gridCol w:w="167"/>
      </w:tblGrid>
      <w:tr>
        <w:trPr/>
        <w:tc>
          <w:tcPr>
            <w:tcW w:w="81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2025</w:t>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2026</w:t>
            </w:r>
          </w:p>
        </w:tc>
        <w:tc>
          <w:tcPr>
            <w:tcW w:w="3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868" w:type="dxa"/>
            <w:gridSpan w:val="3"/>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868" w:type="dxa"/>
            <w:gridSpan w:val="3"/>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YTD</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REVENUES AND OTHER INCOME</w:t>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 xml:space="preserve">Net sales </w:t>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Oil &amp; Gas</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5,009 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5,404 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4,806 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20,902 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4,975 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5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11,857 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Midstream &amp; Marketing</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1,279 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1,723 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Eliminations</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(588)</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(285)</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5,704 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5,258 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5,519 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5,112 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21,593 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5,230 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8,065 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13,295 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Interest, dividends and other income</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219 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163 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Gains (losses) on sale of assets and other, net</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263 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5,738 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5,301 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5,613 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5,423 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22,075 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5,109 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8,327 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13,436 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5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COSTS AND OTHER DEDUCTIONS</w:t>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Oil and gas lease operating expense</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1,217 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1,135 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1,174 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1,155 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4,681 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1,117 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2,235 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Transportation and gathering expense</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452 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1,836 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884 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General and administrative expense</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986 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507 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operating and non-operating expense</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1,556 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688 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Taxes other than on income</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1,030 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601 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Depreciation, depletion and amortization</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1,804 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1,823 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1,959 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7,533 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1,794 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3,641 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Asset impairments and other charges</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60 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158 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Acquisition-related costs</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Exploration expense</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249 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147 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Interest and debt expense, net</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1,079 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540 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4,675 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4,737 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4,773 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4,838 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19,023 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4,855 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4,546 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9,401 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INCOME BEFORE INCOME TAXES AND OTHER ITEMS</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1,063</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564</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840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585</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3,052</w:t>
            </w:r>
            <w:r>
              <w:rPr>
                <w:color w:val="000000"/>
              </w:rPr>
              <w:t>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254</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3,781</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4,035</w:t>
            </w:r>
            <w:r>
              <w:rPr>
                <w:color w:val="000000"/>
              </w:rPr>
              <w:t>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OTHER ITEMS</w:t>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Income (loss) from equity investments and other</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76 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270 </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INCOME FROM CONTINUING OPERATIONS BEFORE INCOME TAXES</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1,177</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560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985</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406</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3,128</w:t>
            </w:r>
            <w:r>
              <w:rPr>
                <w:color w:val="000000"/>
              </w:rPr>
              <w:t>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390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3,915</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4,305</w:t>
            </w:r>
            <w:r>
              <w:rPr>
                <w:color w:val="000000"/>
              </w:rPr>
              <w:t>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 xml:space="preserve">Income tax expense </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(1,021)</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(915)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(1,069)</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INCOME FROM CONTINUING OPERATIONS</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830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338</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706</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233</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2,107</w:t>
            </w:r>
            <w:r>
              <w:rPr>
                <w:color w:val="000000"/>
              </w:rPr>
              <w:t>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236</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3,000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3,236</w:t>
            </w:r>
            <w:r>
              <w:rPr>
                <w:color w:val="000000"/>
              </w:rPr>
              <w:t>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Income (loss) from discontinued operations, net of tax</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262 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3,119 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NET INCOME</w:t>
            </w:r>
          </w:p>
        </w:tc>
        <w:tc>
          <w:tcPr>
            <w:tcW w:w="6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945</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468</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842</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114</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2,369</w:t>
            </w:r>
            <w:r>
              <w:rPr>
                <w:color w:val="000000"/>
              </w:rPr>
              <w:t> </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3,359</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2,996</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6,355</w:t>
            </w:r>
            <w:r>
              <w:rPr>
                <w:color w:val="000000"/>
              </w:rPr>
              <w:t> </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Less: Net income attributable to noncontrolling interest</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5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w:t>
            </w:r>
          </w:p>
        </w:tc>
        <w:tc>
          <w:tcPr>
            <w:tcW w:w="110" w:type="dxa"/>
            <w:tcBorders/>
            <w:shd w:fill="C5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Less: Preferred stock dividend</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(679)</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(340)</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NET INCOME (LOSS) ATTRIBUTABLE TO COMMON STOCKHOLDERS</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766</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288</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661</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(68)</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1,647</w:t>
            </w:r>
            <w:r>
              <w:rPr>
                <w:color w:val="000000"/>
              </w:rPr>
              <w:t>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3,175</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2,807</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tcBorders>
            <w:shd w:fill="C5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5,982</w:t>
            </w:r>
            <w:r>
              <w:rPr>
                <w:color w:val="000000"/>
              </w:rPr>
              <w:t> </w:t>
            </w:r>
          </w:p>
        </w:tc>
        <w:tc>
          <w:tcPr>
            <w:tcW w:w="110" w:type="dxa"/>
            <w:tcBorders>
              <w:top w:val="single" w:sz="8" w:space="0" w:color="000000"/>
            </w:tcBorders>
            <w:shd w:fill="C5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 xml:space="preserve">EARNINGS PER SHARE </w:t>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Income from continuing operations</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0.69 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1.38 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2.86 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Discontinued operations, net</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0.27 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3.12 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BASIC EARNINGS PER COMMON SHARE</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0.81</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0.27</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0.67</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(0.07)</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1.65</w:t>
            </w:r>
            <w:r>
              <w:rPr>
                <w:color w:val="000000"/>
              </w:rPr>
              <w:t> </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3.19</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2.80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5.98</w:t>
            </w:r>
            <w:r>
              <w:rPr>
                <w:color w:val="000000"/>
              </w:rPr>
              <w:t> </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Income from continuing operations</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0.65 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1.35 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2.82 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Discontinued operations, net</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(0.12)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0.26 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(0.01)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3.07 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 xml:space="preserve">DILUTED EARNINGS PER COMMON SHARE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0.77</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0.26</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0.65</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(0.07)</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1.61</w:t>
            </w:r>
            <w:r>
              <w:rPr>
                <w:color w:val="000000"/>
              </w:rPr>
              <w:t> </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3.13</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2.75</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5.89</w:t>
            </w:r>
            <w:r>
              <w:rPr>
                <w:color w:val="000000"/>
              </w:rPr>
              <w:t> </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DIVIDENDS PER COMMON SHARE</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0.96</w:t>
            </w:r>
            <w:r>
              <w:rPr>
                <w:color w:val="000000"/>
              </w:rPr>
              <w:t>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0.26</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0.26</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0.52</w:t>
            </w:r>
            <w:r>
              <w:rPr>
                <w:color w:val="000000"/>
              </w:rPr>
              <w:t>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AVERAGE COMMON SHARES OUTSTANDING</w:t>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BASIC</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941.3</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985.1</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986.4 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975.5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989.8</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997.1</w:t>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993.7</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DILUTED</w:t>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982.9</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1,010.4 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1,003.1 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1,006.9</w:t>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1,012.2 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1,009.8</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INCOME TAX BENEFIT (EXPENSE) - CONTINUING OPERATIONS</w:t>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868"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1</w:t>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2</w:t>
            </w:r>
          </w:p>
        </w:tc>
        <w:tc>
          <w:tcPr>
            <w:tcW w:w="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3</w:t>
            </w:r>
          </w:p>
        </w:tc>
        <w:tc>
          <w:tcPr>
            <w:tcW w:w="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Qtr 4</w:t>
            </w:r>
          </w:p>
        </w:tc>
        <w:tc>
          <w:tcPr>
            <w:tcW w:w="868"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YTD</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CURRENT</w:t>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Federal</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(307)</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29 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State and local</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International</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(587)</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(338)</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(472)</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(234)</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(61)</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(894)</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(104)</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(208)</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(312)</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DEFERRED</w:t>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Federal</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(99)</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(678)</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State and local</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International</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(18)</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(49)</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Total</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125 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(152)</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(112)</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(127)</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(50)</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(707)</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(757)</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 INCOME TAX EXPENSE - CONTINUING OPERATIONS</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(347)</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(222)</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(279)</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(173)</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(1,021)</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(154)</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(915)</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(1,069)</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ADJUSTED G&amp;A, OTHER OPERATING AND NON-OPERATING EXPENSES (NON-GAAP)</w:t>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General and administrative expense</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986 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3"/>
              </w:rPr>
            </w:pPr>
            <w:r>
              <w:rPr>
                <w:rFonts w:ascii="Arial;sans-serif" w:hAnsi="Arial;sans-serif"/>
                <w:b w:val="false"/>
                <w:color w:val="FFFFFF"/>
                <w:sz w:val="13"/>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7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507 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operating and non-operating expense</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1,556 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688 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Total G&amp;A, Other Operating and Non-Operating Expenses (GAAP)</w:t>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567</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702</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595</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678</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2,542</w:t>
            </w:r>
            <w:r>
              <w:rPr>
                <w:color w:val="000000"/>
              </w:rPr>
              <w:t> </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601</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594</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1,195</w:t>
            </w:r>
            <w:r>
              <w:rPr>
                <w:color w:val="000000"/>
              </w:rPr>
              <w:t> </w:t>
            </w:r>
          </w:p>
        </w:tc>
        <w:tc>
          <w:tcPr>
            <w:tcW w:w="110"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Less: Items Affecting Comparability</w:t>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3"/>
              </w:rPr>
              <w:t xml:space="preserve">Adjusted G&amp;A, Other Operating and Non-Operating Expenses (NON-GAAP) </w:t>
            </w:r>
            <w:r>
              <w:rPr>
                <w:rFonts w:ascii="Arial;sans-serif" w:hAnsi="Arial;sans-serif"/>
                <w:b/>
                <w:color w:val="000000"/>
                <w:sz w:val="8"/>
              </w:rPr>
              <w:t>(a)</w:t>
            </w:r>
          </w:p>
        </w:tc>
        <w:tc>
          <w:tcPr>
            <w:tcW w:w="1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567</w:t>
            </w:r>
            <w:r>
              <w:rPr>
                <w:color w:val="000000"/>
              </w:rPr>
              <w:t> </w:t>
            </w:r>
          </w:p>
        </w:tc>
        <w:tc>
          <w:tcPr>
            <w:tcW w:w="1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637</w:t>
            </w:r>
            <w:r>
              <w:rPr>
                <w:color w:val="000000"/>
              </w:rPr>
              <w:t> </w:t>
            </w:r>
          </w:p>
        </w:tc>
        <w:tc>
          <w:tcPr>
            <w:tcW w:w="1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595</w:t>
            </w:r>
            <w:r>
              <w:rPr>
                <w:color w:val="000000"/>
              </w:rPr>
              <w:t> </w:t>
            </w:r>
          </w:p>
        </w:tc>
        <w:tc>
          <w:tcPr>
            <w:tcW w:w="1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0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678</w:t>
            </w:r>
            <w:r>
              <w:rPr>
                <w:color w:val="000000"/>
              </w:rPr>
              <w:t> </w:t>
            </w:r>
          </w:p>
        </w:tc>
        <w:tc>
          <w:tcPr>
            <w:tcW w:w="1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shd w:fill="C6D9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bottom w:val="single" w:sz="8" w:space="0" w:color="000000"/>
            </w:tcBorders>
            <w:shd w:fill="C6D9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2,477</w:t>
            </w:r>
            <w:r>
              <w:rPr>
                <w:color w:val="000000"/>
              </w:rPr>
              <w:t> </w:t>
            </w:r>
          </w:p>
        </w:tc>
        <w:tc>
          <w:tcPr>
            <w:tcW w:w="110" w:type="dxa"/>
            <w:tcBorders>
              <w:top w:val="single" w:sz="8" w:space="0" w:color="000000"/>
              <w:bottom w:val="single" w:sz="8" w:space="0" w:color="000000"/>
            </w:tcBorders>
            <w:shd w:fill="C6D9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601</w:t>
            </w:r>
            <w:r>
              <w:rPr>
                <w:color w:val="000000"/>
              </w:rPr>
              <w:t> </w:t>
            </w:r>
          </w:p>
        </w:tc>
        <w:tc>
          <w:tcPr>
            <w:tcW w:w="1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594</w:t>
            </w:r>
            <w:r>
              <w:rPr>
                <w:color w:val="000000"/>
              </w:rPr>
              <w:t> </w:t>
            </w:r>
          </w:p>
        </w:tc>
        <w:tc>
          <w:tcPr>
            <w:tcW w:w="1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FFFFFF"/>
                <w:sz w:val="13"/>
              </w:rPr>
            </w:pPr>
            <w:r>
              <w:rPr>
                <w:rFonts w:ascii="Arial;sans-serif" w:hAnsi="Arial;sans-serif"/>
                <w:b/>
                <w:color w:val="FFFFFF"/>
                <w:sz w:val="13"/>
              </w:rPr>
              <w:t>$</w:t>
            </w:r>
          </w:p>
        </w:tc>
        <w:tc>
          <w:tcPr>
            <w:tcW w:w="4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FFFFFF"/>
              </w:rPr>
            </w:pPr>
            <w:r>
              <w:rPr>
                <w:color w:val="FFFFFF"/>
              </w:rPr>
              <w:t>— </w:t>
            </w:r>
          </w:p>
        </w:tc>
        <w:tc>
          <w:tcPr>
            <w:tcW w:w="1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single" w:sz="8" w:space="0" w:color="000000"/>
            </w:tcBorders>
            <w:shd w:fill="C6D9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576" w:type="dxa"/>
            <w:tcBorders>
              <w:top w:val="single" w:sz="8" w:space="0" w:color="000000"/>
              <w:bottom w:val="single" w:sz="8" w:space="0" w:color="000000"/>
            </w:tcBorders>
            <w:shd w:fill="C6D9F1"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1,195</w:t>
            </w:r>
            <w:r>
              <w:rPr>
                <w:color w:val="000000"/>
              </w:rPr>
              <w:t> </w:t>
            </w:r>
          </w:p>
        </w:tc>
        <w:tc>
          <w:tcPr>
            <w:tcW w:w="110" w:type="dxa"/>
            <w:tcBorders>
              <w:top w:val="single" w:sz="8" w:space="0" w:color="000000"/>
              <w:bottom w:val="single" w:sz="8" w:space="0" w:color="000000"/>
            </w:tcBorders>
            <w:shd w:fill="C6D9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0"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(a) </w:t>
            </w:r>
            <w:r>
              <w:rPr>
                <w:rFonts w:ascii="Arial;sans-serif" w:hAnsi="Arial;sans-serif"/>
                <w:b w:val="false"/>
                <w:color w:val="000000"/>
                <w:sz w:val="12"/>
              </w:rPr>
              <w:t xml:space="preserve">Non-GAAP Measures. Adjusted G&amp;A, other operating and non-operating expenses is a non-GAAP measure. Occidental defines adjusted G&amp;A, other operating and non-operating expenses as the sum of general and administrative expense and other operating and non-operating expense less items affecting comparability. </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5</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Occidental Petroleum Corporation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Consolidated Condensed Balance Sheets</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(amounts in millions)</w:t>
      </w:r>
    </w:p>
    <w:tbl>
      <w:tblPr>
        <w:tblW w:w="10205" w:type="dxa"/>
        <w:jc w:val="left"/>
        <w:tblInd w:w="0" w:type="dxa"/>
        <w:tblLayout w:type="fixed"/>
        <w:tblCellMar>
          <w:top w:w="28" w:type="dxa"/>
          <w:left w:w="28" w:type="dxa"/>
          <w:bottom w:w="28" w:type="dxa"/>
          <w:right w:w="28" w:type="dxa"/>
        </w:tblCellMar>
      </w:tblPr>
      <w:tblGrid>
        <w:gridCol w:w="1195"/>
        <w:gridCol w:w="991"/>
        <w:gridCol w:w="998"/>
        <w:gridCol w:w="181"/>
        <w:gridCol w:w="586"/>
        <w:gridCol w:w="109"/>
        <w:gridCol w:w="181"/>
        <w:gridCol w:w="586"/>
        <w:gridCol w:w="109"/>
        <w:gridCol w:w="181"/>
        <w:gridCol w:w="586"/>
        <w:gridCol w:w="109"/>
        <w:gridCol w:w="181"/>
        <w:gridCol w:w="586"/>
        <w:gridCol w:w="109"/>
        <w:gridCol w:w="109"/>
        <w:gridCol w:w="109"/>
        <w:gridCol w:w="109"/>
        <w:gridCol w:w="181"/>
        <w:gridCol w:w="586"/>
        <w:gridCol w:w="109"/>
        <w:gridCol w:w="181"/>
        <w:gridCol w:w="586"/>
        <w:gridCol w:w="109"/>
        <w:gridCol w:w="181"/>
        <w:gridCol w:w="406"/>
        <w:gridCol w:w="109"/>
        <w:gridCol w:w="181"/>
        <w:gridCol w:w="406"/>
        <w:gridCol w:w="155"/>
      </w:tblGrid>
      <w:tr>
        <w:trPr/>
        <w:tc>
          <w:tcPr>
            <w:tcW w:w="119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1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12"/>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w:t>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w:t>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CURRENT ASSETS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Cash and cash equivalents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Trade receivables, net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Joint interest receivables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Assets held for sale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PROPERTY, PLANT AND EQUIPMENT</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property, plant and equipment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depreciation, depletion and amortization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(68,239)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(69,835)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(71,809)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property, plant and equipment</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64,553 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64,380 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63,116 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LEASE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INVESTMENTS IN UNCONSOLIDATED ENTITIES </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NON-CURRENT ASSETS HELD FOR SALE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OTHER LONG-TERM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84,967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84,360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83,472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84,186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80,464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80,358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CURRENT LIABILITIES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maturities of long-term debt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Accrued liabilities </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Liabilities held for sale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LONG-TERM DEBT, NET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DEFERRED CREDITS AND OTHER LIABILITIES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 net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 retirement obligations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Non-current liabilities held for sale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deferred credits and liabilities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deferred credits and other liabilities</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EQUITY</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Preferred stock, $1.00 per share par value </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$0.20 per share par value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Accumulated other comprehensive income </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equity</w:t>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EQUITY</w:t>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84,967</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84,360</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83,472</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84,186</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80,464</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80,358</w:t>
            </w:r>
            <w:r>
              <w:rPr>
                <w:color w:val="000000"/>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FFFFFF"/>
              </w:rPr>
            </w:pPr>
            <w:r>
              <w:rPr>
                <w:color w:val="FFFFFF"/>
              </w:rPr>
              <w:t>— </w:t>
            </w:r>
          </w:p>
        </w:tc>
        <w:tc>
          <w:tcPr>
            <w:tcW w:w="15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6a</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Occidental Petroleum Corporation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 xml:space="preserve">Consolidated Condensed Statements of Cash Flows </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(amounts in millions)</w:t>
      </w:r>
    </w:p>
    <w:tbl>
      <w:tblPr>
        <w:tblW w:w="10205" w:type="dxa"/>
        <w:jc w:val="center"/>
        <w:tblInd w:w="0" w:type="dxa"/>
        <w:tblLayout w:type="fixed"/>
        <w:tblCellMar>
          <w:top w:w="28" w:type="dxa"/>
          <w:left w:w="28" w:type="dxa"/>
          <w:bottom w:w="28" w:type="dxa"/>
          <w:right w:w="28" w:type="dxa"/>
        </w:tblCellMar>
      </w:tblPr>
      <w:tblGrid>
        <w:gridCol w:w="674"/>
        <w:gridCol w:w="573"/>
        <w:gridCol w:w="575"/>
        <w:gridCol w:w="181"/>
        <w:gridCol w:w="511"/>
        <w:gridCol w:w="109"/>
        <w:gridCol w:w="181"/>
        <w:gridCol w:w="511"/>
        <w:gridCol w:w="109"/>
        <w:gridCol w:w="181"/>
        <w:gridCol w:w="511"/>
        <w:gridCol w:w="109"/>
        <w:gridCol w:w="181"/>
        <w:gridCol w:w="511"/>
        <w:gridCol w:w="109"/>
        <w:gridCol w:w="181"/>
        <w:gridCol w:w="511"/>
        <w:gridCol w:w="109"/>
        <w:gridCol w:w="109"/>
        <w:gridCol w:w="109"/>
        <w:gridCol w:w="109"/>
        <w:gridCol w:w="181"/>
        <w:gridCol w:w="511"/>
        <w:gridCol w:w="109"/>
        <w:gridCol w:w="181"/>
        <w:gridCol w:w="511"/>
        <w:gridCol w:w="109"/>
        <w:gridCol w:w="181"/>
        <w:gridCol w:w="511"/>
        <w:gridCol w:w="109"/>
        <w:gridCol w:w="181"/>
        <w:gridCol w:w="511"/>
        <w:gridCol w:w="109"/>
        <w:gridCol w:w="181"/>
        <w:gridCol w:w="511"/>
        <w:gridCol w:w="155"/>
      </w:tblGrid>
      <w:tr>
        <w:trPr/>
        <w:tc>
          <w:tcPr>
            <w:tcW w:w="67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801"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847"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w:t>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 FROM OPERATING ACTIVITIES</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2,369 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6,355 </w:t>
            </w:r>
          </w:p>
        </w:tc>
        <w:tc>
          <w:tcPr>
            <w:tcW w:w="155" w:type="dxa"/>
            <w:tcBorders/>
            <w:shd w:fill="C6D9F1"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 to reconcile net income to net cash from operating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Discontinued operations,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(3,119)</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depletion and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7,533 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3,641 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 provision (benefit)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757 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 impairments and other charges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Losses (gains) on sales of assets and other,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Undistributed losses from equity investments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619 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Dry hole expense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charges to income,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Changes in operating assets and liabilities: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trade receivables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inventories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w:t>
            </w:r>
          </w:p>
        </w:tc>
        <w:tc>
          <w:tcPr>
            <w:tcW w:w="155" w:type="dxa"/>
            <w:tcBorders/>
            <w:shd w:fill="C6D9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joint interest receivables and other current assets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w:t>
            </w:r>
          </w:p>
        </w:tc>
        <w:tc>
          <w:tcPr>
            <w:tcW w:w="155" w:type="dxa"/>
            <w:tcBorders/>
            <w:shd w:fill="C6D9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accounts payable and accrued liabilities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(964)</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w:t>
            </w:r>
          </w:p>
        </w:tc>
        <w:tc>
          <w:tcPr>
            <w:tcW w:w="155" w:type="dxa"/>
            <w:tcBorders/>
            <w:shd w:fill="C6D9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current domestic and foreign income taxes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Operating cash flow from continuing operations </w:t>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2,032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2,729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2,447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2,398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9,606</w:t>
            </w:r>
            <w:r>
              <w:rPr>
                <w:color w:val="000000"/>
              </w:rPr>
              <w:t> </w:t>
            </w:r>
          </w:p>
        </w:tc>
        <w:tc>
          <w:tcPr>
            <w:tcW w:w="10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5,086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6,478</w:t>
            </w:r>
            <w:r>
              <w:rPr>
                <w:color w:val="000000"/>
              </w:rPr>
              <w:t> </w:t>
            </w:r>
          </w:p>
        </w:tc>
        <w:tc>
          <w:tcPr>
            <w:tcW w:w="15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cash flow from discontinued operations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926 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(926)</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2,148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2,960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2,790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2,634</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10,532</w:t>
            </w:r>
            <w:r>
              <w:rPr>
                <w:color w:val="000000"/>
              </w:rPr>
              <w:t> </w:t>
            </w:r>
          </w:p>
        </w:tc>
        <w:tc>
          <w:tcPr>
            <w:tcW w:w="10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4,271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5,552</w:t>
            </w:r>
            <w:r>
              <w:rPr>
                <w:color w:val="000000"/>
              </w:rPr>
              <w:t> </w:t>
            </w:r>
          </w:p>
        </w:tc>
        <w:tc>
          <w:tcPr>
            <w:tcW w:w="15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 FROM INVESTING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(6,427)</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(3,143)</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capital accrual</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assets, businesses and equity investments,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sale of assets and equity investments,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2,278 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investments and other,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Investing cash flow from continuing operations</w:t>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(453)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(1,715)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(983)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(4,683)</w:t>
            </w:r>
          </w:p>
        </w:tc>
        <w:tc>
          <w:tcPr>
            <w:tcW w:w="10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(1,613)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(1,782)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(3,395)</w:t>
            </w:r>
          </w:p>
        </w:tc>
        <w:tc>
          <w:tcPr>
            <w:tcW w:w="15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Investing cash flow from discontinued operations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(1,116)</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9,461 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(used) by investing activities</w:t>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(731)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(1,999)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(1,259)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(1,810)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(5,799)</w:t>
            </w:r>
          </w:p>
        </w:tc>
        <w:tc>
          <w:tcPr>
            <w:tcW w:w="10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7,848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(1,782)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6,066</w:t>
            </w:r>
            <w:r>
              <w:rPr>
                <w:color w:val="000000"/>
              </w:rPr>
              <w:t> </w:t>
            </w:r>
          </w:p>
        </w:tc>
        <w:tc>
          <w:tcPr>
            <w:tcW w:w="15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FINANCING CASH FLOW </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Payments of debt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(3,754)</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(8,695)</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dividends paid on common and preferred stock</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(839)</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issuance of common stock</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966 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treasury stock</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Contributions from (distributions to) noncontrolling interests,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payments for purchases of assets and businesses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financing,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Financing cash flow from continuing operations</w:t>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(928)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(1,243)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(1,693)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(971)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(4,835)</w:t>
            </w:r>
          </w:p>
        </w:tc>
        <w:tc>
          <w:tcPr>
            <w:tcW w:w="10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(7,328)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(2,148)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(9,476)</w:t>
            </w:r>
          </w:p>
        </w:tc>
        <w:tc>
          <w:tcPr>
            <w:tcW w:w="15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Financing cash flow from discontinued operations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used by financing activities</w:t>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(1,243)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(1,695)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(974)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(4,844)</w:t>
            </w:r>
          </w:p>
        </w:tc>
        <w:tc>
          <w:tcPr>
            <w:tcW w:w="10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(7,328)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(2,148)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(9,476)</w:t>
            </w:r>
          </w:p>
        </w:tc>
        <w:tc>
          <w:tcPr>
            <w:tcW w:w="15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Increase (decrease) in cash, cash equivalents, </w:t>
              <w:br/>
              <w:t>     restricted cash and restricted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2,142 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Cash, cash equivalents, restricted cash and </w:t>
              <w:br/>
              <w:t>     restricted cash equivalents - beginning of period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2,157 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4,188 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4,188 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2,046 </w:t>
            </w:r>
          </w:p>
        </w:tc>
        <w:tc>
          <w:tcPr>
            <w:tcW w:w="15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restricted cash and restricted</w:t>
              <w:br/>
              <w:t>     cash equivalents - end of period</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2,642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2,360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2,196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2,046</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2,046</w:t>
            </w:r>
            <w:r>
              <w:rPr>
                <w:color w:val="000000"/>
              </w:rPr>
              <w:t> </w:t>
            </w:r>
          </w:p>
        </w:tc>
        <w:tc>
          <w:tcPr>
            <w:tcW w:w="10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3,847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4,188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FFFFFF"/>
                <w:sz w:val="14"/>
              </w:rPr>
              <w:t>4,188</w:t>
            </w: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FFFFFF"/>
                <w:sz w:val="14"/>
              </w:rPr>
              <w:t>4,188</w:t>
            </w: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4,188</w:t>
            </w:r>
            <w:r>
              <w:rPr>
                <w:color w:val="000000"/>
              </w:rPr>
              <w:t> </w:t>
            </w:r>
          </w:p>
        </w:tc>
        <w:tc>
          <w:tcPr>
            <w:tcW w:w="15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6b</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Occidental Petroleum Corporation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Detail of Free Cash Flow, Capital Expenditures and Depreciation, Depletion and Amortization</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(amounts in millions)</w:t>
      </w:r>
    </w:p>
    <w:tbl>
      <w:tblPr>
        <w:tblW w:w="10205" w:type="dxa"/>
        <w:jc w:val="center"/>
        <w:tblInd w:w="0" w:type="dxa"/>
        <w:tblLayout w:type="fixed"/>
        <w:tblCellMar>
          <w:top w:w="28" w:type="dxa"/>
          <w:left w:w="28" w:type="dxa"/>
          <w:bottom w:w="28" w:type="dxa"/>
          <w:right w:w="28" w:type="dxa"/>
        </w:tblCellMar>
      </w:tblPr>
      <w:tblGrid>
        <w:gridCol w:w="757"/>
        <w:gridCol w:w="368"/>
        <w:gridCol w:w="369"/>
        <w:gridCol w:w="192"/>
        <w:gridCol w:w="545"/>
        <w:gridCol w:w="115"/>
        <w:gridCol w:w="192"/>
        <w:gridCol w:w="545"/>
        <w:gridCol w:w="115"/>
        <w:gridCol w:w="192"/>
        <w:gridCol w:w="545"/>
        <w:gridCol w:w="115"/>
        <w:gridCol w:w="192"/>
        <w:gridCol w:w="545"/>
        <w:gridCol w:w="115"/>
        <w:gridCol w:w="192"/>
        <w:gridCol w:w="545"/>
        <w:gridCol w:w="115"/>
        <w:gridCol w:w="115"/>
        <w:gridCol w:w="115"/>
        <w:gridCol w:w="115"/>
        <w:gridCol w:w="192"/>
        <w:gridCol w:w="545"/>
        <w:gridCol w:w="115"/>
        <w:gridCol w:w="192"/>
        <w:gridCol w:w="545"/>
        <w:gridCol w:w="115"/>
        <w:gridCol w:w="192"/>
        <w:gridCol w:w="431"/>
        <w:gridCol w:w="115"/>
        <w:gridCol w:w="192"/>
        <w:gridCol w:w="431"/>
        <w:gridCol w:w="115"/>
        <w:gridCol w:w="192"/>
        <w:gridCol w:w="545"/>
        <w:gridCol w:w="189"/>
      </w:tblGrid>
      <w:tr>
        <w:trPr/>
        <w:tc>
          <w:tcPr>
            <w:tcW w:w="75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852"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926"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w:t>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4"/>
              </w:rPr>
              <w:t>Free Cash Flow Before Working Capital - Continuing Operations (Non-GAAP)</w:t>
            </w:r>
            <w:r>
              <w:rPr>
                <w:color w:val="000000"/>
              </w:rPr>
              <w:t xml:space="preserve"> </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cash flow from continuing operations (GAAP)</w:t>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9,606 </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6,478 </w:t>
            </w:r>
          </w:p>
        </w:tc>
        <w:tc>
          <w:tcPr>
            <w:tcW w:w="18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Plus: Working capital and other, net - continuing operations</w:t>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shd w:fill="C0D9F1" w:val="clear"/>
              </w:rPr>
            </w:pPr>
            <w:r>
              <w:rPr>
                <w:rFonts w:ascii="Arial;sans-serif" w:hAnsi="Arial;sans-serif"/>
                <w:b w:val="false"/>
                <w:color w:val="000000"/>
                <w:sz w:val="14"/>
                <w:shd w:fill="C0D9F1" w:val="clear"/>
              </w:rPr>
              <w:t>1,067 </w:t>
            </w:r>
          </w:p>
        </w:tc>
        <w:tc>
          <w:tcPr>
            <w:tcW w:w="115"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shd w:fill="C0D9F1" w:val="clear"/>
              </w:rPr>
            </w:pPr>
            <w:r>
              <w:rPr>
                <w:rFonts w:ascii="Arial;sans-serif" w:hAnsi="Arial;sans-serif"/>
                <w:b w:val="false"/>
                <w:color w:val="000000"/>
                <w:sz w:val="14"/>
                <w:shd w:fill="C0D9F1" w:val="clear"/>
              </w:rPr>
              <w:t>1,383 </w:t>
            </w:r>
          </w:p>
        </w:tc>
        <w:tc>
          <w:tcPr>
            <w:tcW w:w="189" w:type="dxa"/>
            <w:tcBorders/>
            <w:shd w:fill="C0D9F1"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cash flow from continuing operations before working capital (Non-GAAP)</w:t>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2,771</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2,408</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2,949</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2,545</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10,673</w:t>
            </w:r>
            <w:r>
              <w:rPr>
                <w:color w:val="000000"/>
              </w:rPr>
              <w:t> </w:t>
            </w:r>
          </w:p>
        </w:tc>
        <w:tc>
          <w:tcPr>
            <w:tcW w:w="115"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3,251</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4,610</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7,861</w:t>
            </w:r>
            <w:r>
              <w:rPr>
                <w:color w:val="000000"/>
              </w:rPr>
              <w:t> </w:t>
            </w:r>
          </w:p>
        </w:tc>
        <w:tc>
          <w:tcPr>
            <w:tcW w:w="18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Capital expenditures, net of noncontrolling interest - continuing operations (Non-GAAP)</w:t>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(6,227)</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(3,093)</w:t>
            </w:r>
          </w:p>
        </w:tc>
        <w:tc>
          <w:tcPr>
            <w:tcW w:w="189" w:type="dxa"/>
            <w:tcBorders/>
            <w:shd w:fill="C6D9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Free Cash Flow Before Working Capital - Continuing Operations (Non-GAAP)</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1,152</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754</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1,476</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1,064</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4,446</w:t>
            </w:r>
            <w:r>
              <w:rPr>
                <w:color w:val="000000"/>
              </w:rPr>
              <w:t> </w:t>
            </w:r>
          </w:p>
        </w:tc>
        <w:tc>
          <w:tcPr>
            <w:tcW w:w="115"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1,747</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3,021</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4,768</w:t>
            </w:r>
            <w:r>
              <w:rPr>
                <w:color w:val="000000"/>
              </w:rPr>
              <w:t> </w:t>
            </w:r>
          </w:p>
        </w:tc>
        <w:tc>
          <w:tcPr>
            <w:tcW w:w="18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Capital Expenditures, Net of Noncontrolling Interest - Continuing Operations (Non-GAAP)</w:t>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Oil &amp; Gas</w:t>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(5,615)</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(2,838)</w:t>
            </w:r>
          </w:p>
        </w:tc>
        <w:tc>
          <w:tcPr>
            <w:tcW w:w="18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Midstream &amp; Marketing</w:t>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(720)</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w:t>
            </w:r>
          </w:p>
        </w:tc>
        <w:tc>
          <w:tcPr>
            <w:tcW w:w="18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Corporate </w:t>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189" w:type="dxa"/>
            <w:tcBorders/>
            <w:shd w:fill="C6D9F1"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Capital Expenditures - Continuing Operations (GAAP)</w:t>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(1,682)</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(1,705)</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(1,512)</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(1,528)</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(6,427)</w:t>
            </w:r>
          </w:p>
        </w:tc>
        <w:tc>
          <w:tcPr>
            <w:tcW w:w="11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(1,554)</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(1,589)</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(3,143)</w:t>
            </w:r>
          </w:p>
        </w:tc>
        <w:tc>
          <w:tcPr>
            <w:tcW w:w="18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Contributions from noncontrolling interests</w:t>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89" w:type="dxa"/>
            <w:tcBorders/>
            <w:shd w:fill="C6D9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Capital Contributions, Net of Noncontrolling Interest - Continuing Operations (Non-GAAP)</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(1,619)</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(1,654)</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(1,473)</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(1,481)</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(6,227)</w:t>
            </w:r>
          </w:p>
        </w:tc>
        <w:tc>
          <w:tcPr>
            <w:tcW w:w="115"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(1,504)</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(1,589)</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(3,093)</w:t>
            </w:r>
          </w:p>
        </w:tc>
        <w:tc>
          <w:tcPr>
            <w:tcW w:w="18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Depreciation, Depletion and Amortization - Continuing Operations</w:t>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Oil &amp; Gas</w:t>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United States</w:t>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6,600 </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31" w:type="dxa"/>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5"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3,179 </w:t>
            </w:r>
          </w:p>
        </w:tc>
        <w:tc>
          <w:tcPr>
            <w:tcW w:w="18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International</w:t>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515 </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256 </w:t>
            </w:r>
          </w:p>
        </w:tc>
        <w:tc>
          <w:tcPr>
            <w:tcW w:w="18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Midstream &amp; Marketing</w:t>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294 </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18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Corporate </w:t>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15"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89" w:type="dxa"/>
            <w:tcBorders/>
            <w:shd w:fill="C6D9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Depreciation, Depletion and Amortization - Continuing Operations</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1,804</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1,823</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1,947</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1,959</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7,533</w:t>
            </w:r>
            <w:r>
              <w:rPr>
                <w:color w:val="000000"/>
              </w:rPr>
              <w:t> </w:t>
            </w:r>
          </w:p>
        </w:tc>
        <w:tc>
          <w:tcPr>
            <w:tcW w:w="115"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1,794</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1,847</w:t>
            </w:r>
            <w:r>
              <w:rPr>
                <w:color w:val="000000"/>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w:t>
            </w:r>
          </w:p>
        </w:tc>
        <w:tc>
          <w:tcPr>
            <w:tcW w:w="4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45" w:type="dxa"/>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3,641</w:t>
            </w:r>
            <w:r>
              <w:rPr>
                <w:color w:val="000000"/>
              </w:rPr>
              <w:t> </w:t>
            </w:r>
          </w:p>
        </w:tc>
        <w:tc>
          <w:tcPr>
            <w:tcW w:w="189" w:type="dxa"/>
            <w:tcBorders>
              <w:top w:val="single" w:sz="8" w:space="0" w:color="000000"/>
            </w:tcBorders>
            <w:shd w:fill="C6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Non-GAAP Measures. Operating cash flow before working capital - continuing operations, capital expenditures, net of noncontrolling interest - continuing operations and free cash flow before working capital - continuing operations are non-GAAP measures. Occidental defines operating cash flow before working capital - continuing operations as operating cash flow less working capital from continuing operations. Capital expenditures, net of noncontrolling interest - continuing operations is defined as capital expenditures from continuing operations less contributions from noncontrolling interest. Free cash flow before working capital - continuing operations is defined as operating cash flow before working capital - continuing operations less capital expenditures, net of noncontrolling interest - continuing operations. These non-GAAP measures are not meant to disassociate those items from management's performance, but rather are meant to provide useful information to investors interested in comparing Occidental's performance between periods. Reported operating cash flow and capital expenditures are considered representative of management's performance over the long term, and operating cash flow before working capital - continuing operations, capital expenditures, net of noncontrolling interest - continuing operations and free cash flow before working capital - continuing operations are not considered to be alternatives to reported operating cash flow and capital expenditures in accordance with GAAP.</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7</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Occidental Petroleum Corporation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Oil &amp; Gas Net Production Volumes Per Day by Geographic Locations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TOTAL REPORTED PRODUCTION</w:t>
      </w:r>
    </w:p>
    <w:tbl>
      <w:tblPr>
        <w:tblW w:w="9606" w:type="dxa"/>
        <w:jc w:val="center"/>
        <w:tblInd w:w="0" w:type="dxa"/>
        <w:tblLayout w:type="fixed"/>
        <w:tblCellMar>
          <w:top w:w="28" w:type="dxa"/>
          <w:left w:w="28" w:type="dxa"/>
          <w:bottom w:w="28" w:type="dxa"/>
          <w:right w:w="28" w:type="dxa"/>
        </w:tblCellMar>
      </w:tblPr>
      <w:tblGrid>
        <w:gridCol w:w="1063"/>
        <w:gridCol w:w="937"/>
        <w:gridCol w:w="940"/>
        <w:gridCol w:w="255"/>
        <w:gridCol w:w="256"/>
        <w:gridCol w:w="145"/>
        <w:gridCol w:w="255"/>
        <w:gridCol w:w="256"/>
        <w:gridCol w:w="145"/>
        <w:gridCol w:w="255"/>
        <w:gridCol w:w="256"/>
        <w:gridCol w:w="145"/>
        <w:gridCol w:w="255"/>
        <w:gridCol w:w="256"/>
        <w:gridCol w:w="145"/>
        <w:gridCol w:w="255"/>
        <w:gridCol w:w="256"/>
        <w:gridCol w:w="109"/>
        <w:gridCol w:w="109"/>
        <w:gridCol w:w="109"/>
        <w:gridCol w:w="109"/>
        <w:gridCol w:w="255"/>
        <w:gridCol w:w="256"/>
        <w:gridCol w:w="145"/>
        <w:gridCol w:w="255"/>
        <w:gridCol w:w="256"/>
        <w:gridCol w:w="145"/>
        <w:gridCol w:w="203"/>
        <w:gridCol w:w="203"/>
        <w:gridCol w:w="145"/>
        <w:gridCol w:w="203"/>
        <w:gridCol w:w="203"/>
        <w:gridCol w:w="145"/>
        <w:gridCol w:w="255"/>
        <w:gridCol w:w="256"/>
        <w:gridCol w:w="170"/>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REPORTED NET MBOE VOLUMES PER DAY:</w:t>
            </w:r>
          </w:p>
        </w:tc>
        <w:tc>
          <w:tcPr>
            <w:tcW w:w="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620"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5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5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681"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United States </w:t>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Permian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786 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796 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Rockies &amp; Other Domestic</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Gulf of America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1,167 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1,167 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1,246 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1,202 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International</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Algeria and Other International</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 Hosn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Dolphin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Oman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REPORTED PRODUCTION</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1,391</w:t>
            </w: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1,400</w:t>
            </w: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1,465</w:t>
            </w: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1,481</w:t>
            </w: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1,434</w:t>
            </w:r>
            <w:r>
              <w:rPr>
                <w:color w:val="000000"/>
              </w:rPr>
              <w:t>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1,426</w:t>
            </w: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1,433</w:t>
            </w: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1,429</w:t>
            </w:r>
            <w:r>
              <w:rPr>
                <w:color w:val="000000"/>
              </w:rPr>
              <w:t>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REPORTED NET PRODUCTION </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VOLUMES PER DAY BY COMMODITY:</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United States </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Oil (MBBL)</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Permian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Rockies &amp; Other Domestic</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Gulf of America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601 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604 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634 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NGL (MBBL)</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Permian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Rockies &amp; Other Domestic</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Gulf of America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Natural Gas (MMCF)</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Permian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1,011 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1,081 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Rockies &amp; Other Domestic</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686 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680 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Gulf of America</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1,756 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1,701 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1,770 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1,847 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1,765 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1,867 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1,836 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International</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Oil (MBBL)</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Algeria and Other International</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 Hosn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Dolphin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Oman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7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NGL (MBBL)</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Algeria and Other International</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 Hosn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Dolphin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Natural Gas (MMCF)</w:t>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Algeria and Other International</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 Hosn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Dolphin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Oman</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09"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55 </w:t>
            </w:r>
          </w:p>
        </w:tc>
        <w:tc>
          <w:tcPr>
            <w:tcW w:w="170"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499 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467 </w:t>
            </w:r>
          </w:p>
        </w:tc>
        <w:tc>
          <w:tcPr>
            <w:tcW w:w="17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right"/>
        <w:rPr>
          <w:rFonts w:ascii="Arial;sans-serif" w:hAnsi="Arial;sans-serif"/>
          <w:b/>
          <w:color w:val="000000"/>
          <w:sz w:val="18"/>
        </w:rPr>
      </w:pPr>
      <w:r>
        <w:rPr>
          <w:rFonts w:ascii="Arial;sans-serif" w:hAnsi="Arial;sans-serif"/>
          <w:b/>
          <w:color w:val="000000"/>
          <w:sz w:val="18"/>
        </w:rPr>
        <w:t>SCHEDULE 8</w:t>
      </w:r>
    </w:p>
    <w:p>
      <w:pPr>
        <w:pStyle w:val="TextBody"/>
        <w:bidi w:val="0"/>
        <w:spacing w:before="0" w:after="0"/>
        <w:ind w:left="0" w:right="0" w:firstLine="720"/>
        <w:jc w:val="right"/>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 xml:space="preserve">Occidental Petroleum Corporation </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 xml:space="preserve">Oil &amp; Gas Net Sales Volumes Per Day and Realized Prices by Geographic Locations </w:t>
      </w:r>
    </w:p>
    <w:tbl>
      <w:tblPr>
        <w:tblW w:w="10205" w:type="dxa"/>
        <w:jc w:val="left"/>
        <w:tblInd w:w="0" w:type="dxa"/>
        <w:tblLayout w:type="fixed"/>
        <w:tblCellMar>
          <w:top w:w="28" w:type="dxa"/>
          <w:left w:w="28" w:type="dxa"/>
          <w:bottom w:w="28" w:type="dxa"/>
          <w:right w:w="28" w:type="dxa"/>
        </w:tblCellMar>
      </w:tblPr>
      <w:tblGrid>
        <w:gridCol w:w="636"/>
        <w:gridCol w:w="455"/>
        <w:gridCol w:w="456"/>
        <w:gridCol w:w="181"/>
        <w:gridCol w:w="496"/>
        <w:gridCol w:w="226"/>
        <w:gridCol w:w="181"/>
        <w:gridCol w:w="496"/>
        <w:gridCol w:w="226"/>
        <w:gridCol w:w="181"/>
        <w:gridCol w:w="496"/>
        <w:gridCol w:w="226"/>
        <w:gridCol w:w="181"/>
        <w:gridCol w:w="496"/>
        <w:gridCol w:w="226"/>
        <w:gridCol w:w="181"/>
        <w:gridCol w:w="496"/>
        <w:gridCol w:w="226"/>
        <w:gridCol w:w="109"/>
        <w:gridCol w:w="109"/>
        <w:gridCol w:w="109"/>
        <w:gridCol w:w="181"/>
        <w:gridCol w:w="496"/>
        <w:gridCol w:w="226"/>
        <w:gridCol w:w="181"/>
        <w:gridCol w:w="496"/>
        <w:gridCol w:w="226"/>
        <w:gridCol w:w="204"/>
        <w:gridCol w:w="204"/>
        <w:gridCol w:w="120"/>
        <w:gridCol w:w="204"/>
        <w:gridCol w:w="204"/>
        <w:gridCol w:w="120"/>
        <w:gridCol w:w="181"/>
        <w:gridCol w:w="496"/>
        <w:gridCol w:w="277"/>
      </w:tblGrid>
      <w:tr>
        <w:trPr/>
        <w:tc>
          <w:tcPr>
            <w:tcW w:w="6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SALES MBOE VOLUMES PER DAY:</w:t>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903"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954"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w:t>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0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United States </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1,202 </w:t>
            </w:r>
          </w:p>
        </w:tc>
        <w:tc>
          <w:tcPr>
            <w:tcW w:w="22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1,217 </w:t>
            </w:r>
          </w:p>
        </w:tc>
        <w:tc>
          <w:tcPr>
            <w:tcW w:w="277"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International</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Algeria and Other International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2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277"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 Hosn</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22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80 </w:t>
            </w:r>
          </w:p>
        </w:tc>
        <w:tc>
          <w:tcPr>
            <w:tcW w:w="277"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Dolphin</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22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277"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Oman</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226"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0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277" w:type="dxa"/>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232 </w:t>
            </w:r>
          </w:p>
        </w:tc>
        <w:tc>
          <w:tcPr>
            <w:tcW w:w="22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213 </w:t>
            </w:r>
          </w:p>
        </w:tc>
        <w:tc>
          <w:tcPr>
            <w:tcW w:w="277"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0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REPORTED SALES</w:t>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1,391</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1,397</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1,468</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1,480</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1,434</w:t>
            </w:r>
            <w:r>
              <w:rPr>
                <w:color w:val="000000"/>
              </w:rPr>
              <w:t> </w:t>
            </w:r>
          </w:p>
        </w:tc>
        <w:tc>
          <w:tcPr>
            <w:tcW w:w="226"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1,428</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1,433</w:t>
            </w:r>
            <w:r>
              <w:rPr>
                <w:color w:val="000000"/>
              </w:rPr>
              <w:t>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1,430</w:t>
            </w:r>
            <w:r>
              <w:rPr>
                <w:color w:val="000000"/>
              </w:rPr>
              <w:t> </w:t>
            </w:r>
          </w:p>
        </w:tc>
        <w:tc>
          <w:tcPr>
            <w:tcW w:w="277"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REALIZED PRICES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United States </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Oil ($/BBL)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62.83 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64.55 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64.01 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96.93 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83.72 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NGL ($/BBL)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19.96 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21.19 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Natural Gas ($/MCF)</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(0.26)</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International</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Oil ($/BBL)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68.88 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66.03 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64.68 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67.93 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67.59 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95.83 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81.32 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NGL ($/BBL)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25.43 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28.08 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Natural Gas ($/MCF)</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Worldwide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Oil ($/BBL)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71.07 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63.76 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64.60 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83.37 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NGL ($/BBL)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20.60 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21.86 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Natural Gas ($/MCF)</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0.19 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Index Prices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WTI Oil ($/BBL)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63.74 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64.93 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64.81 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82.36 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Brent Oil ($/BBL)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63.09 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68.18 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97.06 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87.49 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NYMEX Natural Gas ($/MCF)</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3.55 </w:t>
            </w:r>
          </w:p>
        </w:tc>
        <w:tc>
          <w:tcPr>
            <w:tcW w:w="226"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3.41 </w:t>
            </w:r>
          </w:p>
        </w:tc>
        <w:tc>
          <w:tcPr>
            <w:tcW w:w="277"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Percentage of Index Prices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Worldwide Oil as a percentage of WTI</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22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277"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Worldwide Oil as a percentage of Brent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22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277"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Worldwide NGL as a percentage of WTI</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2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77"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Worldwide NGL as a percentage of Brent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2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277"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Domestic Natural Gas as a percentage of NYMEX</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226"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4"/>
              </w:rPr>
            </w:pPr>
            <w:r>
              <w:rPr>
                <w:rFonts w:ascii="Arial;sans-serif" w:hAnsi="Arial;sans-serif"/>
                <w:b w:val="false"/>
                <w:color w:val="FFFFFF"/>
                <w:sz w:val="14"/>
              </w:rPr>
              <w:t>#DIV/0!</w:t>
            </w:r>
          </w:p>
        </w:tc>
        <w:tc>
          <w:tcPr>
            <w:tcW w:w="677"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77"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SCHEDULE 9</w:t>
      </w:r>
    </w:p>
    <w:p>
      <w:pPr>
        <w:pStyle w:val="TextBody"/>
        <w:bidi w:val="0"/>
        <w:spacing w:before="0" w:after="0"/>
        <w:jc w:val="right"/>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 xml:space="preserve">Occidental Petroleum Corporation </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Oil &amp; Gas Metrics</w:t>
      </w:r>
    </w:p>
    <w:tbl>
      <w:tblPr>
        <w:tblW w:w="10205" w:type="dxa"/>
        <w:jc w:val="left"/>
        <w:tblInd w:w="0" w:type="dxa"/>
        <w:tblLayout w:type="fixed"/>
        <w:tblCellMar>
          <w:top w:w="28" w:type="dxa"/>
          <w:left w:w="28" w:type="dxa"/>
          <w:bottom w:w="28" w:type="dxa"/>
          <w:right w:w="28" w:type="dxa"/>
        </w:tblCellMar>
      </w:tblPr>
      <w:tblGrid>
        <w:gridCol w:w="818"/>
        <w:gridCol w:w="574"/>
        <w:gridCol w:w="579"/>
        <w:gridCol w:w="181"/>
        <w:gridCol w:w="518"/>
        <w:gridCol w:w="109"/>
        <w:gridCol w:w="181"/>
        <w:gridCol w:w="518"/>
        <w:gridCol w:w="109"/>
        <w:gridCol w:w="181"/>
        <w:gridCol w:w="518"/>
        <w:gridCol w:w="109"/>
        <w:gridCol w:w="181"/>
        <w:gridCol w:w="518"/>
        <w:gridCol w:w="109"/>
        <w:gridCol w:w="181"/>
        <w:gridCol w:w="518"/>
        <w:gridCol w:w="109"/>
        <w:gridCol w:w="109"/>
        <w:gridCol w:w="109"/>
        <w:gridCol w:w="109"/>
        <w:gridCol w:w="181"/>
        <w:gridCol w:w="518"/>
        <w:gridCol w:w="109"/>
        <w:gridCol w:w="181"/>
        <w:gridCol w:w="518"/>
        <w:gridCol w:w="109"/>
        <w:gridCol w:w="181"/>
        <w:gridCol w:w="406"/>
        <w:gridCol w:w="109"/>
        <w:gridCol w:w="181"/>
        <w:gridCol w:w="406"/>
        <w:gridCol w:w="109"/>
        <w:gridCol w:w="181"/>
        <w:gridCol w:w="518"/>
        <w:gridCol w:w="160"/>
      </w:tblGrid>
      <w:tr>
        <w:trPr/>
        <w:tc>
          <w:tcPr>
            <w:tcW w:w="81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808"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1</w:t>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2</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3</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Qtr 4</w:t>
            </w:r>
          </w:p>
        </w:tc>
        <w:tc>
          <w:tcPr>
            <w:tcW w:w="859" w:type="dxa"/>
            <w:gridSpan w:val="3"/>
            <w:tcBorders>
              <w:top w:val="single" w:sz="8" w:space="0" w:color="000000"/>
            </w:tcBorders>
            <w:shd w:fill="C6D9F1"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6D9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Lease operating expenses ($/BOE)</w:t>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United States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8.35 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7.82 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International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13.25 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Oil and Gas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Transportation costs ($/BOE)</w:t>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United States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3.58 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Oil and Gas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Taxes other than on income ($/BOE)</w:t>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United States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Oil and Gas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DD&amp;A expense ($/BOE)</w:t>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United States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14.43 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International</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6.07 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6.62 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Oil and Gas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13.27 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G&amp;A and other operating expenses ($/BOE)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Exploration Expense ($ millions)</w:t>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United States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International</w:t>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Exploration Expense</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249 </w:t>
            </w:r>
          </w:p>
        </w:tc>
        <w:tc>
          <w:tcPr>
            <w:tcW w:w="109"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tcBorders>
            <w:shd w:fill="C0D9F1"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60" w:type="dxa"/>
            <w:tcBorders>
              <w:top w:val="single" w:sz="8" w:space="0" w:color="000000"/>
            </w:tcBorders>
            <w:shd w:fill="C0D9F1"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Capital Expenditures ($ millions)</w:t>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Permian</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(3,367)</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(1,452)</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Rockies &amp; Other Domestic</w:t>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(818)</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Gulf of America</w:t>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International</w:t>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Exploration Drilling</w:t>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w:t>
            </w:r>
          </w:p>
        </w:tc>
        <w:tc>
          <w:tcPr>
            <w:tcW w:w="109"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6D9F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w:t>
            </w:r>
          </w:p>
        </w:tc>
        <w:tc>
          <w:tcPr>
            <w:tcW w:w="160" w:type="dxa"/>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Oil and Gas</w:t>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(1,517)</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(1,299)</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(1,253)</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(5,615)</w:t>
            </w:r>
          </w:p>
        </w:tc>
        <w:tc>
          <w:tcPr>
            <w:tcW w:w="109"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(1,458)</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FFFFFF"/>
                <w:sz w:val="14"/>
              </w:rPr>
            </w:pPr>
            <w:r>
              <w:rPr>
                <w:rFonts w:ascii="Arial;sans-serif" w:hAnsi="Arial;sans-serif"/>
                <w:b w:val="false"/>
                <w:color w:val="FFFFFF"/>
                <w:sz w:val="14"/>
              </w:rPr>
              <w:t>$</w:t>
            </w:r>
          </w:p>
        </w:tc>
        <w:tc>
          <w:tcPr>
            <w:tcW w:w="4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18"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(2,838)</w:t>
            </w:r>
          </w:p>
        </w:tc>
        <w:tc>
          <w:tcPr>
            <w:tcW w:w="160" w:type="dxa"/>
            <w:tcBorders>
              <w:top w:val="single" w:sz="8" w:space="0" w:color="000000"/>
              <w:bottom w:val="single" w:sz="8" w:space="0" w:color="000000"/>
            </w:tcBorders>
            <w:shd w:fill="C0D9F1"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8644</Words>
  <Characters>43463</Characters>
  <CharactersWithSpaces>50245</CharactersWithSpaces>
  <Paragraphs>4730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